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D83E" w14:textId="77777777" w:rsidR="00475236" w:rsidRDefault="000C161D">
      <w:pPr>
        <w:pStyle w:val="Heading1"/>
      </w:pPr>
      <w:r>
        <w:t>Life After Stroke – One Page Investment Summary</w:t>
      </w:r>
    </w:p>
    <w:p w14:paraId="098DF7BC" w14:textId="77777777" w:rsidR="000C161D" w:rsidRDefault="000C161D" w:rsidP="000C161D"/>
    <w:p w14:paraId="25B0F1DE" w14:textId="16B93888" w:rsidR="000C161D" w:rsidRPr="000C161D" w:rsidRDefault="000C161D" w:rsidP="000C161D">
      <w:r>
        <w:t xml:space="preserve">All funding was from HRC. No ‘life after stroke’ or ‘living well after stroke’ research identified from Neurological foundation. </w:t>
      </w:r>
    </w:p>
    <w:p w14:paraId="5690970B" w14:textId="5ABA7593" w:rsidR="00475236" w:rsidRDefault="000C161D">
      <w:r>
        <w:rPr>
          <w:b/>
        </w:rPr>
        <w:t>Overview:</w:t>
      </w:r>
      <w:r>
        <w:rPr>
          <w:b/>
        </w:rPr>
        <w:br/>
      </w:r>
      <w:r>
        <w:t>- Total stroke research investment: $23,692,735.84 NZD. (“stroke” in title/abstract)</w:t>
      </w:r>
      <w:r>
        <w:br/>
        <w:t>- Investment in</w:t>
      </w:r>
      <w:r>
        <w:t xml:space="preserve"> Life-after-stroke projects: $487,244.23 NZD (2.06%).</w:t>
      </w:r>
      <w:r>
        <w:br/>
        <w:t>- Total number of LAS</w:t>
      </w:r>
      <w:r>
        <w:t xml:space="preserve"> projects: 7.</w:t>
      </w:r>
      <w:r>
        <w:br/>
      </w:r>
    </w:p>
    <w:p w14:paraId="03FF56A5" w14:textId="37AABD8E" w:rsidR="00475236" w:rsidRDefault="000C161D">
      <w:r>
        <w:rPr>
          <w:b/>
        </w:rPr>
        <w:t>LAS</w:t>
      </w:r>
      <w:r>
        <w:rPr>
          <w:b/>
        </w:rPr>
        <w:t xml:space="preserve"> Projects:</w:t>
      </w:r>
      <w:r>
        <w:rPr>
          <w:b/>
        </w:rPr>
        <w:br/>
      </w:r>
      <w:r>
        <w:t xml:space="preserve">2019 – Te </w:t>
      </w:r>
      <w:r>
        <w:t>Tino Rangatiratanga o te Mate Ikura Roro ($25,190) – The University of Auckland.</w:t>
      </w:r>
      <w:r>
        <w:br/>
        <w:t>2020 – Psychosocial wellbeing after stroke ($243,087) – AUT.</w:t>
      </w:r>
      <w:r>
        <w:br/>
        <w:t>2021 – Māori stroke rehab experiences ($6,600) – University of Otago.</w:t>
      </w:r>
      <w:r>
        <w:br/>
        <w:t>2021 – Navigational support after stroke ($29,811) – Burwood Academy Trust.</w:t>
      </w:r>
      <w:r>
        <w:br/>
        <w:t>2023 – Current journeys through post-stroke services ($56,094.23) – Burwood.</w:t>
      </w:r>
      <w:r>
        <w:br/>
        <w:t>2024 – Life after stroke: Building networks ($29,990) – AUT.</w:t>
      </w:r>
      <w:r>
        <w:br/>
        <w:t>2024 – Return-to-work after stroke ($96,472) – University of Otago.</w:t>
      </w:r>
      <w:r>
        <w:br/>
      </w:r>
    </w:p>
    <w:p w14:paraId="75AB9CA7" w14:textId="77777777" w:rsidR="00475236" w:rsidRDefault="000C161D">
      <w:r>
        <w:rPr>
          <w:b/>
        </w:rPr>
        <w:t>Hosts and Investment Breakdown:</w:t>
      </w:r>
      <w:r>
        <w:rPr>
          <w:b/>
        </w:rPr>
        <w:br/>
      </w:r>
      <w:r>
        <w:t>AUT: $273,077 (56.05%).</w:t>
      </w:r>
      <w:r>
        <w:br/>
        <w:t>Burwood Academy Trust: $85,905.23 (17.63%).</w:t>
      </w:r>
      <w:r>
        <w:br/>
        <w:t>University of Otago: $103,072 (21.15%).</w:t>
      </w:r>
      <w:r>
        <w:br/>
        <w:t>University of Auckland: $25,190 (5.17%).</w:t>
      </w:r>
      <w:r>
        <w:br/>
      </w:r>
    </w:p>
    <w:p w14:paraId="53A5B305" w14:textId="77777777" w:rsidR="00475236" w:rsidRDefault="000C161D">
      <w:r>
        <w:rPr>
          <w:b/>
        </w:rPr>
        <w:t>Notes:</w:t>
      </w:r>
      <w:r>
        <w:rPr>
          <w:b/>
        </w:rPr>
        <w:br/>
      </w:r>
      <w:r>
        <w:t>Only 2.06% of total stroke-related investment is directed toward Life-after-stroke projects, indicating significant underinvestment compared to biomedical and acute stroke research areas.</w:t>
      </w:r>
    </w:p>
    <w:sectPr w:rsidR="004752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6161105">
    <w:abstractNumId w:val="8"/>
  </w:num>
  <w:num w:numId="2" w16cid:durableId="1981810344">
    <w:abstractNumId w:val="6"/>
  </w:num>
  <w:num w:numId="3" w16cid:durableId="2097827182">
    <w:abstractNumId w:val="5"/>
  </w:num>
  <w:num w:numId="4" w16cid:durableId="2125806103">
    <w:abstractNumId w:val="4"/>
  </w:num>
  <w:num w:numId="5" w16cid:durableId="1173031367">
    <w:abstractNumId w:val="7"/>
  </w:num>
  <w:num w:numId="6" w16cid:durableId="1977374385">
    <w:abstractNumId w:val="3"/>
  </w:num>
  <w:num w:numId="7" w16cid:durableId="1229726017">
    <w:abstractNumId w:val="2"/>
  </w:num>
  <w:num w:numId="8" w16cid:durableId="1833066147">
    <w:abstractNumId w:val="1"/>
  </w:num>
  <w:num w:numId="9" w16cid:durableId="149664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161D"/>
    <w:rsid w:val="0015074B"/>
    <w:rsid w:val="0029639D"/>
    <w:rsid w:val="00326F90"/>
    <w:rsid w:val="0047523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ED549F"/>
  <w14:defaultImageDpi w14:val="300"/>
  <w15:docId w15:val="{16E677B8-E74D-41AF-94E2-F56A86C0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Alana McCambridge</cp:lastModifiedBy>
  <cp:revision>2</cp:revision>
  <dcterms:created xsi:type="dcterms:W3CDTF">2026-02-24T23:22:00Z</dcterms:created>
  <dcterms:modified xsi:type="dcterms:W3CDTF">2026-02-24T23:22:00Z</dcterms:modified>
  <cp:category/>
</cp:coreProperties>
</file>