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9E55B8" w14:textId="3FCE5A8F" w:rsidR="00470852" w:rsidRPr="00A01C42" w:rsidRDefault="00183C15" w:rsidP="00A01C42">
      <w:pPr>
        <w:pStyle w:val="Title"/>
        <w:rPr>
          <w:rFonts w:asciiTheme="minorHAnsi" w:eastAsia="Times New Roman" w:hAnsiTheme="minorHAnsi" w:cstheme="minorHAnsi"/>
          <w:b/>
          <w:bCs/>
          <w:color w:val="212121"/>
          <w:sz w:val="40"/>
          <w:szCs w:val="40"/>
          <w:lang w:eastAsia="en-GB"/>
        </w:rPr>
      </w:pPr>
      <w:r>
        <w:rPr>
          <w:rFonts w:asciiTheme="minorHAnsi" w:eastAsia="Times New Roman" w:hAnsiTheme="minorHAnsi" w:cstheme="minorHAnsi"/>
          <w:caps w:val="0"/>
          <w:sz w:val="40"/>
          <w:szCs w:val="40"/>
          <w:lang w:eastAsia="en-GB"/>
        </w:rPr>
        <w:t>e</w:t>
      </w:r>
      <w:r w:rsidR="00A01C42" w:rsidRPr="00A01C42">
        <w:rPr>
          <w:rFonts w:asciiTheme="minorHAnsi" w:eastAsia="Times New Roman" w:hAnsiTheme="minorHAnsi" w:cstheme="minorHAnsi"/>
          <w:caps w:val="0"/>
          <w:sz w:val="40"/>
          <w:szCs w:val="40"/>
          <w:lang w:eastAsia="en-GB"/>
        </w:rPr>
        <w:t xml:space="preserve">Health Integration in Transplantation: A </w:t>
      </w:r>
      <w:r w:rsidR="00677C92">
        <w:rPr>
          <w:rFonts w:asciiTheme="minorHAnsi" w:eastAsia="Times New Roman" w:hAnsiTheme="minorHAnsi" w:cstheme="minorHAnsi"/>
          <w:caps w:val="0"/>
          <w:sz w:val="40"/>
          <w:szCs w:val="40"/>
          <w:lang w:eastAsia="en-GB"/>
        </w:rPr>
        <w:t>Systematic</w:t>
      </w:r>
      <w:r w:rsidR="00677C92" w:rsidRPr="00A01C42">
        <w:rPr>
          <w:rFonts w:asciiTheme="minorHAnsi" w:eastAsia="Times New Roman" w:hAnsiTheme="minorHAnsi" w:cstheme="minorHAnsi"/>
          <w:caps w:val="0"/>
          <w:sz w:val="40"/>
          <w:szCs w:val="40"/>
          <w:lang w:eastAsia="en-GB"/>
        </w:rPr>
        <w:t xml:space="preserve"> </w:t>
      </w:r>
      <w:r w:rsidR="00A01C42" w:rsidRPr="00A01C42">
        <w:rPr>
          <w:rFonts w:asciiTheme="minorHAnsi" w:eastAsia="Times New Roman" w:hAnsiTheme="minorHAnsi" w:cstheme="minorHAnsi"/>
          <w:caps w:val="0"/>
          <w:sz w:val="40"/>
          <w:szCs w:val="40"/>
          <w:lang w:eastAsia="en-GB"/>
        </w:rPr>
        <w:t>Review of Advantages, Obstacles, and Future Prospects</w:t>
      </w:r>
    </w:p>
    <w:p w14:paraId="6449310C" w14:textId="77777777" w:rsidR="003B5A5A" w:rsidRDefault="003B5A5A" w:rsidP="00E26DEB">
      <w:pPr>
        <w:rPr>
          <w:rFonts w:ascii="Calibri" w:eastAsia="Times New Roman" w:hAnsi="Calibri" w:cs="Calibri"/>
          <w:b/>
          <w:bCs/>
          <w:color w:val="212121"/>
          <w:lang w:eastAsia="en-GB"/>
        </w:rPr>
      </w:pPr>
    </w:p>
    <w:p w14:paraId="72DFEF7D" w14:textId="77777777" w:rsidR="003B5A5A" w:rsidRDefault="003B5A5A" w:rsidP="00E26DEB">
      <w:pPr>
        <w:rPr>
          <w:rFonts w:ascii="Calibri" w:eastAsia="Times New Roman" w:hAnsi="Calibri" w:cs="Calibri"/>
          <w:b/>
          <w:bCs/>
          <w:color w:val="212121"/>
          <w:lang w:eastAsia="en-GB"/>
        </w:rPr>
      </w:pPr>
    </w:p>
    <w:p w14:paraId="7F688929" w14:textId="23BB9032" w:rsidR="003B5A5A" w:rsidRPr="007F23E0" w:rsidRDefault="008D6FCD" w:rsidP="007F23E0">
      <w:pPr>
        <w:pStyle w:val="Subtitle"/>
        <w:rPr>
          <w:rFonts w:asciiTheme="minorHAnsi" w:hAnsiTheme="minorHAnsi" w:cstheme="minorHAnsi"/>
          <w:sz w:val="32"/>
          <w:szCs w:val="32"/>
        </w:rPr>
      </w:pPr>
      <w:r w:rsidRPr="007F23E0">
        <w:rPr>
          <w:rFonts w:asciiTheme="minorHAnsi" w:hAnsiTheme="minorHAnsi" w:cstheme="minorHAnsi"/>
          <w:sz w:val="32"/>
          <w:szCs w:val="32"/>
        </w:rPr>
        <w:t>Ilaisaane Lotomo’ua Falevai</w:t>
      </w:r>
    </w:p>
    <w:p w14:paraId="2E61DC0C" w14:textId="77777777" w:rsidR="008D6FCD" w:rsidRDefault="008D6FCD" w:rsidP="00E26DEB">
      <w:pPr>
        <w:rPr>
          <w:rFonts w:ascii="Calibri" w:eastAsia="Times New Roman" w:hAnsi="Calibri" w:cs="Calibri"/>
          <w:b/>
          <w:bCs/>
          <w:color w:val="212121"/>
          <w:lang w:eastAsia="en-GB"/>
        </w:rPr>
      </w:pPr>
    </w:p>
    <w:p w14:paraId="36372D32" w14:textId="3EF13121" w:rsidR="003B5A5A" w:rsidRPr="008D6FCD" w:rsidRDefault="00F0724A" w:rsidP="26F64964">
      <w:pPr>
        <w:pStyle w:val="Subtitle"/>
        <w:rPr>
          <w:rFonts w:asciiTheme="minorHAnsi" w:hAnsiTheme="minorHAnsi" w:cstheme="minorBidi"/>
          <w:sz w:val="28"/>
          <w:szCs w:val="28"/>
        </w:rPr>
      </w:pPr>
      <w:r w:rsidRPr="26F64964">
        <w:rPr>
          <w:rFonts w:asciiTheme="minorHAnsi" w:hAnsiTheme="minorHAnsi" w:cstheme="minorBidi"/>
          <w:sz w:val="28"/>
          <w:szCs w:val="28"/>
        </w:rPr>
        <w:t xml:space="preserve">A dissertation </w:t>
      </w:r>
      <w:r w:rsidRPr="26F64964">
        <w:rPr>
          <w:rFonts w:asciiTheme="minorHAnsi" w:hAnsiTheme="minorHAnsi" w:cstheme="minorBidi"/>
          <w:sz w:val="28"/>
          <w:szCs w:val="28"/>
          <w:highlight w:val="white"/>
        </w:rPr>
        <w:t>submitted to Auckland University of Technology in partial fulfilment of</w:t>
      </w:r>
      <w:r w:rsidRPr="26F64964">
        <w:rPr>
          <w:rFonts w:asciiTheme="minorHAnsi" w:hAnsiTheme="minorHAnsi" w:cstheme="minorBidi"/>
          <w:sz w:val="28"/>
          <w:szCs w:val="28"/>
        </w:rPr>
        <w:t xml:space="preserve"> </w:t>
      </w:r>
      <w:r w:rsidRPr="26F64964">
        <w:rPr>
          <w:rFonts w:asciiTheme="minorHAnsi" w:hAnsiTheme="minorHAnsi" w:cstheme="minorBidi"/>
          <w:sz w:val="28"/>
          <w:szCs w:val="28"/>
          <w:highlight w:val="white"/>
        </w:rPr>
        <w:t>the requirements for the degree of Master of Business (Information Systems</w:t>
      </w:r>
      <w:r w:rsidRPr="26F64964">
        <w:rPr>
          <w:rFonts w:asciiTheme="minorHAnsi" w:hAnsiTheme="minorHAnsi" w:cstheme="minorBidi"/>
          <w:sz w:val="28"/>
          <w:szCs w:val="28"/>
        </w:rPr>
        <w:t>)</w:t>
      </w:r>
    </w:p>
    <w:p w14:paraId="204EEED2" w14:textId="77777777" w:rsidR="00F0724A" w:rsidRPr="008D6FCD" w:rsidRDefault="00F0724A" w:rsidP="0014266B">
      <w:pPr>
        <w:pStyle w:val="Subtitle"/>
        <w:rPr>
          <w:rFonts w:asciiTheme="minorHAnsi" w:hAnsiTheme="minorHAnsi" w:cstheme="minorHAnsi"/>
          <w:sz w:val="28"/>
          <w:szCs w:val="28"/>
        </w:rPr>
      </w:pPr>
    </w:p>
    <w:p w14:paraId="3ED3878A" w14:textId="434475E0" w:rsidR="00F0724A" w:rsidRPr="008D6FCD" w:rsidRDefault="00F0724A" w:rsidP="0014266B">
      <w:pPr>
        <w:pStyle w:val="Subtitle"/>
        <w:rPr>
          <w:rFonts w:asciiTheme="minorHAnsi" w:hAnsiTheme="minorHAnsi" w:cstheme="minorHAnsi"/>
          <w:sz w:val="28"/>
          <w:szCs w:val="28"/>
        </w:rPr>
      </w:pPr>
      <w:r w:rsidRPr="008D6FCD">
        <w:rPr>
          <w:rFonts w:asciiTheme="minorHAnsi" w:hAnsiTheme="minorHAnsi" w:cstheme="minorHAnsi"/>
          <w:sz w:val="28"/>
          <w:szCs w:val="28"/>
        </w:rPr>
        <w:t>2023</w:t>
      </w:r>
    </w:p>
    <w:p w14:paraId="028507B8" w14:textId="36F70569" w:rsidR="00F0724A" w:rsidRPr="008D6FCD" w:rsidRDefault="00F0724A" w:rsidP="26F64964">
      <w:pPr>
        <w:pStyle w:val="Subtitle"/>
        <w:rPr>
          <w:rFonts w:asciiTheme="minorHAnsi" w:hAnsiTheme="minorHAnsi" w:cstheme="minorBidi"/>
          <w:sz w:val="28"/>
          <w:szCs w:val="28"/>
          <w:highlight w:val="white"/>
        </w:rPr>
      </w:pPr>
      <w:r w:rsidRPr="26F64964">
        <w:rPr>
          <w:rFonts w:asciiTheme="minorHAnsi" w:hAnsiTheme="minorHAnsi" w:cstheme="minorBidi"/>
          <w:sz w:val="28"/>
          <w:szCs w:val="28"/>
          <w:highlight w:val="white"/>
        </w:rPr>
        <w:t>Faculty of Business, Economics &amp; Law</w:t>
      </w:r>
    </w:p>
    <w:p w14:paraId="702C4A33" w14:textId="24959DE0" w:rsidR="00F0724A" w:rsidRPr="008D6FCD" w:rsidRDefault="00F0724A" w:rsidP="0014266B">
      <w:pPr>
        <w:pStyle w:val="Subtitle"/>
        <w:rPr>
          <w:sz w:val="28"/>
          <w:szCs w:val="28"/>
        </w:rPr>
      </w:pPr>
      <w:r w:rsidRPr="26F64964">
        <w:rPr>
          <w:rFonts w:asciiTheme="minorHAnsi" w:hAnsiTheme="minorHAnsi" w:cstheme="minorBidi"/>
          <w:sz w:val="28"/>
          <w:szCs w:val="28"/>
          <w:highlight w:val="white"/>
        </w:rPr>
        <w:t xml:space="preserve">Primary Supervisor: </w:t>
      </w:r>
      <w:r w:rsidR="000F7046" w:rsidRPr="26F64964">
        <w:rPr>
          <w:rFonts w:asciiTheme="minorHAnsi" w:hAnsiTheme="minorHAnsi" w:cstheme="minorBidi"/>
          <w:sz w:val="28"/>
          <w:szCs w:val="28"/>
          <w:highlight w:val="white"/>
        </w:rPr>
        <w:t>Dr</w:t>
      </w:r>
      <w:r w:rsidR="000F7046" w:rsidRPr="26F64964">
        <w:rPr>
          <w:rFonts w:asciiTheme="minorHAnsi" w:hAnsiTheme="minorHAnsi" w:cstheme="minorBidi"/>
          <w:sz w:val="28"/>
          <w:szCs w:val="28"/>
        </w:rPr>
        <w:t>. Fark</w:t>
      </w:r>
      <w:r w:rsidR="0014266B" w:rsidRPr="26F64964">
        <w:rPr>
          <w:rFonts w:asciiTheme="minorHAnsi" w:hAnsiTheme="minorHAnsi" w:cstheme="minorBidi"/>
          <w:sz w:val="28"/>
          <w:szCs w:val="28"/>
        </w:rPr>
        <w:t>hondeh Hassandoust</w:t>
      </w:r>
    </w:p>
    <w:p w14:paraId="536BCECE" w14:textId="77777777" w:rsidR="003B5A5A" w:rsidRDefault="003B5A5A" w:rsidP="00E26DEB">
      <w:pPr>
        <w:rPr>
          <w:rFonts w:ascii="Calibri" w:eastAsia="Times New Roman" w:hAnsi="Calibri" w:cs="Calibri"/>
          <w:b/>
          <w:bCs/>
          <w:color w:val="212121"/>
          <w:lang w:eastAsia="en-GB"/>
        </w:rPr>
      </w:pPr>
    </w:p>
    <w:p w14:paraId="440726FF" w14:textId="77777777" w:rsidR="003B5A5A" w:rsidRDefault="003B5A5A" w:rsidP="00E26DEB">
      <w:pPr>
        <w:rPr>
          <w:rFonts w:ascii="Calibri" w:eastAsia="Times New Roman" w:hAnsi="Calibri" w:cs="Calibri"/>
          <w:b/>
          <w:bCs/>
          <w:color w:val="212121"/>
          <w:lang w:eastAsia="en-GB"/>
        </w:rPr>
      </w:pPr>
    </w:p>
    <w:p w14:paraId="1CB9745B" w14:textId="77777777" w:rsidR="003B5A5A" w:rsidRDefault="003B5A5A" w:rsidP="00E26DEB">
      <w:pPr>
        <w:rPr>
          <w:rFonts w:ascii="Calibri" w:eastAsia="Times New Roman" w:hAnsi="Calibri" w:cs="Calibri"/>
          <w:b/>
          <w:bCs/>
          <w:color w:val="212121"/>
          <w:lang w:eastAsia="en-GB"/>
        </w:rPr>
      </w:pPr>
    </w:p>
    <w:p w14:paraId="7EF935FC" w14:textId="77777777" w:rsidR="003B5A5A" w:rsidRDefault="003B5A5A" w:rsidP="00E26DEB">
      <w:pPr>
        <w:rPr>
          <w:rFonts w:ascii="Calibri" w:eastAsia="Times New Roman" w:hAnsi="Calibri" w:cs="Calibri"/>
          <w:b/>
          <w:bCs/>
          <w:color w:val="212121"/>
          <w:lang w:eastAsia="en-GB"/>
        </w:rPr>
      </w:pPr>
    </w:p>
    <w:p w14:paraId="3D1BD9B9" w14:textId="77777777" w:rsidR="003B5A5A" w:rsidRDefault="003B5A5A" w:rsidP="00E26DEB">
      <w:pPr>
        <w:rPr>
          <w:rFonts w:ascii="Calibri" w:eastAsia="Times New Roman" w:hAnsi="Calibri" w:cs="Calibri"/>
          <w:b/>
          <w:bCs/>
          <w:color w:val="212121"/>
          <w:lang w:eastAsia="en-GB"/>
        </w:rPr>
      </w:pPr>
    </w:p>
    <w:p w14:paraId="6F9C46EF" w14:textId="77777777" w:rsidR="003B5A5A" w:rsidRDefault="003B5A5A" w:rsidP="00E26DEB">
      <w:pPr>
        <w:rPr>
          <w:rFonts w:ascii="Calibri" w:eastAsia="Times New Roman" w:hAnsi="Calibri" w:cs="Calibri"/>
          <w:b/>
          <w:bCs/>
          <w:color w:val="212121"/>
          <w:lang w:eastAsia="en-GB"/>
        </w:rPr>
      </w:pPr>
    </w:p>
    <w:p w14:paraId="74B5525C" w14:textId="77777777" w:rsidR="003B5A5A" w:rsidRDefault="003B5A5A" w:rsidP="00E26DEB">
      <w:pPr>
        <w:rPr>
          <w:rFonts w:ascii="Calibri" w:eastAsia="Times New Roman" w:hAnsi="Calibri" w:cs="Calibri"/>
          <w:b/>
          <w:bCs/>
          <w:color w:val="212121"/>
          <w:lang w:eastAsia="en-GB"/>
        </w:rPr>
      </w:pPr>
    </w:p>
    <w:p w14:paraId="4101C347" w14:textId="77777777" w:rsidR="00915545" w:rsidRPr="00E26DEB" w:rsidRDefault="00915545" w:rsidP="00E26DEB">
      <w:pPr>
        <w:rPr>
          <w:rFonts w:ascii="Calibri" w:eastAsia="Times New Roman" w:hAnsi="Calibri" w:cs="Calibri"/>
          <w:color w:val="212121"/>
          <w:lang w:eastAsia="en-GB"/>
        </w:rPr>
      </w:pPr>
    </w:p>
    <w:p w14:paraId="228E7CE2" w14:textId="77777777" w:rsidR="000568F2" w:rsidRPr="00596A18" w:rsidRDefault="000568F2" w:rsidP="0015644E">
      <w:pPr>
        <w:pStyle w:val="Heading1"/>
        <w:rPr>
          <w:rFonts w:eastAsia="Times New Roman"/>
          <w:lang w:eastAsia="en-GB"/>
        </w:rPr>
      </w:pPr>
      <w:bookmarkStart w:id="0" w:name="_Toc166853971"/>
      <w:r w:rsidRPr="00A05C95">
        <w:rPr>
          <w:rFonts w:eastAsia="Times New Roman"/>
          <w:lang w:eastAsia="en-GB"/>
        </w:rPr>
        <w:lastRenderedPageBreak/>
        <w:t>Abstract</w:t>
      </w:r>
      <w:bookmarkEnd w:id="0"/>
    </w:p>
    <w:p w14:paraId="4F599E8D" w14:textId="0946DDE8" w:rsidR="000568F2" w:rsidRPr="00CA156D" w:rsidRDefault="001059FE" w:rsidP="26F64964">
      <w:pPr>
        <w:spacing w:line="360" w:lineRule="auto"/>
        <w:jc w:val="both"/>
        <w:rPr>
          <w:rFonts w:ascii="Calibri" w:eastAsia="Times New Roman" w:hAnsi="Calibri" w:cs="Calibri"/>
          <w:lang w:val="en-GB" w:eastAsia="en-GB"/>
        </w:rPr>
      </w:pPr>
      <w:r w:rsidRPr="26F64964">
        <w:rPr>
          <w:rFonts w:ascii="Calibri" w:eastAsia="Times New Roman" w:hAnsi="Calibri" w:cs="Calibri"/>
          <w:color w:val="212121"/>
          <w:lang w:val="en-GB" w:eastAsia="en-GB"/>
        </w:rPr>
        <w:t xml:space="preserve">Technology </w:t>
      </w:r>
      <w:r w:rsidR="000568F2" w:rsidRPr="26F64964">
        <w:rPr>
          <w:rFonts w:ascii="Calibri" w:eastAsia="Times New Roman" w:hAnsi="Calibri" w:cs="Calibri"/>
          <w:color w:val="212121"/>
          <w:lang w:val="en-GB" w:eastAsia="en-GB"/>
        </w:rPr>
        <w:t>has transformed the delivery of healthcare operations and communication between healthcare professionals and patients. The information technology used to facilitate such changes has been referred to as ‘eHealth’. eHealth has transformed the delivery of health services, from improving communication between patients and clinics, supporting self-</w:t>
      </w:r>
      <w:r w:rsidR="000568F2" w:rsidRPr="26F64964">
        <w:rPr>
          <w:rFonts w:ascii="Calibri" w:eastAsia="Times New Roman" w:hAnsi="Calibri" w:cs="Calibri"/>
          <w:lang w:val="en-GB" w:eastAsia="en-GB"/>
        </w:rPr>
        <w:t>management and adherence to medical advice.</w:t>
      </w:r>
      <w:r w:rsidR="003A68AE" w:rsidRPr="26F64964">
        <w:rPr>
          <w:rFonts w:ascii="Calibri" w:eastAsia="Times New Roman" w:hAnsi="Calibri" w:cs="Calibri"/>
          <w:lang w:val="en-GB" w:eastAsia="en-GB"/>
        </w:rPr>
        <w:t xml:space="preserve"> eHealth</w:t>
      </w:r>
      <w:r w:rsidR="00547509" w:rsidRPr="26F64964">
        <w:rPr>
          <w:rFonts w:ascii="Calibri" w:eastAsia="Times New Roman" w:hAnsi="Calibri" w:cs="Calibri"/>
          <w:lang w:val="en-GB" w:eastAsia="en-GB"/>
        </w:rPr>
        <w:t xml:space="preserve"> adoption </w:t>
      </w:r>
      <w:r w:rsidR="007B3B9B" w:rsidRPr="26F64964">
        <w:rPr>
          <w:rFonts w:ascii="Calibri" w:eastAsia="Times New Roman" w:hAnsi="Calibri" w:cs="Calibri"/>
          <w:lang w:val="en-GB" w:eastAsia="en-GB"/>
        </w:rPr>
        <w:t xml:space="preserve">has grown in </w:t>
      </w:r>
      <w:r w:rsidR="00650C11" w:rsidRPr="26F64964">
        <w:rPr>
          <w:rFonts w:ascii="Calibri" w:eastAsia="Times New Roman" w:hAnsi="Calibri" w:cs="Calibri"/>
          <w:lang w:val="en-GB" w:eastAsia="en-GB"/>
        </w:rPr>
        <w:t xml:space="preserve">different </w:t>
      </w:r>
      <w:r w:rsidR="001409A4" w:rsidRPr="26F64964">
        <w:rPr>
          <w:rFonts w:ascii="Calibri" w:eastAsia="Times New Roman" w:hAnsi="Calibri" w:cs="Calibri"/>
          <w:lang w:val="en-GB" w:eastAsia="en-GB"/>
        </w:rPr>
        <w:t xml:space="preserve">health </w:t>
      </w:r>
      <w:r w:rsidR="00ED4A37" w:rsidRPr="26F64964">
        <w:rPr>
          <w:rFonts w:ascii="Calibri" w:eastAsia="Times New Roman" w:hAnsi="Calibri" w:cs="Calibri"/>
          <w:lang w:val="en-GB" w:eastAsia="en-GB"/>
        </w:rPr>
        <w:t>areas</w:t>
      </w:r>
      <w:r w:rsidR="001409A4" w:rsidRPr="26F64964">
        <w:rPr>
          <w:rFonts w:ascii="Calibri" w:eastAsia="Times New Roman" w:hAnsi="Calibri" w:cs="Calibri"/>
          <w:lang w:val="en-GB" w:eastAsia="en-GB"/>
        </w:rPr>
        <w:t xml:space="preserve"> </w:t>
      </w:r>
      <w:r w:rsidR="00E623CE" w:rsidRPr="26F64964">
        <w:rPr>
          <w:rFonts w:ascii="Calibri" w:eastAsia="Times New Roman" w:hAnsi="Calibri" w:cs="Calibri"/>
          <w:lang w:val="en-GB" w:eastAsia="en-GB"/>
        </w:rPr>
        <w:t>such as transplantation care</w:t>
      </w:r>
      <w:r w:rsidR="006B5603" w:rsidRPr="26F64964">
        <w:rPr>
          <w:rFonts w:ascii="Calibri" w:eastAsia="Times New Roman" w:hAnsi="Calibri" w:cs="Calibri"/>
          <w:lang w:val="en-GB" w:eastAsia="en-GB"/>
        </w:rPr>
        <w:t xml:space="preserve">, </w:t>
      </w:r>
      <w:r w:rsidR="006B5603" w:rsidRPr="26F64964">
        <w:rPr>
          <w:rFonts w:ascii="Calibri" w:eastAsia="Times New Roman" w:hAnsi="Calibri" w:cs="Calibri"/>
          <w:highlight w:val="white"/>
          <w:lang w:val="en-GB" w:eastAsia="en-GB"/>
        </w:rPr>
        <w:t>over</w:t>
      </w:r>
      <w:r w:rsidR="00E623CE" w:rsidRPr="26F64964">
        <w:rPr>
          <w:rFonts w:ascii="Calibri" w:eastAsia="Times New Roman" w:hAnsi="Calibri" w:cs="Calibri"/>
          <w:highlight w:val="white"/>
          <w:lang w:val="en-GB" w:eastAsia="en-GB"/>
        </w:rPr>
        <w:t xml:space="preserve"> </w:t>
      </w:r>
      <w:r w:rsidR="007B3B9B" w:rsidRPr="26F64964">
        <w:rPr>
          <w:rFonts w:ascii="Calibri" w:eastAsia="Times New Roman" w:hAnsi="Calibri" w:cs="Calibri"/>
          <w:highlight w:val="white"/>
          <w:lang w:val="en-GB" w:eastAsia="en-GB"/>
        </w:rPr>
        <w:t xml:space="preserve">the </w:t>
      </w:r>
      <w:r w:rsidR="0040441E" w:rsidRPr="26F64964">
        <w:rPr>
          <w:rFonts w:ascii="Calibri" w:eastAsia="Times New Roman" w:hAnsi="Calibri" w:cs="Calibri"/>
          <w:highlight w:val="white"/>
          <w:lang w:val="en-GB" w:eastAsia="en-GB"/>
        </w:rPr>
        <w:t>last</w:t>
      </w:r>
      <w:r w:rsidR="0040441E" w:rsidRPr="26F64964">
        <w:rPr>
          <w:rFonts w:ascii="Calibri" w:eastAsia="Times New Roman" w:hAnsi="Calibri" w:cs="Calibri"/>
          <w:lang w:val="en-GB" w:eastAsia="en-GB"/>
        </w:rPr>
        <w:t xml:space="preserve"> </w:t>
      </w:r>
      <w:r w:rsidR="0040441E" w:rsidRPr="26F64964">
        <w:rPr>
          <w:rFonts w:ascii="Calibri" w:eastAsia="Times New Roman" w:hAnsi="Calibri" w:cs="Calibri"/>
          <w:highlight w:val="white"/>
          <w:lang w:val="en-GB" w:eastAsia="en-GB"/>
        </w:rPr>
        <w:t>decade</w:t>
      </w:r>
      <w:r w:rsidR="0040441E" w:rsidRPr="26F64964">
        <w:rPr>
          <w:rFonts w:ascii="Calibri" w:eastAsia="Times New Roman" w:hAnsi="Calibri" w:cs="Calibri"/>
          <w:lang w:val="en-GB" w:eastAsia="en-GB"/>
        </w:rPr>
        <w:t xml:space="preserve"> with </w:t>
      </w:r>
      <w:r w:rsidR="00046E4B" w:rsidRPr="26F64964">
        <w:rPr>
          <w:rFonts w:ascii="Calibri" w:eastAsia="Times New Roman" w:hAnsi="Calibri" w:cs="Calibri"/>
          <w:lang w:val="en-GB" w:eastAsia="en-GB"/>
        </w:rPr>
        <w:t xml:space="preserve">the </w:t>
      </w:r>
      <w:r w:rsidR="006A6EE7" w:rsidRPr="26F64964">
        <w:rPr>
          <w:rFonts w:ascii="Calibri" w:eastAsia="Times New Roman" w:hAnsi="Calibri" w:cs="Calibri"/>
          <w:lang w:val="en-GB" w:eastAsia="en-GB"/>
        </w:rPr>
        <w:t xml:space="preserve">use </w:t>
      </w:r>
      <w:r w:rsidR="000372DE" w:rsidRPr="26F64964">
        <w:rPr>
          <w:rFonts w:ascii="Calibri" w:eastAsia="Times New Roman" w:hAnsi="Calibri" w:cs="Calibri"/>
          <w:lang w:val="en-GB" w:eastAsia="en-GB"/>
        </w:rPr>
        <w:t xml:space="preserve">of telemedicine, mobile health applications, electronic health </w:t>
      </w:r>
      <w:r w:rsidR="000372DE" w:rsidRPr="26F64964">
        <w:rPr>
          <w:rFonts w:ascii="Calibri" w:eastAsia="Times New Roman" w:hAnsi="Calibri" w:cs="Calibri"/>
          <w:highlight w:val="white"/>
          <w:lang w:val="en-GB" w:eastAsia="en-GB"/>
        </w:rPr>
        <w:t>records, wearable</w:t>
      </w:r>
      <w:r w:rsidR="000372DE" w:rsidRPr="26F64964">
        <w:rPr>
          <w:rFonts w:ascii="Calibri" w:eastAsia="Times New Roman" w:hAnsi="Calibri" w:cs="Calibri"/>
          <w:lang w:val="en-GB" w:eastAsia="en-GB"/>
        </w:rPr>
        <w:t xml:space="preserve"> </w:t>
      </w:r>
      <w:r w:rsidR="00547509" w:rsidRPr="26F64964">
        <w:rPr>
          <w:rFonts w:ascii="Calibri" w:eastAsia="Times New Roman" w:hAnsi="Calibri" w:cs="Calibri"/>
          <w:lang w:val="en-GB" w:eastAsia="en-GB"/>
        </w:rPr>
        <w:t>devices,</w:t>
      </w:r>
      <w:r w:rsidR="00C70F50" w:rsidRPr="26F64964">
        <w:rPr>
          <w:rFonts w:ascii="Calibri" w:eastAsia="Times New Roman" w:hAnsi="Calibri" w:cs="Calibri"/>
          <w:lang w:val="en-GB" w:eastAsia="en-GB"/>
        </w:rPr>
        <w:t xml:space="preserve"> and </w:t>
      </w:r>
      <w:r w:rsidR="000372DE" w:rsidRPr="26F64964">
        <w:rPr>
          <w:rFonts w:ascii="Calibri" w:eastAsia="Times New Roman" w:hAnsi="Calibri" w:cs="Calibri"/>
          <w:lang w:val="en-GB" w:eastAsia="en-GB"/>
        </w:rPr>
        <w:t>artificial intelligence</w:t>
      </w:r>
      <w:r w:rsidR="00C70F50" w:rsidRPr="26F64964">
        <w:rPr>
          <w:rFonts w:ascii="Calibri" w:eastAsia="Times New Roman" w:hAnsi="Calibri" w:cs="Calibri"/>
          <w:lang w:val="en-GB" w:eastAsia="en-GB"/>
        </w:rPr>
        <w:t xml:space="preserve">. </w:t>
      </w:r>
      <w:r w:rsidR="008A47F9" w:rsidRPr="26F64964">
        <w:rPr>
          <w:rFonts w:ascii="Calibri" w:eastAsia="Times New Roman" w:hAnsi="Calibri" w:cs="Calibri"/>
          <w:lang w:val="en-GB" w:eastAsia="en-GB"/>
        </w:rPr>
        <w:t xml:space="preserve">These </w:t>
      </w:r>
      <w:r w:rsidR="008A47F9" w:rsidRPr="26F64964">
        <w:rPr>
          <w:rFonts w:ascii="Calibri" w:eastAsia="Times New Roman" w:hAnsi="Calibri" w:cs="Calibri"/>
          <w:highlight w:val="white"/>
          <w:lang w:val="en-GB" w:eastAsia="en-GB"/>
        </w:rPr>
        <w:t>digital health tools have</w:t>
      </w:r>
      <w:r w:rsidR="008A47F9" w:rsidRPr="26F64964">
        <w:rPr>
          <w:rFonts w:ascii="Calibri" w:eastAsia="Times New Roman" w:hAnsi="Calibri" w:cs="Calibri"/>
          <w:lang w:val="en-GB" w:eastAsia="en-GB"/>
        </w:rPr>
        <w:t xml:space="preserve"> played a vital role in changing the way healthcare is managed, </w:t>
      </w:r>
      <w:r w:rsidR="00547509" w:rsidRPr="26F64964">
        <w:rPr>
          <w:rFonts w:ascii="Calibri" w:eastAsia="Times New Roman" w:hAnsi="Calibri" w:cs="Calibri"/>
          <w:lang w:val="en-GB" w:eastAsia="en-GB"/>
        </w:rPr>
        <w:t>delivered,</w:t>
      </w:r>
      <w:r w:rsidR="008A47F9" w:rsidRPr="26F64964">
        <w:rPr>
          <w:rFonts w:ascii="Calibri" w:eastAsia="Times New Roman" w:hAnsi="Calibri" w:cs="Calibri"/>
          <w:lang w:val="en-GB" w:eastAsia="en-GB"/>
        </w:rPr>
        <w:t xml:space="preserve"> and accessed </w:t>
      </w:r>
      <w:r w:rsidR="00D2426B" w:rsidRPr="26F64964">
        <w:rPr>
          <w:rFonts w:ascii="Calibri" w:eastAsia="Times New Roman" w:hAnsi="Calibri" w:cs="Calibri"/>
          <w:lang w:val="en-GB" w:eastAsia="en-GB"/>
        </w:rPr>
        <w:t xml:space="preserve">within transplantation care. </w:t>
      </w:r>
      <w:r w:rsidR="000568F2" w:rsidRPr="26F64964">
        <w:rPr>
          <w:rFonts w:ascii="Calibri" w:eastAsia="Times New Roman" w:hAnsi="Calibri" w:cs="Calibri"/>
          <w:lang w:val="en-GB" w:eastAsia="en-GB"/>
        </w:rPr>
        <w:t xml:space="preserve">Despite the large use of eHealth, there is a lack of </w:t>
      </w:r>
      <w:r w:rsidR="008A3210" w:rsidRPr="26F64964">
        <w:rPr>
          <w:rFonts w:ascii="Calibri" w:eastAsia="Times New Roman" w:hAnsi="Calibri" w:cs="Calibri"/>
          <w:lang w:val="en-GB" w:eastAsia="en-GB"/>
        </w:rPr>
        <w:t xml:space="preserve">a comprehensive </w:t>
      </w:r>
      <w:r w:rsidR="000568F2" w:rsidRPr="26F64964">
        <w:rPr>
          <w:rFonts w:ascii="Calibri" w:eastAsia="Times New Roman" w:hAnsi="Calibri" w:cs="Calibri"/>
          <w:lang w:val="en-GB" w:eastAsia="en-GB"/>
        </w:rPr>
        <w:t xml:space="preserve">understanding in the </w:t>
      </w:r>
      <w:r w:rsidR="006C513D" w:rsidRPr="26F64964">
        <w:rPr>
          <w:rFonts w:ascii="Calibri" w:eastAsia="Times New Roman" w:hAnsi="Calibri" w:cs="Calibri"/>
          <w:lang w:val="en-GB" w:eastAsia="en-GB"/>
        </w:rPr>
        <w:t>benefits</w:t>
      </w:r>
      <w:r w:rsidR="000568F2" w:rsidRPr="26F64964">
        <w:rPr>
          <w:rFonts w:ascii="Calibri" w:eastAsia="Times New Roman" w:hAnsi="Calibri" w:cs="Calibri"/>
          <w:lang w:val="en-GB" w:eastAsia="en-GB"/>
        </w:rPr>
        <w:t xml:space="preserve"> and challenges of using eHealth for transplants in the literature. Therefore, this study proposes a systematic analysis of the existing literature to</w:t>
      </w:r>
      <w:r w:rsidR="00025419" w:rsidRPr="26F64964">
        <w:rPr>
          <w:rFonts w:ascii="Calibri" w:eastAsia="Times New Roman" w:hAnsi="Calibri" w:cs="Calibri"/>
          <w:lang w:val="en-GB" w:eastAsia="en-GB"/>
        </w:rPr>
        <w:t xml:space="preserve"> </w:t>
      </w:r>
      <w:r w:rsidR="006A6133" w:rsidRPr="26F64964">
        <w:rPr>
          <w:rFonts w:ascii="Calibri" w:eastAsia="Times New Roman" w:hAnsi="Calibri" w:cs="Calibri"/>
          <w:lang w:val="en-GB" w:eastAsia="en-GB"/>
        </w:rPr>
        <w:t>create</w:t>
      </w:r>
      <w:r w:rsidR="00025419" w:rsidRPr="26F64964">
        <w:rPr>
          <w:rFonts w:ascii="Calibri" w:eastAsia="Times New Roman" w:hAnsi="Calibri" w:cs="Calibri"/>
          <w:lang w:val="en-GB" w:eastAsia="en-GB"/>
        </w:rPr>
        <w:t xml:space="preserve"> a</w:t>
      </w:r>
      <w:r w:rsidR="006A6133" w:rsidRPr="26F64964">
        <w:rPr>
          <w:rFonts w:ascii="Calibri" w:eastAsia="Times New Roman" w:hAnsi="Calibri" w:cs="Calibri"/>
          <w:lang w:val="en-GB" w:eastAsia="en-GB"/>
        </w:rPr>
        <w:t>n overall understanding</w:t>
      </w:r>
      <w:r w:rsidR="00DD72C6" w:rsidRPr="26F64964">
        <w:rPr>
          <w:rFonts w:ascii="Calibri" w:eastAsia="Times New Roman" w:hAnsi="Calibri" w:cs="Calibri"/>
          <w:lang w:val="en-GB" w:eastAsia="en-GB"/>
        </w:rPr>
        <w:t xml:space="preserve"> of the utilization of eHealth by </w:t>
      </w:r>
      <w:r w:rsidR="006A6133" w:rsidRPr="26F64964">
        <w:rPr>
          <w:rFonts w:ascii="Calibri" w:eastAsia="Times New Roman" w:hAnsi="Calibri" w:cs="Calibri"/>
          <w:lang w:val="en-GB" w:eastAsia="en-GB"/>
        </w:rPr>
        <w:t>identifying</w:t>
      </w:r>
      <w:r w:rsidR="000568F2" w:rsidRPr="26F64964">
        <w:rPr>
          <w:rFonts w:ascii="Calibri" w:eastAsia="Times New Roman" w:hAnsi="Calibri" w:cs="Calibri"/>
          <w:lang w:val="en-GB" w:eastAsia="en-GB"/>
        </w:rPr>
        <w:t xml:space="preserve"> the main challenges and benefits of using </w:t>
      </w:r>
      <w:r w:rsidR="002A16D8" w:rsidRPr="26F64964">
        <w:rPr>
          <w:rFonts w:ascii="Calibri" w:eastAsia="Times New Roman" w:hAnsi="Calibri" w:cs="Calibri"/>
          <w:lang w:val="en-GB" w:eastAsia="en-GB"/>
        </w:rPr>
        <w:t>eHealth</w:t>
      </w:r>
      <w:r w:rsidR="000568F2" w:rsidRPr="26F64964">
        <w:rPr>
          <w:rFonts w:ascii="Calibri" w:eastAsia="Times New Roman" w:hAnsi="Calibri" w:cs="Calibri"/>
          <w:lang w:val="en-GB" w:eastAsia="en-GB"/>
        </w:rPr>
        <w:t xml:space="preserve"> to support the health of transplant patients, </w:t>
      </w:r>
      <w:r w:rsidR="0019444B" w:rsidRPr="26F64964">
        <w:rPr>
          <w:rFonts w:ascii="Calibri" w:eastAsia="Times New Roman" w:hAnsi="Calibri" w:cs="Calibri"/>
          <w:lang w:val="en-GB" w:eastAsia="en-GB"/>
        </w:rPr>
        <w:t>while also suggesting avenues</w:t>
      </w:r>
      <w:r w:rsidR="000568F2" w:rsidRPr="26F64964">
        <w:rPr>
          <w:rFonts w:ascii="Calibri" w:eastAsia="Times New Roman" w:hAnsi="Calibri" w:cs="Calibri"/>
          <w:lang w:val="en-GB" w:eastAsia="en-GB"/>
        </w:rPr>
        <w:t xml:space="preserve"> for future studies.</w:t>
      </w:r>
    </w:p>
    <w:p w14:paraId="64977C75" w14:textId="79B966BE" w:rsidR="000568F2" w:rsidRPr="00A02325" w:rsidRDefault="005F637F" w:rsidP="26F64964">
      <w:pPr>
        <w:spacing w:line="360" w:lineRule="auto"/>
        <w:jc w:val="both"/>
        <w:rPr>
          <w:rFonts w:asciiTheme="minorHAnsi" w:eastAsia="Times New Roman" w:hAnsiTheme="minorHAnsi" w:cstheme="minorBidi"/>
          <w:lang w:val="en-GB" w:eastAsia="en-GB"/>
        </w:rPr>
      </w:pPr>
      <w:r w:rsidRPr="26F64964">
        <w:rPr>
          <w:rFonts w:asciiTheme="minorHAnsi" w:eastAsia="Times New Roman" w:hAnsiTheme="minorHAnsi" w:cstheme="minorBidi"/>
          <w:lang w:val="en-GB" w:eastAsia="en-GB"/>
        </w:rPr>
        <w:t xml:space="preserve">Key findings indicate </w:t>
      </w:r>
      <w:r w:rsidR="00840B16" w:rsidRPr="26F64964">
        <w:rPr>
          <w:rFonts w:asciiTheme="minorHAnsi" w:eastAsia="Times New Roman" w:hAnsiTheme="minorHAnsi" w:cstheme="minorBidi"/>
          <w:lang w:val="en-GB" w:eastAsia="en-GB"/>
        </w:rPr>
        <w:t>four</w:t>
      </w:r>
      <w:r w:rsidRPr="26F64964">
        <w:rPr>
          <w:rFonts w:asciiTheme="minorHAnsi" w:eastAsia="Times New Roman" w:hAnsiTheme="minorHAnsi" w:cstheme="minorBidi"/>
          <w:lang w:val="en-GB" w:eastAsia="en-GB"/>
        </w:rPr>
        <w:t xml:space="preserve"> themes related to the use of </w:t>
      </w:r>
      <w:r w:rsidR="002A16D8" w:rsidRPr="26F64964">
        <w:rPr>
          <w:rFonts w:asciiTheme="minorHAnsi" w:eastAsia="Times New Roman" w:hAnsiTheme="minorHAnsi" w:cstheme="minorBidi"/>
          <w:lang w:val="en-GB" w:eastAsia="en-GB"/>
        </w:rPr>
        <w:t>eHealth</w:t>
      </w:r>
      <w:r w:rsidRPr="26F64964">
        <w:rPr>
          <w:rFonts w:asciiTheme="minorHAnsi" w:eastAsia="Times New Roman" w:hAnsiTheme="minorHAnsi" w:cstheme="minorBidi"/>
          <w:lang w:val="en-GB" w:eastAsia="en-GB"/>
        </w:rPr>
        <w:t xml:space="preserve"> in transplantation: (1) barriers to using digital health devices, (2) benefits of using health devices, (3) the process of developing digital health</w:t>
      </w:r>
      <w:r w:rsidR="005250BB" w:rsidRPr="26F64964">
        <w:rPr>
          <w:rFonts w:asciiTheme="minorHAnsi" w:eastAsia="Times New Roman" w:hAnsiTheme="minorHAnsi" w:cstheme="minorBidi"/>
          <w:lang w:val="en-GB" w:eastAsia="en-GB"/>
        </w:rPr>
        <w:t>,</w:t>
      </w:r>
      <w:r w:rsidRPr="26F64964">
        <w:rPr>
          <w:rFonts w:asciiTheme="minorHAnsi" w:eastAsia="Times New Roman" w:hAnsiTheme="minorHAnsi" w:cstheme="minorBidi"/>
          <w:lang w:val="en-GB" w:eastAsia="en-GB"/>
        </w:rPr>
        <w:t xml:space="preserve"> and (4) users of digital health. Findings also identified future prospects of </w:t>
      </w:r>
      <w:r w:rsidR="002A16D8" w:rsidRPr="26F64964">
        <w:rPr>
          <w:rFonts w:asciiTheme="minorHAnsi" w:eastAsia="Times New Roman" w:hAnsiTheme="minorHAnsi" w:cstheme="minorBidi"/>
          <w:lang w:val="en-GB" w:eastAsia="en-GB"/>
        </w:rPr>
        <w:t>eHealth</w:t>
      </w:r>
      <w:r w:rsidRPr="26F64964">
        <w:rPr>
          <w:rFonts w:asciiTheme="minorHAnsi" w:eastAsia="Times New Roman" w:hAnsiTheme="minorHAnsi" w:cstheme="minorBidi"/>
          <w:lang w:val="en-GB" w:eastAsia="en-GB"/>
        </w:rPr>
        <w:t xml:space="preserve"> in transplantation, in using emerging technologies to improve patient outcomes. This study recommends future research look into different types of </w:t>
      </w:r>
      <w:r w:rsidR="002A16D8" w:rsidRPr="26F64964">
        <w:rPr>
          <w:rFonts w:asciiTheme="minorHAnsi" w:eastAsia="Times New Roman" w:hAnsiTheme="minorHAnsi" w:cstheme="minorBidi"/>
          <w:lang w:val="en-GB" w:eastAsia="en-GB"/>
        </w:rPr>
        <w:t>eHealth</w:t>
      </w:r>
      <w:r w:rsidRPr="26F64964">
        <w:rPr>
          <w:rFonts w:asciiTheme="minorHAnsi" w:eastAsia="Times New Roman" w:hAnsiTheme="minorHAnsi" w:cstheme="minorBidi"/>
          <w:lang w:val="en-GB" w:eastAsia="en-GB"/>
        </w:rPr>
        <w:t xml:space="preserve"> devices use</w:t>
      </w:r>
      <w:r w:rsidR="00AA406E" w:rsidRPr="26F64964">
        <w:rPr>
          <w:rFonts w:asciiTheme="minorHAnsi" w:eastAsia="Times New Roman" w:hAnsiTheme="minorHAnsi" w:cstheme="minorBidi"/>
          <w:lang w:val="en-GB" w:eastAsia="en-GB"/>
        </w:rPr>
        <w:t>d</w:t>
      </w:r>
      <w:r w:rsidRPr="26F64964">
        <w:rPr>
          <w:rFonts w:asciiTheme="minorHAnsi" w:eastAsia="Times New Roman" w:hAnsiTheme="minorHAnsi" w:cstheme="minorBidi"/>
          <w:lang w:val="en-GB" w:eastAsia="en-GB"/>
        </w:rPr>
        <w:t xml:space="preserve"> in transplantation. As well as look at conducting studies in countries that have high transplantation rates to generate valuable insights. </w:t>
      </w:r>
      <w:r w:rsidRPr="26F64964">
        <w:rPr>
          <w:rFonts w:asciiTheme="minorHAnsi" w:eastAsia="Times New Roman" w:hAnsiTheme="minorHAnsi" w:cstheme="minorBidi"/>
          <w:highlight w:val="white"/>
          <w:lang w:val="en-GB" w:eastAsia="en-GB"/>
        </w:rPr>
        <w:t>This study highlights the importance of</w:t>
      </w:r>
      <w:r w:rsidRPr="26F64964">
        <w:rPr>
          <w:rFonts w:asciiTheme="minorHAnsi" w:eastAsia="Times New Roman" w:hAnsiTheme="minorHAnsi" w:cstheme="minorBidi"/>
          <w:lang w:val="en-GB" w:eastAsia="en-GB"/>
        </w:rPr>
        <w:t xml:space="preserve"> investigating the use of eHealth in transplantation </w:t>
      </w:r>
      <w:r w:rsidRPr="26F64964">
        <w:rPr>
          <w:rFonts w:asciiTheme="minorHAnsi" w:eastAsia="Times New Roman" w:hAnsiTheme="minorHAnsi" w:cstheme="minorBidi"/>
          <w:highlight w:val="white"/>
          <w:lang w:val="en-GB" w:eastAsia="en-GB"/>
        </w:rPr>
        <w:t>to ensure that patients receive the best possible care</w:t>
      </w:r>
      <w:r w:rsidRPr="26F64964">
        <w:rPr>
          <w:rFonts w:asciiTheme="minorHAnsi" w:eastAsia="Times New Roman" w:hAnsiTheme="minorHAnsi" w:cstheme="minorBidi"/>
          <w:lang w:val="en-GB" w:eastAsia="en-GB"/>
        </w:rPr>
        <w:t>, optimize resource allocation, and advance medical knowledge in this critical field.</w:t>
      </w:r>
      <w:r w:rsidR="00A02325" w:rsidRPr="26F64964">
        <w:rPr>
          <w:rFonts w:asciiTheme="minorHAnsi" w:eastAsia="Times New Roman" w:hAnsiTheme="minorHAnsi" w:cstheme="minorBidi"/>
          <w:lang w:val="en-GB" w:eastAsia="en-GB"/>
        </w:rPr>
        <w:t xml:space="preserve"> </w:t>
      </w:r>
      <w:r w:rsidRPr="26F64964">
        <w:rPr>
          <w:rFonts w:asciiTheme="minorHAnsi" w:eastAsia="Times New Roman" w:hAnsiTheme="minorHAnsi" w:cstheme="minorBidi"/>
          <w:lang w:val="en-GB" w:eastAsia="en-GB"/>
        </w:rPr>
        <w:t>By addressing potential challenges, identifying benefits</w:t>
      </w:r>
      <w:r w:rsidR="00E21060" w:rsidRPr="26F64964">
        <w:rPr>
          <w:rFonts w:asciiTheme="minorHAnsi" w:eastAsia="Times New Roman" w:hAnsiTheme="minorHAnsi" w:cstheme="minorBidi"/>
          <w:lang w:val="en-GB" w:eastAsia="en-GB"/>
        </w:rPr>
        <w:t>,</w:t>
      </w:r>
      <w:r w:rsidRPr="26F64964">
        <w:rPr>
          <w:rFonts w:asciiTheme="minorHAnsi" w:eastAsia="Times New Roman" w:hAnsiTheme="minorHAnsi" w:cstheme="minorBidi"/>
          <w:lang w:val="en-GB" w:eastAsia="en-GB"/>
        </w:rPr>
        <w:t xml:space="preserve"> and exploring future prospects of e-health in transplantation, health facilities</w:t>
      </w:r>
      <w:r w:rsidR="00E21060" w:rsidRPr="26F64964">
        <w:rPr>
          <w:rFonts w:asciiTheme="minorHAnsi" w:eastAsia="Times New Roman" w:hAnsiTheme="minorHAnsi" w:cstheme="minorBidi"/>
          <w:lang w:val="en-GB" w:eastAsia="en-GB"/>
        </w:rPr>
        <w:t>,</w:t>
      </w:r>
      <w:r w:rsidRPr="26F64964">
        <w:rPr>
          <w:rFonts w:asciiTheme="minorHAnsi" w:eastAsia="Times New Roman" w:hAnsiTheme="minorHAnsi" w:cstheme="minorBidi"/>
          <w:lang w:val="en-GB" w:eastAsia="en-GB"/>
        </w:rPr>
        <w:t xml:space="preserve"> and policymakers </w:t>
      </w:r>
      <w:r w:rsidRPr="26F64964">
        <w:rPr>
          <w:rFonts w:asciiTheme="minorHAnsi" w:eastAsia="Times New Roman" w:hAnsiTheme="minorHAnsi" w:cstheme="minorBidi"/>
          <w:highlight w:val="white"/>
          <w:lang w:val="en-GB" w:eastAsia="en-GB"/>
        </w:rPr>
        <w:t>can work towards a</w:t>
      </w:r>
      <w:r w:rsidRPr="26F64964">
        <w:rPr>
          <w:rFonts w:asciiTheme="minorHAnsi" w:eastAsia="Times New Roman" w:hAnsiTheme="minorHAnsi" w:cstheme="minorBidi"/>
          <w:lang w:val="en-GB" w:eastAsia="en-GB"/>
        </w:rPr>
        <w:t xml:space="preserve"> future where transplantation care is more effective, accessible, and personalized for every patient.</w:t>
      </w:r>
      <w:r w:rsidR="00A02325" w:rsidRPr="26F64964">
        <w:rPr>
          <w:rFonts w:asciiTheme="minorHAnsi" w:eastAsia="Times New Roman" w:hAnsiTheme="minorHAnsi" w:cstheme="minorBidi"/>
          <w:lang w:val="en-GB" w:eastAsia="en-GB"/>
        </w:rPr>
        <w:t xml:space="preserve"> </w:t>
      </w:r>
      <w:r w:rsidR="001841E3" w:rsidRPr="26F64964">
        <w:rPr>
          <w:rFonts w:asciiTheme="minorHAnsi" w:eastAsia="Times New Roman" w:hAnsiTheme="minorHAnsi" w:cstheme="minorBidi"/>
          <w:lang w:val="en-GB" w:eastAsia="en-GB"/>
        </w:rPr>
        <w:t>Moreover, despite the investigation of eHealth in the literature, t</w:t>
      </w:r>
      <w:r w:rsidR="00B21D03" w:rsidRPr="26F64964">
        <w:rPr>
          <w:rFonts w:asciiTheme="minorHAnsi" w:eastAsia="Times New Roman" w:hAnsiTheme="minorHAnsi" w:cstheme="minorBidi"/>
          <w:lang w:val="en-GB" w:eastAsia="en-GB"/>
        </w:rPr>
        <w:t xml:space="preserve">here is </w:t>
      </w:r>
      <w:r w:rsidR="001841E3" w:rsidRPr="26F64964">
        <w:rPr>
          <w:rFonts w:asciiTheme="minorHAnsi" w:eastAsia="Times New Roman" w:hAnsiTheme="minorHAnsi" w:cstheme="minorBidi"/>
          <w:lang w:val="en-GB" w:eastAsia="en-GB"/>
        </w:rPr>
        <w:t xml:space="preserve">still </w:t>
      </w:r>
      <w:r w:rsidR="00B21D03" w:rsidRPr="26F64964">
        <w:rPr>
          <w:rFonts w:asciiTheme="minorHAnsi" w:eastAsia="Times New Roman" w:hAnsiTheme="minorHAnsi" w:cstheme="minorBidi"/>
          <w:lang w:val="en-GB" w:eastAsia="en-GB"/>
        </w:rPr>
        <w:t xml:space="preserve">a gap </w:t>
      </w:r>
      <w:r w:rsidR="001841E3" w:rsidRPr="26F64964">
        <w:rPr>
          <w:rFonts w:asciiTheme="minorHAnsi" w:eastAsia="Times New Roman" w:hAnsiTheme="minorHAnsi" w:cstheme="minorBidi"/>
          <w:lang w:val="en-GB" w:eastAsia="en-GB"/>
        </w:rPr>
        <w:t>regarding the role of</w:t>
      </w:r>
      <w:r w:rsidR="00A05C95" w:rsidRPr="26F64964">
        <w:rPr>
          <w:rFonts w:asciiTheme="minorHAnsi" w:eastAsia="Times New Roman" w:hAnsiTheme="minorHAnsi" w:cstheme="minorBidi"/>
          <w:lang w:val="en-GB" w:eastAsia="en-GB"/>
        </w:rPr>
        <w:t xml:space="preserve"> </w:t>
      </w:r>
      <w:r w:rsidR="002A16D8" w:rsidRPr="26F64964">
        <w:rPr>
          <w:rFonts w:asciiTheme="minorHAnsi" w:eastAsia="Times New Roman" w:hAnsiTheme="minorHAnsi" w:cstheme="minorBidi"/>
          <w:lang w:val="en-GB" w:eastAsia="en-GB"/>
        </w:rPr>
        <w:t>eHealth</w:t>
      </w:r>
      <w:r w:rsidR="00A05C95" w:rsidRPr="26F64964">
        <w:rPr>
          <w:rFonts w:asciiTheme="minorHAnsi" w:eastAsia="Times New Roman" w:hAnsiTheme="minorHAnsi" w:cstheme="minorBidi"/>
          <w:lang w:val="en-GB" w:eastAsia="en-GB"/>
        </w:rPr>
        <w:t xml:space="preserve"> in transplantation, such as incorporating cultural factors into </w:t>
      </w:r>
      <w:r w:rsidR="001841E3" w:rsidRPr="26F64964">
        <w:rPr>
          <w:rFonts w:asciiTheme="minorHAnsi" w:eastAsia="Times New Roman" w:hAnsiTheme="minorHAnsi" w:cstheme="minorBidi"/>
          <w:lang w:val="en-GB" w:eastAsia="en-GB"/>
        </w:rPr>
        <w:t xml:space="preserve">the </w:t>
      </w:r>
      <w:r w:rsidR="00A05C95" w:rsidRPr="26F64964">
        <w:rPr>
          <w:rFonts w:asciiTheme="minorHAnsi" w:eastAsia="Times New Roman" w:hAnsiTheme="minorHAnsi" w:cstheme="minorBidi"/>
          <w:lang w:val="en-GB" w:eastAsia="en-GB"/>
        </w:rPr>
        <w:t>desig</w:t>
      </w:r>
      <w:r w:rsidR="001841E3" w:rsidRPr="26F64964">
        <w:rPr>
          <w:rFonts w:asciiTheme="minorHAnsi" w:eastAsia="Times New Roman" w:hAnsiTheme="minorHAnsi" w:cstheme="minorBidi"/>
          <w:lang w:val="en-GB" w:eastAsia="en-GB"/>
        </w:rPr>
        <w:t xml:space="preserve">n </w:t>
      </w:r>
      <w:r w:rsidR="00E03AB0" w:rsidRPr="26F64964">
        <w:rPr>
          <w:rFonts w:asciiTheme="minorHAnsi" w:eastAsia="Times New Roman" w:hAnsiTheme="minorHAnsi" w:cstheme="minorBidi"/>
          <w:lang w:val="en-GB" w:eastAsia="en-GB"/>
        </w:rPr>
        <w:t>of eHealth</w:t>
      </w:r>
      <w:r w:rsidR="00A05C95" w:rsidRPr="26F64964">
        <w:rPr>
          <w:rFonts w:asciiTheme="minorHAnsi" w:eastAsia="Times New Roman" w:hAnsiTheme="minorHAnsi" w:cstheme="minorBidi"/>
          <w:lang w:val="en-GB" w:eastAsia="en-GB"/>
        </w:rPr>
        <w:t xml:space="preserve"> devices for diverse group</w:t>
      </w:r>
      <w:r w:rsidR="001841E3" w:rsidRPr="26F64964">
        <w:rPr>
          <w:rFonts w:asciiTheme="minorHAnsi" w:eastAsia="Times New Roman" w:hAnsiTheme="minorHAnsi" w:cstheme="minorBidi"/>
          <w:lang w:val="en-GB" w:eastAsia="en-GB"/>
        </w:rPr>
        <w:t>s</w:t>
      </w:r>
      <w:r w:rsidR="00A05C95" w:rsidRPr="26F64964">
        <w:rPr>
          <w:rFonts w:asciiTheme="minorHAnsi" w:eastAsia="Times New Roman" w:hAnsiTheme="minorHAnsi" w:cstheme="minorBidi"/>
          <w:lang w:val="en-GB" w:eastAsia="en-GB"/>
        </w:rPr>
        <w:t xml:space="preserve"> of users. </w:t>
      </w:r>
      <w:r w:rsidR="001841E3" w:rsidRPr="26F64964">
        <w:rPr>
          <w:rFonts w:asciiTheme="minorHAnsi" w:eastAsia="Times New Roman" w:hAnsiTheme="minorHAnsi" w:cstheme="minorBidi"/>
          <w:lang w:val="en-GB" w:eastAsia="en-GB"/>
        </w:rPr>
        <w:t>Therefore, f</w:t>
      </w:r>
      <w:r w:rsidR="00A05C95" w:rsidRPr="26F64964">
        <w:rPr>
          <w:rFonts w:asciiTheme="minorHAnsi" w:eastAsia="Times New Roman" w:hAnsiTheme="minorHAnsi" w:cstheme="minorBidi"/>
          <w:lang w:val="en-GB" w:eastAsia="en-GB"/>
        </w:rPr>
        <w:t xml:space="preserve">uture studies </w:t>
      </w:r>
      <w:r w:rsidR="001841E3" w:rsidRPr="26F64964">
        <w:rPr>
          <w:rFonts w:asciiTheme="minorHAnsi" w:eastAsia="Times New Roman" w:hAnsiTheme="minorHAnsi" w:cstheme="minorBidi"/>
          <w:lang w:val="en-GB" w:eastAsia="en-GB"/>
        </w:rPr>
        <w:t xml:space="preserve">may </w:t>
      </w:r>
      <w:r w:rsidR="00A05C95" w:rsidRPr="26F64964">
        <w:rPr>
          <w:rFonts w:asciiTheme="minorHAnsi" w:eastAsia="Times New Roman" w:hAnsiTheme="minorHAnsi" w:cstheme="minorBidi"/>
          <w:lang w:val="en-GB" w:eastAsia="en-GB"/>
        </w:rPr>
        <w:t xml:space="preserve">further investigate the important influencing factors </w:t>
      </w:r>
      <w:r w:rsidR="001841E3" w:rsidRPr="26F64964">
        <w:rPr>
          <w:rFonts w:asciiTheme="minorHAnsi" w:eastAsia="Times New Roman" w:hAnsiTheme="minorHAnsi" w:cstheme="minorBidi"/>
          <w:lang w:val="en-GB" w:eastAsia="en-GB"/>
        </w:rPr>
        <w:t xml:space="preserve">and develop a comprehensive framework </w:t>
      </w:r>
      <w:r w:rsidR="00A05C95" w:rsidRPr="26F64964">
        <w:rPr>
          <w:rFonts w:asciiTheme="minorHAnsi" w:eastAsia="Times New Roman" w:hAnsiTheme="minorHAnsi" w:cstheme="minorBidi"/>
          <w:lang w:val="en-GB" w:eastAsia="en-GB"/>
        </w:rPr>
        <w:t xml:space="preserve">for designing eHealth tools. </w:t>
      </w:r>
      <w:r w:rsidRPr="26F64964">
        <w:rPr>
          <w:rFonts w:eastAsia="Times New Roman"/>
          <w:color w:val="7030A0"/>
          <w:lang w:eastAsia="en-GB"/>
        </w:rPr>
        <w:br w:type="page"/>
      </w:r>
    </w:p>
    <w:sdt>
      <w:sdtPr>
        <w:rPr>
          <w:rFonts w:asciiTheme="minorHAnsi" w:hAnsiTheme="minorHAnsi" w:cstheme="minorHAnsi"/>
          <w:b/>
          <w:bCs/>
          <w:color w:val="auto"/>
          <w:spacing w:val="0"/>
          <w:sz w:val="20"/>
          <w:szCs w:val="20"/>
        </w:rPr>
        <w:id w:val="946874907"/>
        <w:docPartObj>
          <w:docPartGallery w:val="Table of Contents"/>
          <w:docPartUnique/>
        </w:docPartObj>
      </w:sdtPr>
      <w:sdtContent>
        <w:p w14:paraId="10A36004" w14:textId="7E68EBD2" w:rsidR="00B54AD7" w:rsidRDefault="00B54AD7">
          <w:pPr>
            <w:pStyle w:val="TOCHeading"/>
          </w:pPr>
          <w:r>
            <w:t>Table of Contents</w:t>
          </w:r>
        </w:p>
        <w:p w14:paraId="72F20D1C" w14:textId="56224384" w:rsidR="00404F1D" w:rsidRDefault="2C43722A">
          <w:pPr>
            <w:pStyle w:val="TOC1"/>
            <w:tabs>
              <w:tab w:val="right" w:leader="dot" w:pos="8494"/>
            </w:tabs>
            <w:rPr>
              <w:rFonts w:eastAsiaTheme="minorEastAsia" w:cstheme="minorBidi"/>
              <w:b w:val="0"/>
              <w:bCs w:val="0"/>
              <w:caps w:val="0"/>
              <w:noProof/>
              <w:kern w:val="2"/>
              <w:sz w:val="24"/>
              <w:szCs w:val="24"/>
              <w:lang w:eastAsia="en-GB"/>
              <w14:ligatures w14:val="standardContextual"/>
            </w:rPr>
          </w:pPr>
          <w:r>
            <w:rPr>
              <w:b w:val="0"/>
              <w:bCs w:val="0"/>
              <w:caps w:val="0"/>
              <w:smallCaps/>
            </w:rPr>
            <w:fldChar w:fldCharType="begin"/>
          </w:r>
          <w:r w:rsidR="00B54AD7">
            <w:instrText>TOC \o "1-3" \h \z \u</w:instrText>
          </w:r>
          <w:r>
            <w:rPr>
              <w:b w:val="0"/>
              <w:bCs w:val="0"/>
              <w:caps w:val="0"/>
              <w:smallCaps/>
            </w:rPr>
            <w:fldChar w:fldCharType="separate"/>
          </w:r>
          <w:hyperlink w:anchor="_Toc166853971" w:history="1">
            <w:r w:rsidR="00404F1D" w:rsidRPr="00134AA6">
              <w:rPr>
                <w:rStyle w:val="Hyperlink"/>
                <w:rFonts w:eastAsia="Times New Roman"/>
                <w:noProof/>
                <w:lang w:eastAsia="en-GB"/>
              </w:rPr>
              <w:t>Abstract</w:t>
            </w:r>
            <w:r w:rsidR="00404F1D">
              <w:rPr>
                <w:noProof/>
                <w:webHidden/>
              </w:rPr>
              <w:tab/>
            </w:r>
            <w:r w:rsidR="00404F1D">
              <w:rPr>
                <w:noProof/>
                <w:webHidden/>
              </w:rPr>
              <w:fldChar w:fldCharType="begin"/>
            </w:r>
            <w:r w:rsidR="00404F1D">
              <w:rPr>
                <w:noProof/>
                <w:webHidden/>
              </w:rPr>
              <w:instrText xml:space="preserve"> PAGEREF _Toc166853971 \h </w:instrText>
            </w:r>
            <w:r w:rsidR="00404F1D">
              <w:rPr>
                <w:noProof/>
                <w:webHidden/>
              </w:rPr>
            </w:r>
            <w:r w:rsidR="00404F1D">
              <w:rPr>
                <w:noProof/>
                <w:webHidden/>
              </w:rPr>
              <w:fldChar w:fldCharType="separate"/>
            </w:r>
            <w:r w:rsidR="00404F1D">
              <w:rPr>
                <w:noProof/>
                <w:webHidden/>
              </w:rPr>
              <w:t>2</w:t>
            </w:r>
            <w:r w:rsidR="00404F1D">
              <w:rPr>
                <w:noProof/>
                <w:webHidden/>
              </w:rPr>
              <w:fldChar w:fldCharType="end"/>
            </w:r>
          </w:hyperlink>
        </w:p>
        <w:p w14:paraId="4AEDD9D7" w14:textId="6DA75BBB"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72" w:history="1">
            <w:r w:rsidRPr="00134AA6">
              <w:rPr>
                <w:rStyle w:val="Hyperlink"/>
                <w:noProof/>
              </w:rPr>
              <w:t>List of Figures</w:t>
            </w:r>
            <w:r>
              <w:rPr>
                <w:noProof/>
                <w:webHidden/>
              </w:rPr>
              <w:tab/>
            </w:r>
            <w:r>
              <w:rPr>
                <w:noProof/>
                <w:webHidden/>
              </w:rPr>
              <w:fldChar w:fldCharType="begin"/>
            </w:r>
            <w:r>
              <w:rPr>
                <w:noProof/>
                <w:webHidden/>
              </w:rPr>
              <w:instrText xml:space="preserve"> PAGEREF _Toc166853972 \h </w:instrText>
            </w:r>
            <w:r>
              <w:rPr>
                <w:noProof/>
                <w:webHidden/>
              </w:rPr>
            </w:r>
            <w:r>
              <w:rPr>
                <w:noProof/>
                <w:webHidden/>
              </w:rPr>
              <w:fldChar w:fldCharType="separate"/>
            </w:r>
            <w:r>
              <w:rPr>
                <w:noProof/>
                <w:webHidden/>
              </w:rPr>
              <w:t>5</w:t>
            </w:r>
            <w:r>
              <w:rPr>
                <w:noProof/>
                <w:webHidden/>
              </w:rPr>
              <w:fldChar w:fldCharType="end"/>
            </w:r>
          </w:hyperlink>
        </w:p>
        <w:p w14:paraId="21CAF1E3" w14:textId="0EC1C115"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73" w:history="1">
            <w:r w:rsidRPr="00134AA6">
              <w:rPr>
                <w:rStyle w:val="Hyperlink"/>
                <w:noProof/>
              </w:rPr>
              <w:t>List of Tables</w:t>
            </w:r>
            <w:r>
              <w:rPr>
                <w:noProof/>
                <w:webHidden/>
              </w:rPr>
              <w:tab/>
            </w:r>
            <w:r>
              <w:rPr>
                <w:noProof/>
                <w:webHidden/>
              </w:rPr>
              <w:fldChar w:fldCharType="begin"/>
            </w:r>
            <w:r>
              <w:rPr>
                <w:noProof/>
                <w:webHidden/>
              </w:rPr>
              <w:instrText xml:space="preserve"> PAGEREF _Toc166853973 \h </w:instrText>
            </w:r>
            <w:r>
              <w:rPr>
                <w:noProof/>
                <w:webHidden/>
              </w:rPr>
            </w:r>
            <w:r>
              <w:rPr>
                <w:noProof/>
                <w:webHidden/>
              </w:rPr>
              <w:fldChar w:fldCharType="separate"/>
            </w:r>
            <w:r>
              <w:rPr>
                <w:noProof/>
                <w:webHidden/>
              </w:rPr>
              <w:t>6</w:t>
            </w:r>
            <w:r>
              <w:rPr>
                <w:noProof/>
                <w:webHidden/>
              </w:rPr>
              <w:fldChar w:fldCharType="end"/>
            </w:r>
          </w:hyperlink>
        </w:p>
        <w:p w14:paraId="01AE50B5" w14:textId="2FAAC9B3"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74" w:history="1">
            <w:r w:rsidRPr="00134AA6">
              <w:rPr>
                <w:rStyle w:val="Hyperlink"/>
                <w:rFonts w:eastAsia="Times New Roman"/>
                <w:noProof/>
                <w:lang w:eastAsia="en-GB"/>
              </w:rPr>
              <w:t>attestation of Authorship</w:t>
            </w:r>
            <w:r>
              <w:rPr>
                <w:noProof/>
                <w:webHidden/>
              </w:rPr>
              <w:tab/>
            </w:r>
            <w:r>
              <w:rPr>
                <w:noProof/>
                <w:webHidden/>
              </w:rPr>
              <w:fldChar w:fldCharType="begin"/>
            </w:r>
            <w:r>
              <w:rPr>
                <w:noProof/>
                <w:webHidden/>
              </w:rPr>
              <w:instrText xml:space="preserve"> PAGEREF _Toc166853974 \h </w:instrText>
            </w:r>
            <w:r>
              <w:rPr>
                <w:noProof/>
                <w:webHidden/>
              </w:rPr>
            </w:r>
            <w:r>
              <w:rPr>
                <w:noProof/>
                <w:webHidden/>
              </w:rPr>
              <w:fldChar w:fldCharType="separate"/>
            </w:r>
            <w:r>
              <w:rPr>
                <w:noProof/>
                <w:webHidden/>
              </w:rPr>
              <w:t>7</w:t>
            </w:r>
            <w:r>
              <w:rPr>
                <w:noProof/>
                <w:webHidden/>
              </w:rPr>
              <w:fldChar w:fldCharType="end"/>
            </w:r>
          </w:hyperlink>
        </w:p>
        <w:p w14:paraId="175AEEEC" w14:textId="52F75A3F"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75" w:history="1">
            <w:r w:rsidRPr="00134AA6">
              <w:rPr>
                <w:rStyle w:val="Hyperlink"/>
                <w:rFonts w:eastAsia="Times New Roman"/>
                <w:noProof/>
                <w:lang w:eastAsia="en-GB"/>
              </w:rPr>
              <w:t>Acknowledgements</w:t>
            </w:r>
            <w:r>
              <w:rPr>
                <w:noProof/>
                <w:webHidden/>
              </w:rPr>
              <w:tab/>
            </w:r>
            <w:r>
              <w:rPr>
                <w:noProof/>
                <w:webHidden/>
              </w:rPr>
              <w:fldChar w:fldCharType="begin"/>
            </w:r>
            <w:r>
              <w:rPr>
                <w:noProof/>
                <w:webHidden/>
              </w:rPr>
              <w:instrText xml:space="preserve"> PAGEREF _Toc166853975 \h </w:instrText>
            </w:r>
            <w:r>
              <w:rPr>
                <w:noProof/>
                <w:webHidden/>
              </w:rPr>
            </w:r>
            <w:r>
              <w:rPr>
                <w:noProof/>
                <w:webHidden/>
              </w:rPr>
              <w:fldChar w:fldCharType="separate"/>
            </w:r>
            <w:r>
              <w:rPr>
                <w:noProof/>
                <w:webHidden/>
              </w:rPr>
              <w:t>8</w:t>
            </w:r>
            <w:r>
              <w:rPr>
                <w:noProof/>
                <w:webHidden/>
              </w:rPr>
              <w:fldChar w:fldCharType="end"/>
            </w:r>
          </w:hyperlink>
        </w:p>
        <w:p w14:paraId="168C8BF0" w14:textId="1311C843"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76" w:history="1">
            <w:r w:rsidRPr="00134AA6">
              <w:rPr>
                <w:rStyle w:val="Hyperlink"/>
                <w:noProof/>
              </w:rPr>
              <w:t>Chapter 1: Introduction</w:t>
            </w:r>
            <w:r>
              <w:rPr>
                <w:noProof/>
                <w:webHidden/>
              </w:rPr>
              <w:tab/>
            </w:r>
            <w:r>
              <w:rPr>
                <w:noProof/>
                <w:webHidden/>
              </w:rPr>
              <w:fldChar w:fldCharType="begin"/>
            </w:r>
            <w:r>
              <w:rPr>
                <w:noProof/>
                <w:webHidden/>
              </w:rPr>
              <w:instrText xml:space="preserve"> PAGEREF _Toc166853976 \h </w:instrText>
            </w:r>
            <w:r>
              <w:rPr>
                <w:noProof/>
                <w:webHidden/>
              </w:rPr>
            </w:r>
            <w:r>
              <w:rPr>
                <w:noProof/>
                <w:webHidden/>
              </w:rPr>
              <w:fldChar w:fldCharType="separate"/>
            </w:r>
            <w:r>
              <w:rPr>
                <w:noProof/>
                <w:webHidden/>
              </w:rPr>
              <w:t>9</w:t>
            </w:r>
            <w:r>
              <w:rPr>
                <w:noProof/>
                <w:webHidden/>
              </w:rPr>
              <w:fldChar w:fldCharType="end"/>
            </w:r>
          </w:hyperlink>
        </w:p>
        <w:p w14:paraId="28E12325" w14:textId="5BF916A3"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77" w:history="1">
            <w:r w:rsidRPr="00134AA6">
              <w:rPr>
                <w:rStyle w:val="Hyperlink"/>
                <w:noProof/>
              </w:rPr>
              <w:t>1.1 Background</w:t>
            </w:r>
            <w:r>
              <w:rPr>
                <w:noProof/>
                <w:webHidden/>
              </w:rPr>
              <w:tab/>
            </w:r>
            <w:r>
              <w:rPr>
                <w:noProof/>
                <w:webHidden/>
              </w:rPr>
              <w:fldChar w:fldCharType="begin"/>
            </w:r>
            <w:r>
              <w:rPr>
                <w:noProof/>
                <w:webHidden/>
              </w:rPr>
              <w:instrText xml:space="preserve"> PAGEREF _Toc166853977 \h </w:instrText>
            </w:r>
            <w:r>
              <w:rPr>
                <w:noProof/>
                <w:webHidden/>
              </w:rPr>
            </w:r>
            <w:r>
              <w:rPr>
                <w:noProof/>
                <w:webHidden/>
              </w:rPr>
              <w:fldChar w:fldCharType="separate"/>
            </w:r>
            <w:r>
              <w:rPr>
                <w:noProof/>
                <w:webHidden/>
              </w:rPr>
              <w:t>9</w:t>
            </w:r>
            <w:r>
              <w:rPr>
                <w:noProof/>
                <w:webHidden/>
              </w:rPr>
              <w:fldChar w:fldCharType="end"/>
            </w:r>
          </w:hyperlink>
        </w:p>
        <w:p w14:paraId="600E1BAE" w14:textId="172B0831"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78" w:history="1">
            <w:r w:rsidRPr="00134AA6">
              <w:rPr>
                <w:rStyle w:val="Hyperlink"/>
                <w:rFonts w:eastAsia="Times New Roman"/>
                <w:noProof/>
                <w:lang w:eastAsia="en-GB"/>
              </w:rPr>
              <w:t>Chapter 2: Literature Review</w:t>
            </w:r>
            <w:r>
              <w:rPr>
                <w:noProof/>
                <w:webHidden/>
              </w:rPr>
              <w:tab/>
            </w:r>
            <w:r>
              <w:rPr>
                <w:noProof/>
                <w:webHidden/>
              </w:rPr>
              <w:fldChar w:fldCharType="begin"/>
            </w:r>
            <w:r>
              <w:rPr>
                <w:noProof/>
                <w:webHidden/>
              </w:rPr>
              <w:instrText xml:space="preserve"> PAGEREF _Toc166853978 \h </w:instrText>
            </w:r>
            <w:r>
              <w:rPr>
                <w:noProof/>
                <w:webHidden/>
              </w:rPr>
            </w:r>
            <w:r>
              <w:rPr>
                <w:noProof/>
                <w:webHidden/>
              </w:rPr>
              <w:fldChar w:fldCharType="separate"/>
            </w:r>
            <w:r>
              <w:rPr>
                <w:noProof/>
                <w:webHidden/>
              </w:rPr>
              <w:t>12</w:t>
            </w:r>
            <w:r>
              <w:rPr>
                <w:noProof/>
                <w:webHidden/>
              </w:rPr>
              <w:fldChar w:fldCharType="end"/>
            </w:r>
          </w:hyperlink>
        </w:p>
        <w:p w14:paraId="1848C8DE" w14:textId="053BF024"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79" w:history="1">
            <w:r w:rsidRPr="00134AA6">
              <w:rPr>
                <w:rStyle w:val="Hyperlink"/>
                <w:rFonts w:eastAsia="Times New Roman"/>
                <w:noProof/>
                <w:lang w:val="en-GB" w:eastAsia="en-GB"/>
              </w:rPr>
              <w:t>2.1 Digital Health Devices in Healthcare</w:t>
            </w:r>
            <w:r>
              <w:rPr>
                <w:noProof/>
                <w:webHidden/>
              </w:rPr>
              <w:tab/>
            </w:r>
            <w:r>
              <w:rPr>
                <w:noProof/>
                <w:webHidden/>
              </w:rPr>
              <w:fldChar w:fldCharType="begin"/>
            </w:r>
            <w:r>
              <w:rPr>
                <w:noProof/>
                <w:webHidden/>
              </w:rPr>
              <w:instrText xml:space="preserve"> PAGEREF _Toc166853979 \h </w:instrText>
            </w:r>
            <w:r>
              <w:rPr>
                <w:noProof/>
                <w:webHidden/>
              </w:rPr>
            </w:r>
            <w:r>
              <w:rPr>
                <w:noProof/>
                <w:webHidden/>
              </w:rPr>
              <w:fldChar w:fldCharType="separate"/>
            </w:r>
            <w:r>
              <w:rPr>
                <w:noProof/>
                <w:webHidden/>
              </w:rPr>
              <w:t>12</w:t>
            </w:r>
            <w:r>
              <w:rPr>
                <w:noProof/>
                <w:webHidden/>
              </w:rPr>
              <w:fldChar w:fldCharType="end"/>
            </w:r>
          </w:hyperlink>
        </w:p>
        <w:p w14:paraId="3B4E9A48" w14:textId="528908E6"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0" w:history="1">
            <w:r w:rsidRPr="00134AA6">
              <w:rPr>
                <w:rStyle w:val="Hyperlink"/>
                <w:rFonts w:eastAsia="Times New Roman"/>
                <w:noProof/>
                <w:lang w:val="en-GB" w:eastAsia="en-GB"/>
              </w:rPr>
              <w:t>2.2 Role of Digital Health (eHealth) in Transplant</w:t>
            </w:r>
            <w:r w:rsidRPr="00134AA6">
              <w:rPr>
                <w:rStyle w:val="Hyperlink"/>
                <w:noProof/>
              </w:rPr>
              <w:t xml:space="preserve"> context</w:t>
            </w:r>
            <w:r>
              <w:rPr>
                <w:noProof/>
                <w:webHidden/>
              </w:rPr>
              <w:tab/>
            </w:r>
            <w:r>
              <w:rPr>
                <w:noProof/>
                <w:webHidden/>
              </w:rPr>
              <w:fldChar w:fldCharType="begin"/>
            </w:r>
            <w:r>
              <w:rPr>
                <w:noProof/>
                <w:webHidden/>
              </w:rPr>
              <w:instrText xml:space="preserve"> PAGEREF _Toc166853980 \h </w:instrText>
            </w:r>
            <w:r>
              <w:rPr>
                <w:noProof/>
                <w:webHidden/>
              </w:rPr>
            </w:r>
            <w:r>
              <w:rPr>
                <w:noProof/>
                <w:webHidden/>
              </w:rPr>
              <w:fldChar w:fldCharType="separate"/>
            </w:r>
            <w:r>
              <w:rPr>
                <w:noProof/>
                <w:webHidden/>
              </w:rPr>
              <w:t>14</w:t>
            </w:r>
            <w:r>
              <w:rPr>
                <w:noProof/>
                <w:webHidden/>
              </w:rPr>
              <w:fldChar w:fldCharType="end"/>
            </w:r>
          </w:hyperlink>
        </w:p>
        <w:p w14:paraId="51818762" w14:textId="7F7C79DC"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1" w:history="1">
            <w:r w:rsidRPr="00134AA6">
              <w:rPr>
                <w:rStyle w:val="Hyperlink"/>
                <w:noProof/>
                <w:lang w:val="en-US" w:eastAsia="en-GB"/>
              </w:rPr>
              <w:t>2.3 Addressing an incomplete view of ehealth in transplantation</w:t>
            </w:r>
            <w:r>
              <w:rPr>
                <w:noProof/>
                <w:webHidden/>
              </w:rPr>
              <w:tab/>
            </w:r>
            <w:r>
              <w:rPr>
                <w:noProof/>
                <w:webHidden/>
              </w:rPr>
              <w:fldChar w:fldCharType="begin"/>
            </w:r>
            <w:r>
              <w:rPr>
                <w:noProof/>
                <w:webHidden/>
              </w:rPr>
              <w:instrText xml:space="preserve"> PAGEREF _Toc166853981 \h </w:instrText>
            </w:r>
            <w:r>
              <w:rPr>
                <w:noProof/>
                <w:webHidden/>
              </w:rPr>
            </w:r>
            <w:r>
              <w:rPr>
                <w:noProof/>
                <w:webHidden/>
              </w:rPr>
              <w:fldChar w:fldCharType="separate"/>
            </w:r>
            <w:r>
              <w:rPr>
                <w:noProof/>
                <w:webHidden/>
              </w:rPr>
              <w:t>16</w:t>
            </w:r>
            <w:r>
              <w:rPr>
                <w:noProof/>
                <w:webHidden/>
              </w:rPr>
              <w:fldChar w:fldCharType="end"/>
            </w:r>
          </w:hyperlink>
        </w:p>
        <w:p w14:paraId="7133A286" w14:textId="1D00B196"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2" w:history="1">
            <w:r w:rsidRPr="00134AA6">
              <w:rPr>
                <w:rStyle w:val="Hyperlink"/>
                <w:noProof/>
              </w:rPr>
              <w:t>2.4 Patient perspectives on ehealth in transplantation</w:t>
            </w:r>
            <w:r>
              <w:rPr>
                <w:noProof/>
                <w:webHidden/>
              </w:rPr>
              <w:tab/>
            </w:r>
            <w:r>
              <w:rPr>
                <w:noProof/>
                <w:webHidden/>
              </w:rPr>
              <w:fldChar w:fldCharType="begin"/>
            </w:r>
            <w:r>
              <w:rPr>
                <w:noProof/>
                <w:webHidden/>
              </w:rPr>
              <w:instrText xml:space="preserve"> PAGEREF _Toc166853982 \h </w:instrText>
            </w:r>
            <w:r>
              <w:rPr>
                <w:noProof/>
                <w:webHidden/>
              </w:rPr>
            </w:r>
            <w:r>
              <w:rPr>
                <w:noProof/>
                <w:webHidden/>
              </w:rPr>
              <w:fldChar w:fldCharType="separate"/>
            </w:r>
            <w:r>
              <w:rPr>
                <w:noProof/>
                <w:webHidden/>
              </w:rPr>
              <w:t>17</w:t>
            </w:r>
            <w:r>
              <w:rPr>
                <w:noProof/>
                <w:webHidden/>
              </w:rPr>
              <w:fldChar w:fldCharType="end"/>
            </w:r>
          </w:hyperlink>
        </w:p>
        <w:p w14:paraId="64EEEC68" w14:textId="50D5362B"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83" w:history="1">
            <w:r w:rsidRPr="00134AA6">
              <w:rPr>
                <w:rStyle w:val="Hyperlink"/>
                <w:rFonts w:eastAsia="Times New Roman"/>
                <w:noProof/>
                <w:lang w:eastAsia="en-GB"/>
              </w:rPr>
              <w:t>Chapter 3: Methodology</w:t>
            </w:r>
            <w:r>
              <w:rPr>
                <w:noProof/>
                <w:webHidden/>
              </w:rPr>
              <w:tab/>
            </w:r>
            <w:r>
              <w:rPr>
                <w:noProof/>
                <w:webHidden/>
              </w:rPr>
              <w:fldChar w:fldCharType="begin"/>
            </w:r>
            <w:r>
              <w:rPr>
                <w:noProof/>
                <w:webHidden/>
              </w:rPr>
              <w:instrText xml:space="preserve"> PAGEREF _Toc166853983 \h </w:instrText>
            </w:r>
            <w:r>
              <w:rPr>
                <w:noProof/>
                <w:webHidden/>
              </w:rPr>
            </w:r>
            <w:r>
              <w:rPr>
                <w:noProof/>
                <w:webHidden/>
              </w:rPr>
              <w:fldChar w:fldCharType="separate"/>
            </w:r>
            <w:r>
              <w:rPr>
                <w:noProof/>
                <w:webHidden/>
              </w:rPr>
              <w:t>18</w:t>
            </w:r>
            <w:r>
              <w:rPr>
                <w:noProof/>
                <w:webHidden/>
              </w:rPr>
              <w:fldChar w:fldCharType="end"/>
            </w:r>
          </w:hyperlink>
        </w:p>
        <w:p w14:paraId="3CF04A0B" w14:textId="048D9A4A"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4" w:history="1">
            <w:r w:rsidRPr="00134AA6">
              <w:rPr>
                <w:rStyle w:val="Hyperlink"/>
                <w:rFonts w:eastAsia="Times New Roman"/>
                <w:noProof/>
                <w:lang w:eastAsia="en-GB"/>
              </w:rPr>
              <w:t>3.1 Systematic Literature review</w:t>
            </w:r>
            <w:r>
              <w:rPr>
                <w:noProof/>
                <w:webHidden/>
              </w:rPr>
              <w:tab/>
            </w:r>
            <w:r>
              <w:rPr>
                <w:noProof/>
                <w:webHidden/>
              </w:rPr>
              <w:fldChar w:fldCharType="begin"/>
            </w:r>
            <w:r>
              <w:rPr>
                <w:noProof/>
                <w:webHidden/>
              </w:rPr>
              <w:instrText xml:space="preserve"> PAGEREF _Toc166853984 \h </w:instrText>
            </w:r>
            <w:r>
              <w:rPr>
                <w:noProof/>
                <w:webHidden/>
              </w:rPr>
            </w:r>
            <w:r>
              <w:rPr>
                <w:noProof/>
                <w:webHidden/>
              </w:rPr>
              <w:fldChar w:fldCharType="separate"/>
            </w:r>
            <w:r>
              <w:rPr>
                <w:noProof/>
                <w:webHidden/>
              </w:rPr>
              <w:t>19</w:t>
            </w:r>
            <w:r>
              <w:rPr>
                <w:noProof/>
                <w:webHidden/>
              </w:rPr>
              <w:fldChar w:fldCharType="end"/>
            </w:r>
          </w:hyperlink>
        </w:p>
        <w:p w14:paraId="69554FED" w14:textId="742D30E3"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3985" w:history="1">
            <w:r w:rsidRPr="00134AA6">
              <w:rPr>
                <w:rStyle w:val="Hyperlink"/>
                <w:rFonts w:eastAsia="Times New Roman"/>
                <w:noProof/>
                <w:lang w:eastAsia="en-GB"/>
              </w:rPr>
              <w:t>Chapter 4: Findings</w:t>
            </w:r>
            <w:r>
              <w:rPr>
                <w:noProof/>
                <w:webHidden/>
              </w:rPr>
              <w:tab/>
            </w:r>
            <w:r>
              <w:rPr>
                <w:noProof/>
                <w:webHidden/>
              </w:rPr>
              <w:fldChar w:fldCharType="begin"/>
            </w:r>
            <w:r>
              <w:rPr>
                <w:noProof/>
                <w:webHidden/>
              </w:rPr>
              <w:instrText xml:space="preserve"> PAGEREF _Toc166853985 \h </w:instrText>
            </w:r>
            <w:r>
              <w:rPr>
                <w:noProof/>
                <w:webHidden/>
              </w:rPr>
            </w:r>
            <w:r>
              <w:rPr>
                <w:noProof/>
                <w:webHidden/>
              </w:rPr>
              <w:fldChar w:fldCharType="separate"/>
            </w:r>
            <w:r>
              <w:rPr>
                <w:noProof/>
                <w:webHidden/>
              </w:rPr>
              <w:t>23</w:t>
            </w:r>
            <w:r>
              <w:rPr>
                <w:noProof/>
                <w:webHidden/>
              </w:rPr>
              <w:fldChar w:fldCharType="end"/>
            </w:r>
          </w:hyperlink>
        </w:p>
        <w:p w14:paraId="08E81F54" w14:textId="518FB5C0"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6" w:history="1">
            <w:r w:rsidRPr="00134AA6">
              <w:rPr>
                <w:rStyle w:val="Hyperlink"/>
                <w:rFonts w:eastAsia="Times New Roman"/>
                <w:noProof/>
                <w:lang w:eastAsia="en-GB"/>
              </w:rPr>
              <w:t>4.1 Descriptive Overview</w:t>
            </w:r>
            <w:r>
              <w:rPr>
                <w:noProof/>
                <w:webHidden/>
              </w:rPr>
              <w:tab/>
            </w:r>
            <w:r>
              <w:rPr>
                <w:noProof/>
                <w:webHidden/>
              </w:rPr>
              <w:fldChar w:fldCharType="begin"/>
            </w:r>
            <w:r>
              <w:rPr>
                <w:noProof/>
                <w:webHidden/>
              </w:rPr>
              <w:instrText xml:space="preserve"> PAGEREF _Toc166853986 \h </w:instrText>
            </w:r>
            <w:r>
              <w:rPr>
                <w:noProof/>
                <w:webHidden/>
              </w:rPr>
            </w:r>
            <w:r>
              <w:rPr>
                <w:noProof/>
                <w:webHidden/>
              </w:rPr>
              <w:fldChar w:fldCharType="separate"/>
            </w:r>
            <w:r>
              <w:rPr>
                <w:noProof/>
                <w:webHidden/>
              </w:rPr>
              <w:t>23</w:t>
            </w:r>
            <w:r>
              <w:rPr>
                <w:noProof/>
                <w:webHidden/>
              </w:rPr>
              <w:fldChar w:fldCharType="end"/>
            </w:r>
          </w:hyperlink>
        </w:p>
        <w:p w14:paraId="4C068007" w14:textId="730FC027"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7" w:history="1">
            <w:r w:rsidRPr="00134AA6">
              <w:rPr>
                <w:rStyle w:val="Hyperlink"/>
                <w:noProof/>
                <w:lang w:val="en-US"/>
              </w:rPr>
              <w:t>4.2 Proposed Conceptual Framework and Extracted Themes</w:t>
            </w:r>
            <w:r>
              <w:rPr>
                <w:noProof/>
                <w:webHidden/>
              </w:rPr>
              <w:tab/>
            </w:r>
            <w:r>
              <w:rPr>
                <w:noProof/>
                <w:webHidden/>
              </w:rPr>
              <w:fldChar w:fldCharType="begin"/>
            </w:r>
            <w:r>
              <w:rPr>
                <w:noProof/>
                <w:webHidden/>
              </w:rPr>
              <w:instrText xml:space="preserve"> PAGEREF _Toc166853987 \h </w:instrText>
            </w:r>
            <w:r>
              <w:rPr>
                <w:noProof/>
                <w:webHidden/>
              </w:rPr>
            </w:r>
            <w:r>
              <w:rPr>
                <w:noProof/>
                <w:webHidden/>
              </w:rPr>
              <w:fldChar w:fldCharType="separate"/>
            </w:r>
            <w:r>
              <w:rPr>
                <w:noProof/>
                <w:webHidden/>
              </w:rPr>
              <w:t>26</w:t>
            </w:r>
            <w:r>
              <w:rPr>
                <w:noProof/>
                <w:webHidden/>
              </w:rPr>
              <w:fldChar w:fldCharType="end"/>
            </w:r>
          </w:hyperlink>
        </w:p>
        <w:p w14:paraId="306A7452" w14:textId="3C5ED601"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88" w:history="1">
            <w:r w:rsidRPr="00134AA6">
              <w:rPr>
                <w:rStyle w:val="Hyperlink"/>
                <w:rFonts w:eastAsia="Times New Roman"/>
                <w:noProof/>
                <w:lang w:eastAsia="en-GB"/>
              </w:rPr>
              <w:t>4.2.1 Barriers of using digital health devices</w:t>
            </w:r>
            <w:r>
              <w:rPr>
                <w:noProof/>
                <w:webHidden/>
              </w:rPr>
              <w:tab/>
            </w:r>
            <w:r>
              <w:rPr>
                <w:noProof/>
                <w:webHidden/>
              </w:rPr>
              <w:fldChar w:fldCharType="begin"/>
            </w:r>
            <w:r>
              <w:rPr>
                <w:noProof/>
                <w:webHidden/>
              </w:rPr>
              <w:instrText xml:space="preserve"> PAGEREF _Toc166853988 \h </w:instrText>
            </w:r>
            <w:r>
              <w:rPr>
                <w:noProof/>
                <w:webHidden/>
              </w:rPr>
            </w:r>
            <w:r>
              <w:rPr>
                <w:noProof/>
                <w:webHidden/>
              </w:rPr>
              <w:fldChar w:fldCharType="separate"/>
            </w:r>
            <w:r>
              <w:rPr>
                <w:noProof/>
                <w:webHidden/>
              </w:rPr>
              <w:t>27</w:t>
            </w:r>
            <w:r>
              <w:rPr>
                <w:noProof/>
                <w:webHidden/>
              </w:rPr>
              <w:fldChar w:fldCharType="end"/>
            </w:r>
          </w:hyperlink>
        </w:p>
        <w:p w14:paraId="7EFD3737" w14:textId="061E4C64"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89" w:history="1">
            <w:r w:rsidRPr="00134AA6">
              <w:rPr>
                <w:rStyle w:val="Hyperlink"/>
                <w:noProof/>
                <w:lang w:val="en-US"/>
              </w:rPr>
              <w:t>4.2.1.1 Knowledge and Access Barriers</w:t>
            </w:r>
            <w:r>
              <w:rPr>
                <w:noProof/>
                <w:webHidden/>
              </w:rPr>
              <w:tab/>
            </w:r>
            <w:r>
              <w:rPr>
                <w:noProof/>
                <w:webHidden/>
              </w:rPr>
              <w:fldChar w:fldCharType="begin"/>
            </w:r>
            <w:r>
              <w:rPr>
                <w:noProof/>
                <w:webHidden/>
              </w:rPr>
              <w:instrText xml:space="preserve"> PAGEREF _Toc166853989 \h </w:instrText>
            </w:r>
            <w:r>
              <w:rPr>
                <w:noProof/>
                <w:webHidden/>
              </w:rPr>
            </w:r>
            <w:r>
              <w:rPr>
                <w:noProof/>
                <w:webHidden/>
              </w:rPr>
              <w:fldChar w:fldCharType="separate"/>
            </w:r>
            <w:r>
              <w:rPr>
                <w:noProof/>
                <w:webHidden/>
              </w:rPr>
              <w:t>27</w:t>
            </w:r>
            <w:r>
              <w:rPr>
                <w:noProof/>
                <w:webHidden/>
              </w:rPr>
              <w:fldChar w:fldCharType="end"/>
            </w:r>
          </w:hyperlink>
        </w:p>
        <w:p w14:paraId="533C397B" w14:textId="0CF653E4"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0" w:history="1">
            <w:r w:rsidRPr="00134AA6">
              <w:rPr>
                <w:rStyle w:val="Hyperlink"/>
                <w:noProof/>
                <w:lang w:val="en-US"/>
              </w:rPr>
              <w:t>4.2.1.2 Usability and Implementation Challenges</w:t>
            </w:r>
            <w:r>
              <w:rPr>
                <w:noProof/>
                <w:webHidden/>
              </w:rPr>
              <w:tab/>
            </w:r>
            <w:r>
              <w:rPr>
                <w:noProof/>
                <w:webHidden/>
              </w:rPr>
              <w:fldChar w:fldCharType="begin"/>
            </w:r>
            <w:r>
              <w:rPr>
                <w:noProof/>
                <w:webHidden/>
              </w:rPr>
              <w:instrText xml:space="preserve"> PAGEREF _Toc166853990 \h </w:instrText>
            </w:r>
            <w:r>
              <w:rPr>
                <w:noProof/>
                <w:webHidden/>
              </w:rPr>
            </w:r>
            <w:r>
              <w:rPr>
                <w:noProof/>
                <w:webHidden/>
              </w:rPr>
              <w:fldChar w:fldCharType="separate"/>
            </w:r>
            <w:r>
              <w:rPr>
                <w:noProof/>
                <w:webHidden/>
              </w:rPr>
              <w:t>28</w:t>
            </w:r>
            <w:r>
              <w:rPr>
                <w:noProof/>
                <w:webHidden/>
              </w:rPr>
              <w:fldChar w:fldCharType="end"/>
            </w:r>
          </w:hyperlink>
        </w:p>
        <w:p w14:paraId="4876114E" w14:textId="6F6ACF60"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1" w:history="1">
            <w:r w:rsidRPr="00134AA6">
              <w:rPr>
                <w:rStyle w:val="Hyperlink"/>
                <w:noProof/>
                <w:lang w:val="en-US"/>
              </w:rPr>
              <w:t>4.2.1.3 User Experience and Trust Issues</w:t>
            </w:r>
            <w:r>
              <w:rPr>
                <w:noProof/>
                <w:webHidden/>
              </w:rPr>
              <w:tab/>
            </w:r>
            <w:r>
              <w:rPr>
                <w:noProof/>
                <w:webHidden/>
              </w:rPr>
              <w:fldChar w:fldCharType="begin"/>
            </w:r>
            <w:r>
              <w:rPr>
                <w:noProof/>
                <w:webHidden/>
              </w:rPr>
              <w:instrText xml:space="preserve"> PAGEREF _Toc166853991 \h </w:instrText>
            </w:r>
            <w:r>
              <w:rPr>
                <w:noProof/>
                <w:webHidden/>
              </w:rPr>
            </w:r>
            <w:r>
              <w:rPr>
                <w:noProof/>
                <w:webHidden/>
              </w:rPr>
              <w:fldChar w:fldCharType="separate"/>
            </w:r>
            <w:r>
              <w:rPr>
                <w:noProof/>
                <w:webHidden/>
              </w:rPr>
              <w:t>30</w:t>
            </w:r>
            <w:r>
              <w:rPr>
                <w:noProof/>
                <w:webHidden/>
              </w:rPr>
              <w:fldChar w:fldCharType="end"/>
            </w:r>
          </w:hyperlink>
        </w:p>
        <w:p w14:paraId="7482AD35" w14:textId="4D2A3CD8"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92" w:history="1">
            <w:r w:rsidRPr="00134AA6">
              <w:rPr>
                <w:rStyle w:val="Hyperlink"/>
                <w:rFonts w:eastAsia="Times New Roman"/>
                <w:noProof/>
                <w:lang w:eastAsia="en-GB"/>
              </w:rPr>
              <w:t>4.2 Benefits of using health devices</w:t>
            </w:r>
            <w:r>
              <w:rPr>
                <w:noProof/>
                <w:webHidden/>
              </w:rPr>
              <w:tab/>
            </w:r>
            <w:r>
              <w:rPr>
                <w:noProof/>
                <w:webHidden/>
              </w:rPr>
              <w:fldChar w:fldCharType="begin"/>
            </w:r>
            <w:r>
              <w:rPr>
                <w:noProof/>
                <w:webHidden/>
              </w:rPr>
              <w:instrText xml:space="preserve"> PAGEREF _Toc166853992 \h </w:instrText>
            </w:r>
            <w:r>
              <w:rPr>
                <w:noProof/>
                <w:webHidden/>
              </w:rPr>
            </w:r>
            <w:r>
              <w:rPr>
                <w:noProof/>
                <w:webHidden/>
              </w:rPr>
              <w:fldChar w:fldCharType="separate"/>
            </w:r>
            <w:r>
              <w:rPr>
                <w:noProof/>
                <w:webHidden/>
              </w:rPr>
              <w:t>31</w:t>
            </w:r>
            <w:r>
              <w:rPr>
                <w:noProof/>
                <w:webHidden/>
              </w:rPr>
              <w:fldChar w:fldCharType="end"/>
            </w:r>
          </w:hyperlink>
        </w:p>
        <w:p w14:paraId="543BBC38" w14:textId="19C363B2"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3" w:history="1">
            <w:r w:rsidRPr="00134AA6">
              <w:rPr>
                <w:rStyle w:val="Hyperlink"/>
                <w:rFonts w:eastAsia="Times New Roman"/>
                <w:noProof/>
                <w:lang w:eastAsia="en-GB"/>
              </w:rPr>
              <w:t>4.2.1 Improving patient care and engagement</w:t>
            </w:r>
            <w:r>
              <w:rPr>
                <w:noProof/>
                <w:webHidden/>
              </w:rPr>
              <w:tab/>
            </w:r>
            <w:r>
              <w:rPr>
                <w:noProof/>
                <w:webHidden/>
              </w:rPr>
              <w:fldChar w:fldCharType="begin"/>
            </w:r>
            <w:r>
              <w:rPr>
                <w:noProof/>
                <w:webHidden/>
              </w:rPr>
              <w:instrText xml:space="preserve"> PAGEREF _Toc166853993 \h </w:instrText>
            </w:r>
            <w:r>
              <w:rPr>
                <w:noProof/>
                <w:webHidden/>
              </w:rPr>
            </w:r>
            <w:r>
              <w:rPr>
                <w:noProof/>
                <w:webHidden/>
              </w:rPr>
              <w:fldChar w:fldCharType="separate"/>
            </w:r>
            <w:r>
              <w:rPr>
                <w:noProof/>
                <w:webHidden/>
              </w:rPr>
              <w:t>31</w:t>
            </w:r>
            <w:r>
              <w:rPr>
                <w:noProof/>
                <w:webHidden/>
              </w:rPr>
              <w:fldChar w:fldCharType="end"/>
            </w:r>
          </w:hyperlink>
        </w:p>
        <w:p w14:paraId="12B094D3" w14:textId="65D7A813"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4" w:history="1">
            <w:r w:rsidRPr="00134AA6">
              <w:rPr>
                <w:rStyle w:val="Hyperlink"/>
                <w:rFonts w:eastAsia="Times New Roman"/>
                <w:noProof/>
                <w:lang w:val="en-GB" w:eastAsia="en-GB"/>
              </w:rPr>
              <w:t>4.2.2 Convenience and Accessibility</w:t>
            </w:r>
            <w:r>
              <w:rPr>
                <w:noProof/>
                <w:webHidden/>
              </w:rPr>
              <w:tab/>
            </w:r>
            <w:r>
              <w:rPr>
                <w:noProof/>
                <w:webHidden/>
              </w:rPr>
              <w:fldChar w:fldCharType="begin"/>
            </w:r>
            <w:r>
              <w:rPr>
                <w:noProof/>
                <w:webHidden/>
              </w:rPr>
              <w:instrText xml:space="preserve"> PAGEREF _Toc166853994 \h </w:instrText>
            </w:r>
            <w:r>
              <w:rPr>
                <w:noProof/>
                <w:webHidden/>
              </w:rPr>
            </w:r>
            <w:r>
              <w:rPr>
                <w:noProof/>
                <w:webHidden/>
              </w:rPr>
              <w:fldChar w:fldCharType="separate"/>
            </w:r>
            <w:r>
              <w:rPr>
                <w:noProof/>
                <w:webHidden/>
              </w:rPr>
              <w:t>32</w:t>
            </w:r>
            <w:r>
              <w:rPr>
                <w:noProof/>
                <w:webHidden/>
              </w:rPr>
              <w:fldChar w:fldCharType="end"/>
            </w:r>
          </w:hyperlink>
        </w:p>
        <w:p w14:paraId="1B4A2C62" w14:textId="6D05A8B3"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5" w:history="1">
            <w:r w:rsidRPr="00134AA6">
              <w:rPr>
                <w:rStyle w:val="Hyperlink"/>
                <w:rFonts w:eastAsia="Times New Roman"/>
                <w:noProof/>
                <w:lang w:val="en-GB" w:eastAsia="en-GB"/>
              </w:rPr>
              <w:t>4.2.3 Empowerment and Safety</w:t>
            </w:r>
            <w:r>
              <w:rPr>
                <w:noProof/>
                <w:webHidden/>
              </w:rPr>
              <w:tab/>
            </w:r>
            <w:r>
              <w:rPr>
                <w:noProof/>
                <w:webHidden/>
              </w:rPr>
              <w:fldChar w:fldCharType="begin"/>
            </w:r>
            <w:r>
              <w:rPr>
                <w:noProof/>
                <w:webHidden/>
              </w:rPr>
              <w:instrText xml:space="preserve"> PAGEREF _Toc166853995 \h </w:instrText>
            </w:r>
            <w:r>
              <w:rPr>
                <w:noProof/>
                <w:webHidden/>
              </w:rPr>
            </w:r>
            <w:r>
              <w:rPr>
                <w:noProof/>
                <w:webHidden/>
              </w:rPr>
              <w:fldChar w:fldCharType="separate"/>
            </w:r>
            <w:r>
              <w:rPr>
                <w:noProof/>
                <w:webHidden/>
              </w:rPr>
              <w:t>32</w:t>
            </w:r>
            <w:r>
              <w:rPr>
                <w:noProof/>
                <w:webHidden/>
              </w:rPr>
              <w:fldChar w:fldCharType="end"/>
            </w:r>
          </w:hyperlink>
        </w:p>
        <w:p w14:paraId="07957B41" w14:textId="2E928137"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6" w:history="1">
            <w:r w:rsidRPr="00134AA6">
              <w:rPr>
                <w:rStyle w:val="Hyperlink"/>
                <w:rFonts w:eastAsia="Times New Roman"/>
                <w:noProof/>
                <w:lang w:val="en-GB" w:eastAsia="en-GB"/>
              </w:rPr>
              <w:t>4.2.4 Cost-Efficiency and Time Saving</w:t>
            </w:r>
            <w:r>
              <w:rPr>
                <w:noProof/>
                <w:webHidden/>
              </w:rPr>
              <w:tab/>
            </w:r>
            <w:r>
              <w:rPr>
                <w:noProof/>
                <w:webHidden/>
              </w:rPr>
              <w:fldChar w:fldCharType="begin"/>
            </w:r>
            <w:r>
              <w:rPr>
                <w:noProof/>
                <w:webHidden/>
              </w:rPr>
              <w:instrText xml:space="preserve"> PAGEREF _Toc166853996 \h </w:instrText>
            </w:r>
            <w:r>
              <w:rPr>
                <w:noProof/>
                <w:webHidden/>
              </w:rPr>
            </w:r>
            <w:r>
              <w:rPr>
                <w:noProof/>
                <w:webHidden/>
              </w:rPr>
              <w:fldChar w:fldCharType="separate"/>
            </w:r>
            <w:r>
              <w:rPr>
                <w:noProof/>
                <w:webHidden/>
              </w:rPr>
              <w:t>33</w:t>
            </w:r>
            <w:r>
              <w:rPr>
                <w:noProof/>
                <w:webHidden/>
              </w:rPr>
              <w:fldChar w:fldCharType="end"/>
            </w:r>
          </w:hyperlink>
        </w:p>
        <w:p w14:paraId="0CA62350" w14:textId="34B13F81"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3997" w:history="1">
            <w:r w:rsidRPr="00134AA6">
              <w:rPr>
                <w:rStyle w:val="Hyperlink"/>
                <w:rFonts w:eastAsia="Times New Roman"/>
                <w:noProof/>
                <w:lang w:eastAsia="en-GB"/>
              </w:rPr>
              <w:t>4.3 process of development of digital health</w:t>
            </w:r>
            <w:r>
              <w:rPr>
                <w:noProof/>
                <w:webHidden/>
              </w:rPr>
              <w:tab/>
            </w:r>
            <w:r>
              <w:rPr>
                <w:noProof/>
                <w:webHidden/>
              </w:rPr>
              <w:fldChar w:fldCharType="begin"/>
            </w:r>
            <w:r>
              <w:rPr>
                <w:noProof/>
                <w:webHidden/>
              </w:rPr>
              <w:instrText xml:space="preserve"> PAGEREF _Toc166853997 \h </w:instrText>
            </w:r>
            <w:r>
              <w:rPr>
                <w:noProof/>
                <w:webHidden/>
              </w:rPr>
            </w:r>
            <w:r>
              <w:rPr>
                <w:noProof/>
                <w:webHidden/>
              </w:rPr>
              <w:fldChar w:fldCharType="separate"/>
            </w:r>
            <w:r>
              <w:rPr>
                <w:noProof/>
                <w:webHidden/>
              </w:rPr>
              <w:t>33</w:t>
            </w:r>
            <w:r>
              <w:rPr>
                <w:noProof/>
                <w:webHidden/>
              </w:rPr>
              <w:fldChar w:fldCharType="end"/>
            </w:r>
          </w:hyperlink>
        </w:p>
        <w:p w14:paraId="5CA57E77" w14:textId="50B630E4"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8" w:history="1">
            <w:r w:rsidRPr="00134AA6">
              <w:rPr>
                <w:rStyle w:val="Hyperlink"/>
                <w:rFonts w:eastAsia="Times New Roman"/>
                <w:noProof/>
                <w:lang w:eastAsia="en-GB"/>
              </w:rPr>
              <w:t>4.3.1 Patient-Centered</w:t>
            </w:r>
            <w:r>
              <w:rPr>
                <w:noProof/>
                <w:webHidden/>
              </w:rPr>
              <w:tab/>
            </w:r>
            <w:r>
              <w:rPr>
                <w:noProof/>
                <w:webHidden/>
              </w:rPr>
              <w:fldChar w:fldCharType="begin"/>
            </w:r>
            <w:r>
              <w:rPr>
                <w:noProof/>
                <w:webHidden/>
              </w:rPr>
              <w:instrText xml:space="preserve"> PAGEREF _Toc166853998 \h </w:instrText>
            </w:r>
            <w:r>
              <w:rPr>
                <w:noProof/>
                <w:webHidden/>
              </w:rPr>
            </w:r>
            <w:r>
              <w:rPr>
                <w:noProof/>
                <w:webHidden/>
              </w:rPr>
              <w:fldChar w:fldCharType="separate"/>
            </w:r>
            <w:r>
              <w:rPr>
                <w:noProof/>
                <w:webHidden/>
              </w:rPr>
              <w:t>33</w:t>
            </w:r>
            <w:r>
              <w:rPr>
                <w:noProof/>
                <w:webHidden/>
              </w:rPr>
              <w:fldChar w:fldCharType="end"/>
            </w:r>
          </w:hyperlink>
        </w:p>
        <w:p w14:paraId="53F1833B" w14:textId="4949A99B"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3999" w:history="1">
            <w:r w:rsidRPr="00134AA6">
              <w:rPr>
                <w:rStyle w:val="Hyperlink"/>
                <w:rFonts w:eastAsia="Times New Roman"/>
                <w:noProof/>
                <w:lang w:eastAsia="en-GB"/>
              </w:rPr>
              <w:t>4.3.2 Preparation and Readiness</w:t>
            </w:r>
            <w:r>
              <w:rPr>
                <w:noProof/>
                <w:webHidden/>
              </w:rPr>
              <w:tab/>
            </w:r>
            <w:r>
              <w:rPr>
                <w:noProof/>
                <w:webHidden/>
              </w:rPr>
              <w:fldChar w:fldCharType="begin"/>
            </w:r>
            <w:r>
              <w:rPr>
                <w:noProof/>
                <w:webHidden/>
              </w:rPr>
              <w:instrText xml:space="preserve"> PAGEREF _Toc166853999 \h </w:instrText>
            </w:r>
            <w:r>
              <w:rPr>
                <w:noProof/>
                <w:webHidden/>
              </w:rPr>
            </w:r>
            <w:r>
              <w:rPr>
                <w:noProof/>
                <w:webHidden/>
              </w:rPr>
              <w:fldChar w:fldCharType="separate"/>
            </w:r>
            <w:r>
              <w:rPr>
                <w:noProof/>
                <w:webHidden/>
              </w:rPr>
              <w:t>34</w:t>
            </w:r>
            <w:r>
              <w:rPr>
                <w:noProof/>
                <w:webHidden/>
              </w:rPr>
              <w:fldChar w:fldCharType="end"/>
            </w:r>
          </w:hyperlink>
        </w:p>
        <w:p w14:paraId="73444CC4" w14:textId="0E7DEE05"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00" w:history="1">
            <w:r w:rsidRPr="00134AA6">
              <w:rPr>
                <w:rStyle w:val="Hyperlink"/>
                <w:rFonts w:eastAsia="Times New Roman"/>
                <w:noProof/>
                <w:lang w:eastAsia="en-GB"/>
              </w:rPr>
              <w:t>4.4 Users of digital health</w:t>
            </w:r>
            <w:r>
              <w:rPr>
                <w:noProof/>
                <w:webHidden/>
              </w:rPr>
              <w:tab/>
            </w:r>
            <w:r>
              <w:rPr>
                <w:noProof/>
                <w:webHidden/>
              </w:rPr>
              <w:fldChar w:fldCharType="begin"/>
            </w:r>
            <w:r>
              <w:rPr>
                <w:noProof/>
                <w:webHidden/>
              </w:rPr>
              <w:instrText xml:space="preserve"> PAGEREF _Toc166854000 \h </w:instrText>
            </w:r>
            <w:r>
              <w:rPr>
                <w:noProof/>
                <w:webHidden/>
              </w:rPr>
            </w:r>
            <w:r>
              <w:rPr>
                <w:noProof/>
                <w:webHidden/>
              </w:rPr>
              <w:fldChar w:fldCharType="separate"/>
            </w:r>
            <w:r>
              <w:rPr>
                <w:noProof/>
                <w:webHidden/>
              </w:rPr>
              <w:t>34</w:t>
            </w:r>
            <w:r>
              <w:rPr>
                <w:noProof/>
                <w:webHidden/>
              </w:rPr>
              <w:fldChar w:fldCharType="end"/>
            </w:r>
          </w:hyperlink>
        </w:p>
        <w:p w14:paraId="1E41EF58" w14:textId="18C37033"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01" w:history="1">
            <w:r w:rsidRPr="00134AA6">
              <w:rPr>
                <w:rStyle w:val="Hyperlink"/>
                <w:noProof/>
              </w:rPr>
              <w:t>4.4.1 Patients, Caregivers, families and digital health</w:t>
            </w:r>
            <w:r>
              <w:rPr>
                <w:noProof/>
                <w:webHidden/>
              </w:rPr>
              <w:tab/>
            </w:r>
            <w:r>
              <w:rPr>
                <w:noProof/>
                <w:webHidden/>
              </w:rPr>
              <w:fldChar w:fldCharType="begin"/>
            </w:r>
            <w:r>
              <w:rPr>
                <w:noProof/>
                <w:webHidden/>
              </w:rPr>
              <w:instrText xml:space="preserve"> PAGEREF _Toc166854001 \h </w:instrText>
            </w:r>
            <w:r>
              <w:rPr>
                <w:noProof/>
                <w:webHidden/>
              </w:rPr>
            </w:r>
            <w:r>
              <w:rPr>
                <w:noProof/>
                <w:webHidden/>
              </w:rPr>
              <w:fldChar w:fldCharType="separate"/>
            </w:r>
            <w:r>
              <w:rPr>
                <w:noProof/>
                <w:webHidden/>
              </w:rPr>
              <w:t>34</w:t>
            </w:r>
            <w:r>
              <w:rPr>
                <w:noProof/>
                <w:webHidden/>
              </w:rPr>
              <w:fldChar w:fldCharType="end"/>
            </w:r>
          </w:hyperlink>
        </w:p>
        <w:p w14:paraId="6287CB46" w14:textId="7187F7CF"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02" w:history="1">
            <w:r w:rsidRPr="00134AA6">
              <w:rPr>
                <w:rStyle w:val="Hyperlink"/>
                <w:rFonts w:eastAsia="Times New Roman"/>
                <w:noProof/>
                <w:lang w:eastAsia="en-GB"/>
              </w:rPr>
              <w:t>4.4.2 Transplant providers, clinicians, pharmacists and digital health</w:t>
            </w:r>
            <w:r>
              <w:rPr>
                <w:noProof/>
                <w:webHidden/>
              </w:rPr>
              <w:tab/>
            </w:r>
            <w:r>
              <w:rPr>
                <w:noProof/>
                <w:webHidden/>
              </w:rPr>
              <w:fldChar w:fldCharType="begin"/>
            </w:r>
            <w:r>
              <w:rPr>
                <w:noProof/>
                <w:webHidden/>
              </w:rPr>
              <w:instrText xml:space="preserve"> PAGEREF _Toc166854002 \h </w:instrText>
            </w:r>
            <w:r>
              <w:rPr>
                <w:noProof/>
                <w:webHidden/>
              </w:rPr>
            </w:r>
            <w:r>
              <w:rPr>
                <w:noProof/>
                <w:webHidden/>
              </w:rPr>
              <w:fldChar w:fldCharType="separate"/>
            </w:r>
            <w:r>
              <w:rPr>
                <w:noProof/>
                <w:webHidden/>
              </w:rPr>
              <w:t>35</w:t>
            </w:r>
            <w:r>
              <w:rPr>
                <w:noProof/>
                <w:webHidden/>
              </w:rPr>
              <w:fldChar w:fldCharType="end"/>
            </w:r>
          </w:hyperlink>
        </w:p>
        <w:p w14:paraId="0E8E2123" w14:textId="26370D46"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03" w:history="1">
            <w:r w:rsidRPr="00134AA6">
              <w:rPr>
                <w:rStyle w:val="Hyperlink"/>
                <w:noProof/>
                <w:lang w:eastAsia="en-GB"/>
              </w:rPr>
              <w:t>4.5 Reflexivity Principle of the Problematizing Review Process</w:t>
            </w:r>
            <w:r>
              <w:rPr>
                <w:noProof/>
                <w:webHidden/>
              </w:rPr>
              <w:tab/>
            </w:r>
            <w:r>
              <w:rPr>
                <w:noProof/>
                <w:webHidden/>
              </w:rPr>
              <w:fldChar w:fldCharType="begin"/>
            </w:r>
            <w:r>
              <w:rPr>
                <w:noProof/>
                <w:webHidden/>
              </w:rPr>
              <w:instrText xml:space="preserve"> PAGEREF _Toc166854003 \h </w:instrText>
            </w:r>
            <w:r>
              <w:rPr>
                <w:noProof/>
                <w:webHidden/>
              </w:rPr>
            </w:r>
            <w:r>
              <w:rPr>
                <w:noProof/>
                <w:webHidden/>
              </w:rPr>
              <w:fldChar w:fldCharType="separate"/>
            </w:r>
            <w:r>
              <w:rPr>
                <w:noProof/>
                <w:webHidden/>
              </w:rPr>
              <w:t>38</w:t>
            </w:r>
            <w:r>
              <w:rPr>
                <w:noProof/>
                <w:webHidden/>
              </w:rPr>
              <w:fldChar w:fldCharType="end"/>
            </w:r>
          </w:hyperlink>
        </w:p>
        <w:p w14:paraId="7D99F3FC" w14:textId="6248FE4A" w:rsidR="00404F1D" w:rsidRDefault="00404F1D">
          <w:pPr>
            <w:pStyle w:val="TOC1"/>
            <w:tabs>
              <w:tab w:val="right" w:leader="dot" w:pos="8494"/>
            </w:tabs>
            <w:rPr>
              <w:rFonts w:eastAsiaTheme="minorEastAsia" w:cstheme="minorBidi"/>
              <w:b w:val="0"/>
              <w:bCs w:val="0"/>
              <w:caps w:val="0"/>
              <w:noProof/>
              <w:kern w:val="2"/>
              <w:sz w:val="24"/>
              <w:szCs w:val="24"/>
              <w:lang w:eastAsia="en-GB"/>
              <w14:ligatures w14:val="standardContextual"/>
            </w:rPr>
          </w:pPr>
          <w:hyperlink w:anchor="_Toc166854004" w:history="1">
            <w:r w:rsidRPr="00134AA6">
              <w:rPr>
                <w:rStyle w:val="Hyperlink"/>
                <w:rFonts w:eastAsia="Times New Roman"/>
                <w:noProof/>
                <w:lang w:eastAsia="en-GB"/>
              </w:rPr>
              <w:t>Chapter 5: Discussion &amp; Conclusion</w:t>
            </w:r>
            <w:r>
              <w:rPr>
                <w:noProof/>
                <w:webHidden/>
              </w:rPr>
              <w:tab/>
            </w:r>
            <w:r>
              <w:rPr>
                <w:noProof/>
                <w:webHidden/>
              </w:rPr>
              <w:fldChar w:fldCharType="begin"/>
            </w:r>
            <w:r>
              <w:rPr>
                <w:noProof/>
                <w:webHidden/>
              </w:rPr>
              <w:instrText xml:space="preserve"> PAGEREF _Toc166854004 \h </w:instrText>
            </w:r>
            <w:r>
              <w:rPr>
                <w:noProof/>
                <w:webHidden/>
              </w:rPr>
            </w:r>
            <w:r>
              <w:rPr>
                <w:noProof/>
                <w:webHidden/>
              </w:rPr>
              <w:fldChar w:fldCharType="separate"/>
            </w:r>
            <w:r>
              <w:rPr>
                <w:noProof/>
                <w:webHidden/>
              </w:rPr>
              <w:t>40</w:t>
            </w:r>
            <w:r>
              <w:rPr>
                <w:noProof/>
                <w:webHidden/>
              </w:rPr>
              <w:fldChar w:fldCharType="end"/>
            </w:r>
          </w:hyperlink>
        </w:p>
        <w:p w14:paraId="1631F433" w14:textId="4305F757"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05" w:history="1">
            <w:r w:rsidRPr="00134AA6">
              <w:rPr>
                <w:rStyle w:val="Hyperlink"/>
                <w:rFonts w:eastAsia="Times New Roman"/>
                <w:noProof/>
                <w:lang w:eastAsia="en-GB"/>
              </w:rPr>
              <w:t>5.1 Discussion</w:t>
            </w:r>
            <w:r>
              <w:rPr>
                <w:noProof/>
                <w:webHidden/>
              </w:rPr>
              <w:tab/>
            </w:r>
            <w:r>
              <w:rPr>
                <w:noProof/>
                <w:webHidden/>
              </w:rPr>
              <w:fldChar w:fldCharType="begin"/>
            </w:r>
            <w:r>
              <w:rPr>
                <w:noProof/>
                <w:webHidden/>
              </w:rPr>
              <w:instrText xml:space="preserve"> PAGEREF _Toc166854005 \h </w:instrText>
            </w:r>
            <w:r>
              <w:rPr>
                <w:noProof/>
                <w:webHidden/>
              </w:rPr>
            </w:r>
            <w:r>
              <w:rPr>
                <w:noProof/>
                <w:webHidden/>
              </w:rPr>
              <w:fldChar w:fldCharType="separate"/>
            </w:r>
            <w:r>
              <w:rPr>
                <w:noProof/>
                <w:webHidden/>
              </w:rPr>
              <w:t>40</w:t>
            </w:r>
            <w:r>
              <w:rPr>
                <w:noProof/>
                <w:webHidden/>
              </w:rPr>
              <w:fldChar w:fldCharType="end"/>
            </w:r>
          </w:hyperlink>
        </w:p>
        <w:p w14:paraId="1572005A" w14:textId="2BD9C857"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06" w:history="1">
            <w:r w:rsidRPr="00134AA6">
              <w:rPr>
                <w:rStyle w:val="Hyperlink"/>
                <w:noProof/>
                <w:lang w:val="en-US"/>
              </w:rPr>
              <w:t>5.1.1 Barriers of using digital health devices</w:t>
            </w:r>
            <w:r>
              <w:rPr>
                <w:noProof/>
                <w:webHidden/>
              </w:rPr>
              <w:tab/>
            </w:r>
            <w:r>
              <w:rPr>
                <w:noProof/>
                <w:webHidden/>
              </w:rPr>
              <w:fldChar w:fldCharType="begin"/>
            </w:r>
            <w:r>
              <w:rPr>
                <w:noProof/>
                <w:webHidden/>
              </w:rPr>
              <w:instrText xml:space="preserve"> PAGEREF _Toc166854006 \h </w:instrText>
            </w:r>
            <w:r>
              <w:rPr>
                <w:noProof/>
                <w:webHidden/>
              </w:rPr>
            </w:r>
            <w:r>
              <w:rPr>
                <w:noProof/>
                <w:webHidden/>
              </w:rPr>
              <w:fldChar w:fldCharType="separate"/>
            </w:r>
            <w:r>
              <w:rPr>
                <w:noProof/>
                <w:webHidden/>
              </w:rPr>
              <w:t>40</w:t>
            </w:r>
            <w:r>
              <w:rPr>
                <w:noProof/>
                <w:webHidden/>
              </w:rPr>
              <w:fldChar w:fldCharType="end"/>
            </w:r>
          </w:hyperlink>
        </w:p>
        <w:p w14:paraId="51843C89" w14:textId="3AA8C02E"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07" w:history="1">
            <w:r w:rsidRPr="00134AA6">
              <w:rPr>
                <w:rStyle w:val="Hyperlink"/>
                <w:noProof/>
                <w:lang w:val="en-US"/>
              </w:rPr>
              <w:t>5.1.2 Benefits of using digital health devices</w:t>
            </w:r>
            <w:r>
              <w:rPr>
                <w:noProof/>
                <w:webHidden/>
              </w:rPr>
              <w:tab/>
            </w:r>
            <w:r>
              <w:rPr>
                <w:noProof/>
                <w:webHidden/>
              </w:rPr>
              <w:fldChar w:fldCharType="begin"/>
            </w:r>
            <w:r>
              <w:rPr>
                <w:noProof/>
                <w:webHidden/>
              </w:rPr>
              <w:instrText xml:space="preserve"> PAGEREF _Toc166854007 \h </w:instrText>
            </w:r>
            <w:r>
              <w:rPr>
                <w:noProof/>
                <w:webHidden/>
              </w:rPr>
            </w:r>
            <w:r>
              <w:rPr>
                <w:noProof/>
                <w:webHidden/>
              </w:rPr>
              <w:fldChar w:fldCharType="separate"/>
            </w:r>
            <w:r>
              <w:rPr>
                <w:noProof/>
                <w:webHidden/>
              </w:rPr>
              <w:t>41</w:t>
            </w:r>
            <w:r>
              <w:rPr>
                <w:noProof/>
                <w:webHidden/>
              </w:rPr>
              <w:fldChar w:fldCharType="end"/>
            </w:r>
          </w:hyperlink>
        </w:p>
        <w:p w14:paraId="59132451" w14:textId="4000A584"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08" w:history="1">
            <w:r w:rsidRPr="00134AA6">
              <w:rPr>
                <w:rStyle w:val="Hyperlink"/>
                <w:noProof/>
                <w:lang w:val="en-GB"/>
              </w:rPr>
              <w:t>5.1.3 Efficacy of specific ehealth tools</w:t>
            </w:r>
            <w:r>
              <w:rPr>
                <w:noProof/>
                <w:webHidden/>
              </w:rPr>
              <w:tab/>
            </w:r>
            <w:r>
              <w:rPr>
                <w:noProof/>
                <w:webHidden/>
              </w:rPr>
              <w:fldChar w:fldCharType="begin"/>
            </w:r>
            <w:r>
              <w:rPr>
                <w:noProof/>
                <w:webHidden/>
              </w:rPr>
              <w:instrText xml:space="preserve"> PAGEREF _Toc166854008 \h </w:instrText>
            </w:r>
            <w:r>
              <w:rPr>
                <w:noProof/>
                <w:webHidden/>
              </w:rPr>
            </w:r>
            <w:r>
              <w:rPr>
                <w:noProof/>
                <w:webHidden/>
              </w:rPr>
              <w:fldChar w:fldCharType="separate"/>
            </w:r>
            <w:r>
              <w:rPr>
                <w:noProof/>
                <w:webHidden/>
              </w:rPr>
              <w:t>42</w:t>
            </w:r>
            <w:r>
              <w:rPr>
                <w:noProof/>
                <w:webHidden/>
              </w:rPr>
              <w:fldChar w:fldCharType="end"/>
            </w:r>
          </w:hyperlink>
        </w:p>
        <w:p w14:paraId="4E651B61" w14:textId="0DF186F9"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09" w:history="1">
            <w:r w:rsidRPr="00134AA6">
              <w:rPr>
                <w:rStyle w:val="Hyperlink"/>
                <w:noProof/>
                <w:lang w:val="en-US"/>
              </w:rPr>
              <w:t>5.1.4 Developing process of ehealth devices</w:t>
            </w:r>
            <w:r>
              <w:rPr>
                <w:noProof/>
                <w:webHidden/>
              </w:rPr>
              <w:tab/>
            </w:r>
            <w:r>
              <w:rPr>
                <w:noProof/>
                <w:webHidden/>
              </w:rPr>
              <w:fldChar w:fldCharType="begin"/>
            </w:r>
            <w:r>
              <w:rPr>
                <w:noProof/>
                <w:webHidden/>
              </w:rPr>
              <w:instrText xml:space="preserve"> PAGEREF _Toc166854009 \h </w:instrText>
            </w:r>
            <w:r>
              <w:rPr>
                <w:noProof/>
                <w:webHidden/>
              </w:rPr>
            </w:r>
            <w:r>
              <w:rPr>
                <w:noProof/>
                <w:webHidden/>
              </w:rPr>
              <w:fldChar w:fldCharType="separate"/>
            </w:r>
            <w:r>
              <w:rPr>
                <w:noProof/>
                <w:webHidden/>
              </w:rPr>
              <w:t>43</w:t>
            </w:r>
            <w:r>
              <w:rPr>
                <w:noProof/>
                <w:webHidden/>
              </w:rPr>
              <w:fldChar w:fldCharType="end"/>
            </w:r>
          </w:hyperlink>
        </w:p>
        <w:p w14:paraId="17D83DEB" w14:textId="05A9DF86"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10" w:history="1">
            <w:r w:rsidRPr="00134AA6">
              <w:rPr>
                <w:rStyle w:val="Hyperlink"/>
                <w:noProof/>
                <w:lang w:val="en-US"/>
              </w:rPr>
              <w:t>5.1.5 Different groups of ehealth device users</w:t>
            </w:r>
            <w:r>
              <w:rPr>
                <w:noProof/>
                <w:webHidden/>
              </w:rPr>
              <w:tab/>
            </w:r>
            <w:r>
              <w:rPr>
                <w:noProof/>
                <w:webHidden/>
              </w:rPr>
              <w:fldChar w:fldCharType="begin"/>
            </w:r>
            <w:r>
              <w:rPr>
                <w:noProof/>
                <w:webHidden/>
              </w:rPr>
              <w:instrText xml:space="preserve"> PAGEREF _Toc166854010 \h </w:instrText>
            </w:r>
            <w:r>
              <w:rPr>
                <w:noProof/>
                <w:webHidden/>
              </w:rPr>
            </w:r>
            <w:r>
              <w:rPr>
                <w:noProof/>
                <w:webHidden/>
              </w:rPr>
              <w:fldChar w:fldCharType="separate"/>
            </w:r>
            <w:r>
              <w:rPr>
                <w:noProof/>
                <w:webHidden/>
              </w:rPr>
              <w:t>43</w:t>
            </w:r>
            <w:r>
              <w:rPr>
                <w:noProof/>
                <w:webHidden/>
              </w:rPr>
              <w:fldChar w:fldCharType="end"/>
            </w:r>
          </w:hyperlink>
        </w:p>
        <w:p w14:paraId="5DCC2681" w14:textId="331FC129"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11" w:history="1">
            <w:r w:rsidRPr="00134AA6">
              <w:rPr>
                <w:rStyle w:val="Hyperlink"/>
                <w:rFonts w:eastAsia="Times New Roman"/>
                <w:noProof/>
                <w:lang w:eastAsia="en-GB"/>
              </w:rPr>
              <w:t>5.1.6 Future Prospects of ehealth in transplantation &amp; Future research</w:t>
            </w:r>
            <w:r>
              <w:rPr>
                <w:noProof/>
                <w:webHidden/>
              </w:rPr>
              <w:tab/>
            </w:r>
            <w:r>
              <w:rPr>
                <w:noProof/>
                <w:webHidden/>
              </w:rPr>
              <w:fldChar w:fldCharType="begin"/>
            </w:r>
            <w:r>
              <w:rPr>
                <w:noProof/>
                <w:webHidden/>
              </w:rPr>
              <w:instrText xml:space="preserve"> PAGEREF _Toc166854011 \h </w:instrText>
            </w:r>
            <w:r>
              <w:rPr>
                <w:noProof/>
                <w:webHidden/>
              </w:rPr>
            </w:r>
            <w:r>
              <w:rPr>
                <w:noProof/>
                <w:webHidden/>
              </w:rPr>
              <w:fldChar w:fldCharType="separate"/>
            </w:r>
            <w:r>
              <w:rPr>
                <w:noProof/>
                <w:webHidden/>
              </w:rPr>
              <w:t>44</w:t>
            </w:r>
            <w:r>
              <w:rPr>
                <w:noProof/>
                <w:webHidden/>
              </w:rPr>
              <w:fldChar w:fldCharType="end"/>
            </w:r>
          </w:hyperlink>
        </w:p>
        <w:p w14:paraId="7BEDFD4C" w14:textId="05080BCD"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12" w:history="1">
            <w:r w:rsidRPr="00134AA6">
              <w:rPr>
                <w:rStyle w:val="Hyperlink"/>
                <w:rFonts w:eastAsia="Times New Roman"/>
                <w:noProof/>
                <w:lang w:eastAsia="en-GB"/>
              </w:rPr>
              <w:t>5.1.7 Research Limitations</w:t>
            </w:r>
            <w:r>
              <w:rPr>
                <w:noProof/>
                <w:webHidden/>
              </w:rPr>
              <w:tab/>
            </w:r>
            <w:r>
              <w:rPr>
                <w:noProof/>
                <w:webHidden/>
              </w:rPr>
              <w:fldChar w:fldCharType="begin"/>
            </w:r>
            <w:r>
              <w:rPr>
                <w:noProof/>
                <w:webHidden/>
              </w:rPr>
              <w:instrText xml:space="preserve"> PAGEREF _Toc166854012 \h </w:instrText>
            </w:r>
            <w:r>
              <w:rPr>
                <w:noProof/>
                <w:webHidden/>
              </w:rPr>
            </w:r>
            <w:r>
              <w:rPr>
                <w:noProof/>
                <w:webHidden/>
              </w:rPr>
              <w:fldChar w:fldCharType="separate"/>
            </w:r>
            <w:r>
              <w:rPr>
                <w:noProof/>
                <w:webHidden/>
              </w:rPr>
              <w:t>46</w:t>
            </w:r>
            <w:r>
              <w:rPr>
                <w:noProof/>
                <w:webHidden/>
              </w:rPr>
              <w:fldChar w:fldCharType="end"/>
            </w:r>
          </w:hyperlink>
        </w:p>
        <w:p w14:paraId="741B5606" w14:textId="5E1E8D42"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13" w:history="1">
            <w:r w:rsidRPr="00134AA6">
              <w:rPr>
                <w:rStyle w:val="Hyperlink"/>
                <w:rFonts w:eastAsia="Times New Roman"/>
                <w:noProof/>
                <w:lang w:eastAsia="en-GB"/>
              </w:rPr>
              <w:t>5.2 Conclusion</w:t>
            </w:r>
            <w:r>
              <w:rPr>
                <w:noProof/>
                <w:webHidden/>
              </w:rPr>
              <w:tab/>
            </w:r>
            <w:r>
              <w:rPr>
                <w:noProof/>
                <w:webHidden/>
              </w:rPr>
              <w:fldChar w:fldCharType="begin"/>
            </w:r>
            <w:r>
              <w:rPr>
                <w:noProof/>
                <w:webHidden/>
              </w:rPr>
              <w:instrText xml:space="preserve"> PAGEREF _Toc166854013 \h </w:instrText>
            </w:r>
            <w:r>
              <w:rPr>
                <w:noProof/>
                <w:webHidden/>
              </w:rPr>
            </w:r>
            <w:r>
              <w:rPr>
                <w:noProof/>
                <w:webHidden/>
              </w:rPr>
              <w:fldChar w:fldCharType="separate"/>
            </w:r>
            <w:r>
              <w:rPr>
                <w:noProof/>
                <w:webHidden/>
              </w:rPr>
              <w:t>47</w:t>
            </w:r>
            <w:r>
              <w:rPr>
                <w:noProof/>
                <w:webHidden/>
              </w:rPr>
              <w:fldChar w:fldCharType="end"/>
            </w:r>
          </w:hyperlink>
        </w:p>
        <w:p w14:paraId="57C02953" w14:textId="56F171E6"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14" w:history="1">
            <w:r w:rsidRPr="00134AA6">
              <w:rPr>
                <w:rStyle w:val="Hyperlink"/>
                <w:noProof/>
              </w:rPr>
              <w:t>Summary table</w:t>
            </w:r>
            <w:r>
              <w:rPr>
                <w:noProof/>
                <w:webHidden/>
              </w:rPr>
              <w:tab/>
            </w:r>
            <w:r>
              <w:rPr>
                <w:noProof/>
                <w:webHidden/>
              </w:rPr>
              <w:fldChar w:fldCharType="begin"/>
            </w:r>
            <w:r>
              <w:rPr>
                <w:noProof/>
                <w:webHidden/>
              </w:rPr>
              <w:instrText xml:space="preserve"> PAGEREF _Toc166854014 \h </w:instrText>
            </w:r>
            <w:r>
              <w:rPr>
                <w:noProof/>
                <w:webHidden/>
              </w:rPr>
            </w:r>
            <w:r>
              <w:rPr>
                <w:noProof/>
                <w:webHidden/>
              </w:rPr>
              <w:fldChar w:fldCharType="separate"/>
            </w:r>
            <w:r>
              <w:rPr>
                <w:noProof/>
                <w:webHidden/>
              </w:rPr>
              <w:t>48</w:t>
            </w:r>
            <w:r>
              <w:rPr>
                <w:noProof/>
                <w:webHidden/>
              </w:rPr>
              <w:fldChar w:fldCharType="end"/>
            </w:r>
          </w:hyperlink>
        </w:p>
        <w:p w14:paraId="01FE4CD1" w14:textId="11215BBE"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15" w:history="1">
            <w:r w:rsidRPr="00134AA6">
              <w:rPr>
                <w:rStyle w:val="Hyperlink"/>
                <w:rFonts w:eastAsia="Times New Roman"/>
                <w:noProof/>
                <w:lang w:eastAsia="en-GB"/>
              </w:rPr>
              <w:t>5.2.1 Theoretical contributions</w:t>
            </w:r>
            <w:r>
              <w:rPr>
                <w:noProof/>
                <w:webHidden/>
              </w:rPr>
              <w:tab/>
            </w:r>
            <w:r>
              <w:rPr>
                <w:noProof/>
                <w:webHidden/>
              </w:rPr>
              <w:fldChar w:fldCharType="begin"/>
            </w:r>
            <w:r>
              <w:rPr>
                <w:noProof/>
                <w:webHidden/>
              </w:rPr>
              <w:instrText xml:space="preserve"> PAGEREF _Toc166854015 \h </w:instrText>
            </w:r>
            <w:r>
              <w:rPr>
                <w:noProof/>
                <w:webHidden/>
              </w:rPr>
            </w:r>
            <w:r>
              <w:rPr>
                <w:noProof/>
                <w:webHidden/>
              </w:rPr>
              <w:fldChar w:fldCharType="separate"/>
            </w:r>
            <w:r>
              <w:rPr>
                <w:noProof/>
                <w:webHidden/>
              </w:rPr>
              <w:t>49</w:t>
            </w:r>
            <w:r>
              <w:rPr>
                <w:noProof/>
                <w:webHidden/>
              </w:rPr>
              <w:fldChar w:fldCharType="end"/>
            </w:r>
          </w:hyperlink>
        </w:p>
        <w:p w14:paraId="13D5A47A" w14:textId="59244A25" w:rsidR="00404F1D" w:rsidRDefault="00404F1D">
          <w:pPr>
            <w:pStyle w:val="TOC3"/>
            <w:tabs>
              <w:tab w:val="right" w:leader="dot" w:pos="8494"/>
            </w:tabs>
            <w:rPr>
              <w:rFonts w:eastAsiaTheme="minorEastAsia" w:cstheme="minorBidi"/>
              <w:i w:val="0"/>
              <w:iCs w:val="0"/>
              <w:noProof/>
              <w:kern w:val="2"/>
              <w:sz w:val="24"/>
              <w:szCs w:val="24"/>
              <w:lang w:eastAsia="en-GB"/>
              <w14:ligatures w14:val="standardContextual"/>
            </w:rPr>
          </w:pPr>
          <w:hyperlink w:anchor="_Toc166854016" w:history="1">
            <w:r w:rsidRPr="00134AA6">
              <w:rPr>
                <w:rStyle w:val="Hyperlink"/>
                <w:rFonts w:eastAsia="Times New Roman"/>
                <w:noProof/>
                <w:lang w:eastAsia="en-GB"/>
              </w:rPr>
              <w:t>5.2.2 Practical contributions</w:t>
            </w:r>
            <w:r>
              <w:rPr>
                <w:noProof/>
                <w:webHidden/>
              </w:rPr>
              <w:tab/>
            </w:r>
            <w:r>
              <w:rPr>
                <w:noProof/>
                <w:webHidden/>
              </w:rPr>
              <w:fldChar w:fldCharType="begin"/>
            </w:r>
            <w:r>
              <w:rPr>
                <w:noProof/>
                <w:webHidden/>
              </w:rPr>
              <w:instrText xml:space="preserve"> PAGEREF _Toc166854016 \h </w:instrText>
            </w:r>
            <w:r>
              <w:rPr>
                <w:noProof/>
                <w:webHidden/>
              </w:rPr>
            </w:r>
            <w:r>
              <w:rPr>
                <w:noProof/>
                <w:webHidden/>
              </w:rPr>
              <w:fldChar w:fldCharType="separate"/>
            </w:r>
            <w:r>
              <w:rPr>
                <w:noProof/>
                <w:webHidden/>
              </w:rPr>
              <w:t>49</w:t>
            </w:r>
            <w:r>
              <w:rPr>
                <w:noProof/>
                <w:webHidden/>
              </w:rPr>
              <w:fldChar w:fldCharType="end"/>
            </w:r>
          </w:hyperlink>
        </w:p>
        <w:p w14:paraId="061398CB" w14:textId="5D406432"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17" w:history="1">
            <w:r w:rsidRPr="00134AA6">
              <w:rPr>
                <w:rStyle w:val="Hyperlink"/>
                <w:rFonts w:eastAsia="Times New Roman"/>
                <w:noProof/>
                <w:lang w:eastAsia="en-GB"/>
              </w:rPr>
              <w:t>References</w:t>
            </w:r>
            <w:r>
              <w:rPr>
                <w:noProof/>
                <w:webHidden/>
              </w:rPr>
              <w:tab/>
            </w:r>
            <w:r>
              <w:rPr>
                <w:noProof/>
                <w:webHidden/>
              </w:rPr>
              <w:fldChar w:fldCharType="begin"/>
            </w:r>
            <w:r>
              <w:rPr>
                <w:noProof/>
                <w:webHidden/>
              </w:rPr>
              <w:instrText xml:space="preserve"> PAGEREF _Toc166854017 \h </w:instrText>
            </w:r>
            <w:r>
              <w:rPr>
                <w:noProof/>
                <w:webHidden/>
              </w:rPr>
            </w:r>
            <w:r>
              <w:rPr>
                <w:noProof/>
                <w:webHidden/>
              </w:rPr>
              <w:fldChar w:fldCharType="separate"/>
            </w:r>
            <w:r>
              <w:rPr>
                <w:noProof/>
                <w:webHidden/>
              </w:rPr>
              <w:t>51</w:t>
            </w:r>
            <w:r>
              <w:rPr>
                <w:noProof/>
                <w:webHidden/>
              </w:rPr>
              <w:fldChar w:fldCharType="end"/>
            </w:r>
          </w:hyperlink>
        </w:p>
        <w:p w14:paraId="38D95E44" w14:textId="286F4086" w:rsidR="00404F1D" w:rsidRDefault="00404F1D">
          <w:pPr>
            <w:pStyle w:val="TOC2"/>
            <w:tabs>
              <w:tab w:val="right" w:leader="dot" w:pos="8494"/>
            </w:tabs>
            <w:rPr>
              <w:rFonts w:eastAsiaTheme="minorEastAsia" w:cstheme="minorBidi"/>
              <w:smallCaps w:val="0"/>
              <w:noProof/>
              <w:kern w:val="2"/>
              <w:sz w:val="24"/>
              <w:szCs w:val="24"/>
              <w:lang w:eastAsia="en-GB"/>
              <w14:ligatures w14:val="standardContextual"/>
            </w:rPr>
          </w:pPr>
          <w:hyperlink w:anchor="_Toc166854018" w:history="1">
            <w:r w:rsidRPr="00134AA6">
              <w:rPr>
                <w:rStyle w:val="Hyperlink"/>
                <w:rFonts w:eastAsia="Times New Roman"/>
                <w:noProof/>
                <w:lang w:eastAsia="en-GB"/>
              </w:rPr>
              <w:t>Appendix</w:t>
            </w:r>
            <w:r>
              <w:rPr>
                <w:noProof/>
                <w:webHidden/>
              </w:rPr>
              <w:tab/>
            </w:r>
            <w:r>
              <w:rPr>
                <w:noProof/>
                <w:webHidden/>
              </w:rPr>
              <w:fldChar w:fldCharType="begin"/>
            </w:r>
            <w:r>
              <w:rPr>
                <w:noProof/>
                <w:webHidden/>
              </w:rPr>
              <w:instrText xml:space="preserve"> PAGEREF _Toc166854018 \h </w:instrText>
            </w:r>
            <w:r>
              <w:rPr>
                <w:noProof/>
                <w:webHidden/>
              </w:rPr>
            </w:r>
            <w:r>
              <w:rPr>
                <w:noProof/>
                <w:webHidden/>
              </w:rPr>
              <w:fldChar w:fldCharType="separate"/>
            </w:r>
            <w:r>
              <w:rPr>
                <w:noProof/>
                <w:webHidden/>
              </w:rPr>
              <w:t>61</w:t>
            </w:r>
            <w:r>
              <w:rPr>
                <w:noProof/>
                <w:webHidden/>
              </w:rPr>
              <w:fldChar w:fldCharType="end"/>
            </w:r>
          </w:hyperlink>
        </w:p>
        <w:p w14:paraId="5543D45D" w14:textId="06022B3A" w:rsidR="003E7243" w:rsidRPr="008A2BD1" w:rsidRDefault="2C43722A" w:rsidP="008A2BD1">
          <w:pPr>
            <w:pStyle w:val="TOC1"/>
            <w:tabs>
              <w:tab w:val="right" w:leader="dot" w:pos="8490"/>
            </w:tabs>
            <w:rPr>
              <w:color w:val="9454C3" w:themeColor="hyperlink"/>
              <w:u w:val="single"/>
            </w:rPr>
          </w:pPr>
          <w:r>
            <w:fldChar w:fldCharType="end"/>
          </w:r>
        </w:p>
      </w:sdtContent>
    </w:sdt>
    <w:p w14:paraId="7EBF1D2C" w14:textId="77777777" w:rsidR="00C37972" w:rsidRDefault="00C37972" w:rsidP="005D21B3">
      <w:pPr>
        <w:pStyle w:val="Heading1"/>
      </w:pPr>
    </w:p>
    <w:p w14:paraId="1AA06706" w14:textId="77777777" w:rsidR="00C37972" w:rsidRDefault="00C37972" w:rsidP="005D21B3">
      <w:pPr>
        <w:pStyle w:val="Heading1"/>
      </w:pPr>
    </w:p>
    <w:p w14:paraId="23B0F136" w14:textId="77777777" w:rsidR="00C37972" w:rsidRDefault="00C37972" w:rsidP="005D21B3">
      <w:pPr>
        <w:pStyle w:val="Heading1"/>
      </w:pPr>
    </w:p>
    <w:p w14:paraId="7F8EB765" w14:textId="77777777" w:rsidR="00C37972" w:rsidRDefault="00C37972" w:rsidP="005D21B3">
      <w:pPr>
        <w:pStyle w:val="Heading1"/>
      </w:pPr>
    </w:p>
    <w:p w14:paraId="2DCA5575" w14:textId="77777777" w:rsidR="00C37972" w:rsidRDefault="00C37972" w:rsidP="005D21B3">
      <w:pPr>
        <w:pStyle w:val="Heading1"/>
      </w:pPr>
    </w:p>
    <w:p w14:paraId="32AA2E0E" w14:textId="77777777" w:rsidR="00C37972" w:rsidRDefault="00C37972" w:rsidP="005D21B3">
      <w:pPr>
        <w:pStyle w:val="Heading1"/>
      </w:pPr>
    </w:p>
    <w:p w14:paraId="6166E893" w14:textId="77777777" w:rsidR="00C37972" w:rsidRDefault="00C37972" w:rsidP="005D21B3">
      <w:pPr>
        <w:pStyle w:val="Heading1"/>
      </w:pPr>
    </w:p>
    <w:p w14:paraId="325DFD1D" w14:textId="77777777" w:rsidR="00C37972" w:rsidRDefault="00C37972" w:rsidP="005D21B3">
      <w:pPr>
        <w:pStyle w:val="Heading1"/>
      </w:pPr>
    </w:p>
    <w:p w14:paraId="3074E262" w14:textId="77777777" w:rsidR="00C37972" w:rsidRDefault="00C37972" w:rsidP="005D21B3">
      <w:pPr>
        <w:pStyle w:val="Heading1"/>
      </w:pPr>
    </w:p>
    <w:p w14:paraId="7F33964C" w14:textId="77777777" w:rsidR="00C37972" w:rsidRDefault="00C37972" w:rsidP="005D21B3">
      <w:pPr>
        <w:pStyle w:val="Heading1"/>
      </w:pPr>
    </w:p>
    <w:p w14:paraId="6FDC2709" w14:textId="77777777" w:rsidR="00C37972" w:rsidRDefault="00C37972" w:rsidP="005D21B3">
      <w:pPr>
        <w:pStyle w:val="Heading1"/>
      </w:pPr>
    </w:p>
    <w:p w14:paraId="0409008A" w14:textId="77777777" w:rsidR="00C37972" w:rsidRDefault="00C37972" w:rsidP="005D21B3">
      <w:pPr>
        <w:pStyle w:val="Heading1"/>
      </w:pPr>
    </w:p>
    <w:p w14:paraId="39907CCB" w14:textId="77777777" w:rsidR="00C37972" w:rsidRDefault="00C37972" w:rsidP="005D21B3">
      <w:pPr>
        <w:pStyle w:val="Heading1"/>
      </w:pPr>
    </w:p>
    <w:p w14:paraId="49026E8F" w14:textId="77777777" w:rsidR="00C37972" w:rsidRDefault="00C37972" w:rsidP="005D21B3">
      <w:pPr>
        <w:pStyle w:val="Heading1"/>
      </w:pPr>
    </w:p>
    <w:p w14:paraId="3E4FB428" w14:textId="77777777" w:rsidR="00C37972" w:rsidRDefault="00C37972" w:rsidP="005D21B3">
      <w:pPr>
        <w:pStyle w:val="Heading1"/>
      </w:pPr>
    </w:p>
    <w:p w14:paraId="4E1CD2F1" w14:textId="77777777" w:rsidR="00C37972" w:rsidRDefault="00C37972" w:rsidP="005D21B3">
      <w:pPr>
        <w:pStyle w:val="Heading1"/>
      </w:pPr>
    </w:p>
    <w:p w14:paraId="0A122CD0" w14:textId="77777777" w:rsidR="00C37972" w:rsidRDefault="00C37972" w:rsidP="005D21B3">
      <w:pPr>
        <w:pStyle w:val="Heading1"/>
      </w:pPr>
    </w:p>
    <w:p w14:paraId="26AD3FB7" w14:textId="77777777" w:rsidR="00C37972" w:rsidRDefault="00C37972" w:rsidP="005D21B3">
      <w:pPr>
        <w:pStyle w:val="Heading1"/>
      </w:pPr>
    </w:p>
    <w:p w14:paraId="5A570FFC" w14:textId="5F722652" w:rsidR="00425E03" w:rsidRDefault="00425E03" w:rsidP="005D21B3">
      <w:pPr>
        <w:pStyle w:val="Heading1"/>
      </w:pPr>
      <w:bookmarkStart w:id="1" w:name="_Toc166853972"/>
      <w:r w:rsidRPr="00F336D8">
        <w:lastRenderedPageBreak/>
        <w:t>List of Figures</w:t>
      </w:r>
      <w:bookmarkEnd w:id="1"/>
    </w:p>
    <w:p w14:paraId="2787BEE6" w14:textId="639CB763" w:rsidR="00404F1D" w:rsidRDefault="005D1A27">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r>
        <w:fldChar w:fldCharType="begin"/>
      </w:r>
      <w:r>
        <w:instrText xml:space="preserve"> TOC \h \z \c "Figure" </w:instrText>
      </w:r>
      <w:r>
        <w:fldChar w:fldCharType="separate"/>
      </w:r>
      <w:hyperlink w:anchor="_Toc166853958" w:history="1">
        <w:r w:rsidR="00404F1D" w:rsidRPr="001A0AA0">
          <w:rPr>
            <w:rStyle w:val="Hyperlink"/>
            <w:noProof/>
          </w:rPr>
          <w:t>Figure 1 PRISMA Process</w:t>
        </w:r>
        <w:r w:rsidR="00404F1D">
          <w:rPr>
            <w:noProof/>
            <w:webHidden/>
          </w:rPr>
          <w:tab/>
        </w:r>
        <w:r w:rsidR="00404F1D">
          <w:rPr>
            <w:noProof/>
            <w:webHidden/>
          </w:rPr>
          <w:fldChar w:fldCharType="begin"/>
        </w:r>
        <w:r w:rsidR="00404F1D">
          <w:rPr>
            <w:noProof/>
            <w:webHidden/>
          </w:rPr>
          <w:instrText xml:space="preserve"> PAGEREF _Toc166853958 \h </w:instrText>
        </w:r>
        <w:r w:rsidR="00404F1D">
          <w:rPr>
            <w:noProof/>
            <w:webHidden/>
          </w:rPr>
        </w:r>
        <w:r w:rsidR="00404F1D">
          <w:rPr>
            <w:noProof/>
            <w:webHidden/>
          </w:rPr>
          <w:fldChar w:fldCharType="separate"/>
        </w:r>
        <w:r w:rsidR="00404F1D">
          <w:rPr>
            <w:noProof/>
            <w:webHidden/>
          </w:rPr>
          <w:t>21</w:t>
        </w:r>
        <w:r w:rsidR="00404F1D">
          <w:rPr>
            <w:noProof/>
            <w:webHidden/>
          </w:rPr>
          <w:fldChar w:fldCharType="end"/>
        </w:r>
      </w:hyperlink>
    </w:p>
    <w:p w14:paraId="1DB354EC" w14:textId="4A8B0DB7" w:rsidR="00404F1D" w:rsidRDefault="00404F1D">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hyperlink w:anchor="_Toc166853959" w:history="1">
        <w:r w:rsidRPr="001A0AA0">
          <w:rPr>
            <w:rStyle w:val="Hyperlink"/>
            <w:noProof/>
          </w:rPr>
          <w:t>Figure 2 Frequent Words in Title</w:t>
        </w:r>
        <w:r>
          <w:rPr>
            <w:noProof/>
            <w:webHidden/>
          </w:rPr>
          <w:tab/>
        </w:r>
        <w:r>
          <w:rPr>
            <w:noProof/>
            <w:webHidden/>
          </w:rPr>
          <w:fldChar w:fldCharType="begin"/>
        </w:r>
        <w:r>
          <w:rPr>
            <w:noProof/>
            <w:webHidden/>
          </w:rPr>
          <w:instrText xml:space="preserve"> PAGEREF _Toc166853959 \h </w:instrText>
        </w:r>
        <w:r>
          <w:rPr>
            <w:noProof/>
            <w:webHidden/>
          </w:rPr>
        </w:r>
        <w:r>
          <w:rPr>
            <w:noProof/>
            <w:webHidden/>
          </w:rPr>
          <w:fldChar w:fldCharType="separate"/>
        </w:r>
        <w:r>
          <w:rPr>
            <w:noProof/>
            <w:webHidden/>
          </w:rPr>
          <w:t>25</w:t>
        </w:r>
        <w:r>
          <w:rPr>
            <w:noProof/>
            <w:webHidden/>
          </w:rPr>
          <w:fldChar w:fldCharType="end"/>
        </w:r>
      </w:hyperlink>
    </w:p>
    <w:p w14:paraId="03CDB3A3" w14:textId="183DB4AE" w:rsidR="00404F1D" w:rsidRDefault="00404F1D">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hyperlink w:anchor="_Toc166853960" w:history="1">
        <w:r w:rsidRPr="001A0AA0">
          <w:rPr>
            <w:rStyle w:val="Hyperlink"/>
            <w:noProof/>
          </w:rPr>
          <w:t>Figure 3 Frequent Words in Abstracts</w:t>
        </w:r>
        <w:r>
          <w:rPr>
            <w:noProof/>
            <w:webHidden/>
          </w:rPr>
          <w:tab/>
        </w:r>
        <w:r>
          <w:rPr>
            <w:noProof/>
            <w:webHidden/>
          </w:rPr>
          <w:fldChar w:fldCharType="begin"/>
        </w:r>
        <w:r>
          <w:rPr>
            <w:noProof/>
            <w:webHidden/>
          </w:rPr>
          <w:instrText xml:space="preserve"> PAGEREF _Toc166853960 \h </w:instrText>
        </w:r>
        <w:r>
          <w:rPr>
            <w:noProof/>
            <w:webHidden/>
          </w:rPr>
        </w:r>
        <w:r>
          <w:rPr>
            <w:noProof/>
            <w:webHidden/>
          </w:rPr>
          <w:fldChar w:fldCharType="separate"/>
        </w:r>
        <w:r>
          <w:rPr>
            <w:noProof/>
            <w:webHidden/>
          </w:rPr>
          <w:t>25</w:t>
        </w:r>
        <w:r>
          <w:rPr>
            <w:noProof/>
            <w:webHidden/>
          </w:rPr>
          <w:fldChar w:fldCharType="end"/>
        </w:r>
      </w:hyperlink>
    </w:p>
    <w:p w14:paraId="057115C9" w14:textId="6F676C1F" w:rsidR="00404F1D" w:rsidRDefault="00404F1D">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hyperlink w:anchor="_Toc166853961" w:history="1">
        <w:r w:rsidRPr="001A0AA0">
          <w:rPr>
            <w:rStyle w:val="Hyperlink"/>
            <w:noProof/>
          </w:rPr>
          <w:t>Figure 4 Conceptual Framework on the Use of Digital Health for Transplant</w:t>
        </w:r>
        <w:r>
          <w:rPr>
            <w:noProof/>
            <w:webHidden/>
          </w:rPr>
          <w:tab/>
        </w:r>
        <w:r>
          <w:rPr>
            <w:noProof/>
            <w:webHidden/>
          </w:rPr>
          <w:fldChar w:fldCharType="begin"/>
        </w:r>
        <w:r>
          <w:rPr>
            <w:noProof/>
            <w:webHidden/>
          </w:rPr>
          <w:instrText xml:space="preserve"> PAGEREF _Toc166853961 \h </w:instrText>
        </w:r>
        <w:r>
          <w:rPr>
            <w:noProof/>
            <w:webHidden/>
          </w:rPr>
        </w:r>
        <w:r>
          <w:rPr>
            <w:noProof/>
            <w:webHidden/>
          </w:rPr>
          <w:fldChar w:fldCharType="separate"/>
        </w:r>
        <w:r>
          <w:rPr>
            <w:noProof/>
            <w:webHidden/>
          </w:rPr>
          <w:t>26</w:t>
        </w:r>
        <w:r>
          <w:rPr>
            <w:noProof/>
            <w:webHidden/>
          </w:rPr>
          <w:fldChar w:fldCharType="end"/>
        </w:r>
      </w:hyperlink>
    </w:p>
    <w:p w14:paraId="4C08D706" w14:textId="5E5D81E1" w:rsidR="00425E03" w:rsidRDefault="005D1A27" w:rsidP="00425E03">
      <w:r>
        <w:fldChar w:fldCharType="end"/>
      </w:r>
    </w:p>
    <w:p w14:paraId="1F209EFF" w14:textId="77777777" w:rsidR="00425E03" w:rsidRDefault="00425E03" w:rsidP="00425E03"/>
    <w:p w14:paraId="73828F36" w14:textId="77777777" w:rsidR="00425E03" w:rsidRDefault="00425E03" w:rsidP="00425E03"/>
    <w:p w14:paraId="58831567" w14:textId="77777777" w:rsidR="00425E03" w:rsidRDefault="00425E03" w:rsidP="00425E03"/>
    <w:p w14:paraId="16A882C6" w14:textId="77777777" w:rsidR="00425E03" w:rsidRDefault="00425E03" w:rsidP="00425E03"/>
    <w:p w14:paraId="75306D73" w14:textId="77777777" w:rsidR="00425E03" w:rsidRDefault="00425E03" w:rsidP="00425E03"/>
    <w:p w14:paraId="05B6D23B" w14:textId="77777777" w:rsidR="00425E03" w:rsidRDefault="00425E03" w:rsidP="00425E03"/>
    <w:p w14:paraId="49081553" w14:textId="77777777" w:rsidR="00425E03" w:rsidRDefault="00425E03" w:rsidP="00425E03"/>
    <w:p w14:paraId="2D400D63" w14:textId="77777777" w:rsidR="00425E03" w:rsidRDefault="00425E03" w:rsidP="00425E03"/>
    <w:p w14:paraId="131D63C3" w14:textId="77777777" w:rsidR="00425E03" w:rsidRDefault="00425E03" w:rsidP="00425E03"/>
    <w:p w14:paraId="4570F5FC" w14:textId="77777777" w:rsidR="00425E03" w:rsidRDefault="00425E03" w:rsidP="00425E03"/>
    <w:p w14:paraId="332D86DB" w14:textId="77777777" w:rsidR="00425E03" w:rsidRDefault="00425E03" w:rsidP="00425E03"/>
    <w:p w14:paraId="06629400" w14:textId="77777777" w:rsidR="00425E03" w:rsidRDefault="00425E03" w:rsidP="00425E03"/>
    <w:p w14:paraId="054C33C7" w14:textId="77777777" w:rsidR="00425E03" w:rsidRDefault="00425E03" w:rsidP="00425E03"/>
    <w:p w14:paraId="3E4650BA" w14:textId="77777777" w:rsidR="00425E03" w:rsidRDefault="00425E03" w:rsidP="00425E03"/>
    <w:p w14:paraId="7FA5F537" w14:textId="77777777" w:rsidR="00425E03" w:rsidRDefault="00425E03" w:rsidP="00425E03"/>
    <w:p w14:paraId="20A9DCCB" w14:textId="77777777" w:rsidR="00425E03" w:rsidRDefault="00425E03" w:rsidP="00425E03"/>
    <w:p w14:paraId="12796BFE" w14:textId="77777777" w:rsidR="00425E03" w:rsidRDefault="00425E03" w:rsidP="00425E03"/>
    <w:p w14:paraId="010E43D9" w14:textId="77777777" w:rsidR="00425E03" w:rsidRDefault="00425E03" w:rsidP="00425E03"/>
    <w:p w14:paraId="07D34EA5" w14:textId="77777777" w:rsidR="00425E03" w:rsidRDefault="00425E03" w:rsidP="00425E03"/>
    <w:p w14:paraId="5F124E14" w14:textId="77777777" w:rsidR="00425E03" w:rsidRDefault="00425E03" w:rsidP="00425E03"/>
    <w:p w14:paraId="46599217" w14:textId="77777777" w:rsidR="00C37972" w:rsidRDefault="00C37972" w:rsidP="00425E03"/>
    <w:p w14:paraId="2825F9AA" w14:textId="77777777" w:rsidR="00C37972" w:rsidRDefault="00C37972" w:rsidP="00425E03"/>
    <w:p w14:paraId="26D83B25" w14:textId="77777777" w:rsidR="00425E03" w:rsidRDefault="00425E03" w:rsidP="00425E03"/>
    <w:p w14:paraId="4FDDF095" w14:textId="77777777" w:rsidR="00425E03" w:rsidRDefault="00425E03" w:rsidP="00425E03"/>
    <w:p w14:paraId="12559C9B" w14:textId="77777777" w:rsidR="00425E03" w:rsidRDefault="00425E03" w:rsidP="00425E03"/>
    <w:p w14:paraId="147E7FAF" w14:textId="77777777" w:rsidR="00425E03" w:rsidRDefault="00425E03" w:rsidP="0015644E">
      <w:pPr>
        <w:pStyle w:val="Heading1"/>
      </w:pPr>
      <w:bookmarkStart w:id="2" w:name="_Toc166853973"/>
      <w:r w:rsidRPr="0015644E">
        <w:lastRenderedPageBreak/>
        <w:t>List of Tables</w:t>
      </w:r>
      <w:bookmarkEnd w:id="2"/>
    </w:p>
    <w:p w14:paraId="1BB5AE8B" w14:textId="025991EF" w:rsidR="00404F1D" w:rsidRDefault="00AC7ED7">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r>
        <w:fldChar w:fldCharType="begin"/>
      </w:r>
      <w:r>
        <w:instrText xml:space="preserve"> TOC \h \z \c "Table" </w:instrText>
      </w:r>
      <w:r>
        <w:fldChar w:fldCharType="separate"/>
      </w:r>
      <w:hyperlink w:anchor="_Toc166853964" w:history="1">
        <w:r w:rsidR="00404F1D" w:rsidRPr="00422E07">
          <w:rPr>
            <w:rStyle w:val="Hyperlink"/>
            <w:noProof/>
          </w:rPr>
          <w:t>Table 3.1 Summary of inclusion and exclusion criteria</w:t>
        </w:r>
        <w:r w:rsidR="00404F1D">
          <w:rPr>
            <w:noProof/>
            <w:webHidden/>
          </w:rPr>
          <w:tab/>
        </w:r>
        <w:r w:rsidR="00404F1D">
          <w:rPr>
            <w:noProof/>
            <w:webHidden/>
          </w:rPr>
          <w:fldChar w:fldCharType="begin"/>
        </w:r>
        <w:r w:rsidR="00404F1D">
          <w:rPr>
            <w:noProof/>
            <w:webHidden/>
          </w:rPr>
          <w:instrText xml:space="preserve"> PAGEREF _Toc166853964 \h </w:instrText>
        </w:r>
        <w:r w:rsidR="00404F1D">
          <w:rPr>
            <w:noProof/>
            <w:webHidden/>
          </w:rPr>
        </w:r>
        <w:r w:rsidR="00404F1D">
          <w:rPr>
            <w:noProof/>
            <w:webHidden/>
          </w:rPr>
          <w:fldChar w:fldCharType="separate"/>
        </w:r>
        <w:r w:rsidR="00404F1D">
          <w:rPr>
            <w:noProof/>
            <w:webHidden/>
          </w:rPr>
          <w:t>22</w:t>
        </w:r>
        <w:r w:rsidR="00404F1D">
          <w:rPr>
            <w:noProof/>
            <w:webHidden/>
          </w:rPr>
          <w:fldChar w:fldCharType="end"/>
        </w:r>
      </w:hyperlink>
    </w:p>
    <w:p w14:paraId="23F5C1A5" w14:textId="56C0AED9" w:rsidR="00404F1D" w:rsidRDefault="00404F1D">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hyperlink w:anchor="_Toc166853965" w:history="1">
        <w:r w:rsidRPr="00422E07">
          <w:rPr>
            <w:rStyle w:val="Hyperlink"/>
            <w:noProof/>
          </w:rPr>
          <w:t>Table 4.3 Descriptive Attributes of Studies</w:t>
        </w:r>
        <w:r>
          <w:rPr>
            <w:noProof/>
            <w:webHidden/>
          </w:rPr>
          <w:tab/>
        </w:r>
        <w:r>
          <w:rPr>
            <w:noProof/>
            <w:webHidden/>
          </w:rPr>
          <w:fldChar w:fldCharType="begin"/>
        </w:r>
        <w:r>
          <w:rPr>
            <w:noProof/>
            <w:webHidden/>
          </w:rPr>
          <w:instrText xml:space="preserve"> PAGEREF _Toc166853965 \h </w:instrText>
        </w:r>
        <w:r>
          <w:rPr>
            <w:noProof/>
            <w:webHidden/>
          </w:rPr>
        </w:r>
        <w:r>
          <w:rPr>
            <w:noProof/>
            <w:webHidden/>
          </w:rPr>
          <w:fldChar w:fldCharType="separate"/>
        </w:r>
        <w:r>
          <w:rPr>
            <w:noProof/>
            <w:webHidden/>
          </w:rPr>
          <w:t>24</w:t>
        </w:r>
        <w:r>
          <w:rPr>
            <w:noProof/>
            <w:webHidden/>
          </w:rPr>
          <w:fldChar w:fldCharType="end"/>
        </w:r>
      </w:hyperlink>
    </w:p>
    <w:p w14:paraId="2612A4CB" w14:textId="6CA850B0" w:rsidR="00404F1D" w:rsidRDefault="00404F1D">
      <w:pPr>
        <w:pStyle w:val="TableofFigures"/>
        <w:tabs>
          <w:tab w:val="right" w:leader="dot" w:pos="8494"/>
        </w:tabs>
        <w:rPr>
          <w:rFonts w:asciiTheme="minorHAnsi" w:eastAsiaTheme="minorEastAsia" w:hAnsiTheme="minorHAnsi" w:cstheme="minorBidi"/>
          <w:noProof/>
          <w:kern w:val="2"/>
          <w:sz w:val="24"/>
          <w:szCs w:val="24"/>
          <w:lang w:eastAsia="en-GB"/>
          <w14:ligatures w14:val="standardContextual"/>
        </w:rPr>
      </w:pPr>
      <w:hyperlink w:anchor="_Toc166853966" w:history="1">
        <w:r w:rsidRPr="00422E07">
          <w:rPr>
            <w:rStyle w:val="Hyperlink"/>
            <w:rFonts w:cstheme="majorHAnsi"/>
            <w:noProof/>
          </w:rPr>
          <w:t>Table 4.4 Summary of Main Extracted Themes and Related References</w:t>
        </w:r>
        <w:r>
          <w:rPr>
            <w:noProof/>
            <w:webHidden/>
          </w:rPr>
          <w:tab/>
        </w:r>
        <w:r>
          <w:rPr>
            <w:noProof/>
            <w:webHidden/>
          </w:rPr>
          <w:fldChar w:fldCharType="begin"/>
        </w:r>
        <w:r>
          <w:rPr>
            <w:noProof/>
            <w:webHidden/>
          </w:rPr>
          <w:instrText xml:space="preserve"> PAGEREF _Toc166853966 \h </w:instrText>
        </w:r>
        <w:r>
          <w:rPr>
            <w:noProof/>
            <w:webHidden/>
          </w:rPr>
        </w:r>
        <w:r>
          <w:rPr>
            <w:noProof/>
            <w:webHidden/>
          </w:rPr>
          <w:fldChar w:fldCharType="separate"/>
        </w:r>
        <w:r>
          <w:rPr>
            <w:noProof/>
            <w:webHidden/>
          </w:rPr>
          <w:t>37</w:t>
        </w:r>
        <w:r>
          <w:rPr>
            <w:noProof/>
            <w:webHidden/>
          </w:rPr>
          <w:fldChar w:fldCharType="end"/>
        </w:r>
      </w:hyperlink>
    </w:p>
    <w:p w14:paraId="5DF1F3F8" w14:textId="3448CF05" w:rsidR="00F47C8A" w:rsidRDefault="00AC7ED7" w:rsidP="00425E03">
      <w:r>
        <w:fldChar w:fldCharType="end"/>
      </w:r>
    </w:p>
    <w:p w14:paraId="37FAF550" w14:textId="77777777" w:rsidR="00D44E15" w:rsidRDefault="00D44E15" w:rsidP="00425E03"/>
    <w:p w14:paraId="24E538A2" w14:textId="77777777" w:rsidR="00D44E15" w:rsidRDefault="00D44E15" w:rsidP="00425E03"/>
    <w:p w14:paraId="1A3776B1" w14:textId="77777777" w:rsidR="00D44E15" w:rsidRDefault="00D44E15" w:rsidP="00425E03"/>
    <w:p w14:paraId="10FB67F3" w14:textId="77777777" w:rsidR="00D44E15" w:rsidRDefault="00D44E15" w:rsidP="00425E03"/>
    <w:p w14:paraId="43BB3D4B" w14:textId="77777777" w:rsidR="00D44E15" w:rsidRDefault="00D44E15" w:rsidP="00425E03"/>
    <w:p w14:paraId="3DCE8932" w14:textId="77777777" w:rsidR="00D44E15" w:rsidRDefault="00D44E15" w:rsidP="00425E03"/>
    <w:p w14:paraId="62B393E0" w14:textId="77777777" w:rsidR="00D44E15" w:rsidRDefault="00D44E15" w:rsidP="00425E03"/>
    <w:p w14:paraId="71469DAB" w14:textId="77777777" w:rsidR="00D44E15" w:rsidRDefault="00D44E15" w:rsidP="00425E03"/>
    <w:p w14:paraId="67DB44E5" w14:textId="77777777" w:rsidR="00D44E15" w:rsidRDefault="00D44E15" w:rsidP="00425E03"/>
    <w:p w14:paraId="731E54EB" w14:textId="77777777" w:rsidR="00D44E15" w:rsidRDefault="00D44E15" w:rsidP="00425E03"/>
    <w:p w14:paraId="739E33F6" w14:textId="77777777" w:rsidR="00D44E15" w:rsidRDefault="00D44E15" w:rsidP="00425E03"/>
    <w:p w14:paraId="4F350A0D" w14:textId="77777777" w:rsidR="00D44E15" w:rsidRDefault="00D44E15" w:rsidP="00425E03"/>
    <w:p w14:paraId="436F5DDE" w14:textId="77777777" w:rsidR="00D44E15" w:rsidRDefault="00D44E15" w:rsidP="00425E03"/>
    <w:p w14:paraId="06DFC263" w14:textId="77777777" w:rsidR="00D44E15" w:rsidRDefault="00D44E15" w:rsidP="00425E03"/>
    <w:p w14:paraId="54475366" w14:textId="77777777" w:rsidR="00D44E15" w:rsidRDefault="00D44E15" w:rsidP="00425E03"/>
    <w:p w14:paraId="2012ADB9" w14:textId="77777777" w:rsidR="00D44E15" w:rsidRDefault="00D44E15" w:rsidP="00425E03"/>
    <w:p w14:paraId="4D156FB0" w14:textId="77777777" w:rsidR="00D44E15" w:rsidRDefault="00D44E15" w:rsidP="00425E03"/>
    <w:p w14:paraId="777D125A" w14:textId="77777777" w:rsidR="00D44E15" w:rsidRDefault="00D44E15" w:rsidP="00425E03"/>
    <w:p w14:paraId="2B31D762" w14:textId="77777777" w:rsidR="00D44E15" w:rsidRDefault="00D44E15" w:rsidP="00425E03"/>
    <w:p w14:paraId="64AC9788" w14:textId="77777777" w:rsidR="00D44E15" w:rsidRDefault="00D44E15" w:rsidP="00425E03"/>
    <w:p w14:paraId="61C0F247" w14:textId="77777777" w:rsidR="00D44E15" w:rsidRDefault="00D44E15" w:rsidP="00425E03"/>
    <w:p w14:paraId="458CCAEE" w14:textId="77777777" w:rsidR="00D44E15" w:rsidRDefault="00D44E15" w:rsidP="00425E03"/>
    <w:p w14:paraId="6BFCDCB8" w14:textId="77777777" w:rsidR="00D44E15" w:rsidRDefault="00D44E15" w:rsidP="00425E03"/>
    <w:p w14:paraId="22CD6AD9" w14:textId="77777777" w:rsidR="00D44E15" w:rsidRDefault="00D44E15" w:rsidP="00425E03"/>
    <w:p w14:paraId="47265DE0" w14:textId="77777777" w:rsidR="008A2BD1" w:rsidRPr="00425E03" w:rsidRDefault="008A2BD1" w:rsidP="00425E03"/>
    <w:p w14:paraId="7DF04334" w14:textId="3E690502" w:rsidR="00E26DEB" w:rsidRDefault="00E26DEB" w:rsidP="0015644E">
      <w:pPr>
        <w:pStyle w:val="Heading1"/>
        <w:rPr>
          <w:rFonts w:eastAsia="Times New Roman"/>
          <w:lang w:eastAsia="en-GB"/>
        </w:rPr>
      </w:pPr>
      <w:bookmarkStart w:id="3" w:name="_Toc166853974"/>
      <w:r w:rsidRPr="006B77CC">
        <w:rPr>
          <w:rFonts w:eastAsia="Times New Roman"/>
          <w:lang w:eastAsia="en-GB"/>
        </w:rPr>
        <w:lastRenderedPageBreak/>
        <w:t>attestation of Authorship</w:t>
      </w:r>
      <w:bookmarkEnd w:id="3"/>
    </w:p>
    <w:p w14:paraId="265414DC" w14:textId="66530113" w:rsidR="00D45CD7" w:rsidRDefault="00D67641" w:rsidP="00BE0A48">
      <w:pPr>
        <w:spacing w:line="360" w:lineRule="auto"/>
        <w:jc w:val="both"/>
        <w:rPr>
          <w:rFonts w:asciiTheme="minorHAnsi" w:hAnsiTheme="minorHAnsi" w:cstheme="minorBidi"/>
        </w:rPr>
      </w:pPr>
      <w:r w:rsidRPr="00D67641">
        <w:rPr>
          <w:rFonts w:asciiTheme="minorHAnsi" w:hAnsiTheme="minorHAnsi" w:cstheme="minorBidi"/>
          <w:highlight w:val="white"/>
        </w:rPr>
        <w:t>I hereby declare that this submission is my own work and that, to the best of my knowledge and belief, it contains no material previously published or written by another person (except where explicitly defined in the acknowledgements), nor used artificial intelligence tools or generative artificial intelligence tools (unless it is clearly stated, and referenced, along with the purpose of use), nor material which to a substantial extent has been submitted for the award of any other degree or diploma of a university or other institution of higher learning</w:t>
      </w:r>
      <w:r>
        <w:rPr>
          <w:rFonts w:asciiTheme="minorHAnsi" w:hAnsiTheme="minorHAnsi" w:cstheme="minorBidi"/>
        </w:rPr>
        <w:t>.</w:t>
      </w:r>
    </w:p>
    <w:p w14:paraId="666F11C6" w14:textId="195D35F5" w:rsidR="00D67641" w:rsidRDefault="00D67641" w:rsidP="00BE0A48">
      <w:pPr>
        <w:spacing w:line="360" w:lineRule="auto"/>
        <w:jc w:val="both"/>
        <w:rPr>
          <w:rFonts w:asciiTheme="minorHAnsi" w:hAnsiTheme="minorHAnsi" w:cstheme="minorHAnsi"/>
        </w:rPr>
      </w:pPr>
      <w:r>
        <w:rPr>
          <w:rFonts w:asciiTheme="minorHAnsi" w:hAnsiTheme="minorHAnsi" w:cstheme="minorHAnsi"/>
          <w:noProof/>
        </w:rPr>
        <w:drawing>
          <wp:anchor distT="0" distB="0" distL="114300" distR="114300" simplePos="0" relativeHeight="251658240" behindDoc="0" locked="0" layoutInCell="1" allowOverlap="1" wp14:anchorId="77F6A3CA" wp14:editId="780A9F01">
            <wp:simplePos x="0" y="0"/>
            <wp:positionH relativeFrom="column">
              <wp:posOffset>1219835</wp:posOffset>
            </wp:positionH>
            <wp:positionV relativeFrom="paragraph">
              <wp:posOffset>271982</wp:posOffset>
            </wp:positionV>
            <wp:extent cx="1547754" cy="460397"/>
            <wp:effectExtent l="0" t="0" r="1905" b="0"/>
            <wp:wrapNone/>
            <wp:docPr id="1611266196" name="Picture 1611266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266196" name="Picture 1611266196"/>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47754" cy="460397"/>
                    </a:xfrm>
                    <a:prstGeom prst="rect">
                      <a:avLst/>
                    </a:prstGeom>
                  </pic:spPr>
                </pic:pic>
              </a:graphicData>
            </a:graphic>
            <wp14:sizeRelH relativeFrom="page">
              <wp14:pctWidth>0</wp14:pctWidth>
            </wp14:sizeRelH>
            <wp14:sizeRelV relativeFrom="page">
              <wp14:pctHeight>0</wp14:pctHeight>
            </wp14:sizeRelV>
          </wp:anchor>
        </w:drawing>
      </w:r>
    </w:p>
    <w:p w14:paraId="6E162840" w14:textId="289FBD66" w:rsidR="00E26DEB" w:rsidRDefault="00D45CD7" w:rsidP="26F64964">
      <w:pPr>
        <w:spacing w:line="360" w:lineRule="auto"/>
        <w:jc w:val="both"/>
        <w:rPr>
          <w:rFonts w:asciiTheme="minorHAnsi" w:hAnsiTheme="minorHAnsi" w:cstheme="minorBidi"/>
        </w:rPr>
      </w:pPr>
      <w:r w:rsidRPr="26F64964">
        <w:rPr>
          <w:rFonts w:asciiTheme="minorHAnsi" w:hAnsiTheme="minorHAnsi" w:cstheme="minorBidi"/>
          <w:highlight w:val="white"/>
        </w:rPr>
        <w:t>Author’s Signature:</w:t>
      </w:r>
      <w:r w:rsidRPr="26F64964">
        <w:rPr>
          <w:rFonts w:asciiTheme="minorHAnsi" w:hAnsiTheme="minorHAnsi" w:cstheme="minorBidi"/>
        </w:rPr>
        <w:t xml:space="preserve">                                                                   Date: </w:t>
      </w:r>
      <w:r w:rsidR="00F336D8" w:rsidRPr="26F64964">
        <w:rPr>
          <w:rFonts w:asciiTheme="minorHAnsi" w:hAnsiTheme="minorHAnsi" w:cstheme="minorBidi"/>
        </w:rPr>
        <w:t>15</w:t>
      </w:r>
      <w:r w:rsidR="00F336D8" w:rsidRPr="26F64964">
        <w:rPr>
          <w:rFonts w:asciiTheme="minorHAnsi" w:hAnsiTheme="minorHAnsi" w:cstheme="minorBidi"/>
          <w:vertAlign w:val="superscript"/>
        </w:rPr>
        <w:t>th</w:t>
      </w:r>
      <w:r w:rsidR="00F336D8" w:rsidRPr="26F64964">
        <w:rPr>
          <w:rFonts w:asciiTheme="minorHAnsi" w:hAnsiTheme="minorHAnsi" w:cstheme="minorBidi"/>
        </w:rPr>
        <w:t xml:space="preserve"> December 2023</w:t>
      </w:r>
    </w:p>
    <w:p w14:paraId="35D1C818" w14:textId="77777777" w:rsidR="00D45CD7" w:rsidRDefault="00D45CD7" w:rsidP="00BE0A48">
      <w:pPr>
        <w:spacing w:line="360" w:lineRule="auto"/>
        <w:jc w:val="both"/>
        <w:rPr>
          <w:rFonts w:asciiTheme="minorHAnsi" w:hAnsiTheme="minorHAnsi" w:cstheme="minorHAnsi"/>
        </w:rPr>
      </w:pPr>
    </w:p>
    <w:p w14:paraId="3882F2DC" w14:textId="77777777" w:rsidR="00D45CD7" w:rsidRDefault="00D45CD7" w:rsidP="00BE0A48">
      <w:pPr>
        <w:spacing w:line="360" w:lineRule="auto"/>
        <w:jc w:val="both"/>
        <w:rPr>
          <w:rFonts w:asciiTheme="minorHAnsi" w:hAnsiTheme="minorHAnsi" w:cstheme="minorHAnsi"/>
        </w:rPr>
      </w:pPr>
    </w:p>
    <w:p w14:paraId="3CE5E885" w14:textId="77777777" w:rsidR="00D45CD7" w:rsidRDefault="00D45CD7" w:rsidP="00BE0A48">
      <w:pPr>
        <w:spacing w:line="360" w:lineRule="auto"/>
        <w:jc w:val="both"/>
        <w:rPr>
          <w:rFonts w:asciiTheme="minorHAnsi" w:hAnsiTheme="minorHAnsi" w:cstheme="minorHAnsi"/>
        </w:rPr>
      </w:pPr>
    </w:p>
    <w:p w14:paraId="2C1C2A2F" w14:textId="77777777" w:rsidR="00D45CD7" w:rsidRDefault="00D45CD7" w:rsidP="00BE0A48">
      <w:pPr>
        <w:spacing w:line="360" w:lineRule="auto"/>
        <w:jc w:val="both"/>
        <w:rPr>
          <w:rFonts w:asciiTheme="minorHAnsi" w:hAnsiTheme="minorHAnsi" w:cstheme="minorHAnsi"/>
        </w:rPr>
      </w:pPr>
    </w:p>
    <w:p w14:paraId="79F92052" w14:textId="77777777" w:rsidR="00D45CD7" w:rsidRDefault="00D45CD7" w:rsidP="00BE0A48">
      <w:pPr>
        <w:spacing w:line="360" w:lineRule="auto"/>
        <w:jc w:val="both"/>
        <w:rPr>
          <w:rFonts w:asciiTheme="minorHAnsi" w:hAnsiTheme="minorHAnsi" w:cstheme="minorHAnsi"/>
        </w:rPr>
      </w:pPr>
    </w:p>
    <w:p w14:paraId="1F0E676D" w14:textId="77777777" w:rsidR="00D45CD7" w:rsidRDefault="00D45CD7" w:rsidP="00BE0A48">
      <w:pPr>
        <w:spacing w:line="360" w:lineRule="auto"/>
        <w:jc w:val="both"/>
        <w:rPr>
          <w:rFonts w:asciiTheme="minorHAnsi" w:hAnsiTheme="minorHAnsi" w:cstheme="minorHAnsi"/>
        </w:rPr>
      </w:pPr>
    </w:p>
    <w:p w14:paraId="2D3C904F" w14:textId="77777777" w:rsidR="00D45CD7" w:rsidRDefault="00D45CD7" w:rsidP="00BE0A48">
      <w:pPr>
        <w:spacing w:line="360" w:lineRule="auto"/>
        <w:jc w:val="both"/>
        <w:rPr>
          <w:rFonts w:asciiTheme="minorHAnsi" w:hAnsiTheme="minorHAnsi" w:cstheme="minorHAnsi"/>
        </w:rPr>
      </w:pPr>
    </w:p>
    <w:p w14:paraId="0FEC5416" w14:textId="77777777" w:rsidR="00D45CD7" w:rsidRDefault="00D45CD7" w:rsidP="00BE0A48">
      <w:pPr>
        <w:spacing w:line="360" w:lineRule="auto"/>
        <w:jc w:val="both"/>
        <w:rPr>
          <w:rFonts w:asciiTheme="minorHAnsi" w:hAnsiTheme="minorHAnsi" w:cstheme="minorHAnsi"/>
        </w:rPr>
      </w:pPr>
    </w:p>
    <w:p w14:paraId="0F411A0C" w14:textId="77777777" w:rsidR="00D45CD7" w:rsidRDefault="00D45CD7" w:rsidP="00BE0A48">
      <w:pPr>
        <w:spacing w:line="360" w:lineRule="auto"/>
        <w:jc w:val="both"/>
        <w:rPr>
          <w:rFonts w:asciiTheme="minorHAnsi" w:hAnsiTheme="minorHAnsi" w:cstheme="minorHAnsi"/>
        </w:rPr>
      </w:pPr>
    </w:p>
    <w:p w14:paraId="6891B442" w14:textId="77777777" w:rsidR="00D45CD7" w:rsidRDefault="00D45CD7" w:rsidP="00BE0A48">
      <w:pPr>
        <w:spacing w:line="360" w:lineRule="auto"/>
        <w:jc w:val="both"/>
        <w:rPr>
          <w:rFonts w:asciiTheme="minorHAnsi" w:hAnsiTheme="minorHAnsi" w:cstheme="minorHAnsi"/>
        </w:rPr>
      </w:pPr>
    </w:p>
    <w:p w14:paraId="22E7BD97" w14:textId="77777777" w:rsidR="00D45CD7" w:rsidRDefault="00D45CD7" w:rsidP="00BE0A48">
      <w:pPr>
        <w:spacing w:line="360" w:lineRule="auto"/>
        <w:jc w:val="both"/>
        <w:rPr>
          <w:rFonts w:asciiTheme="minorHAnsi" w:hAnsiTheme="minorHAnsi" w:cstheme="minorHAnsi"/>
        </w:rPr>
      </w:pPr>
    </w:p>
    <w:p w14:paraId="0F003045" w14:textId="77777777" w:rsidR="00D45CD7" w:rsidRDefault="00D45CD7" w:rsidP="00BE0A48">
      <w:pPr>
        <w:spacing w:line="360" w:lineRule="auto"/>
        <w:jc w:val="both"/>
        <w:rPr>
          <w:rFonts w:asciiTheme="minorHAnsi" w:hAnsiTheme="minorHAnsi" w:cstheme="minorHAnsi"/>
        </w:rPr>
      </w:pPr>
    </w:p>
    <w:p w14:paraId="72835761" w14:textId="77777777" w:rsidR="00D45CD7" w:rsidRDefault="00D45CD7" w:rsidP="00BE0A48">
      <w:pPr>
        <w:spacing w:line="360" w:lineRule="auto"/>
        <w:jc w:val="both"/>
        <w:rPr>
          <w:rFonts w:asciiTheme="minorHAnsi" w:hAnsiTheme="minorHAnsi" w:cstheme="minorHAnsi"/>
        </w:rPr>
      </w:pPr>
    </w:p>
    <w:p w14:paraId="6BA0A091" w14:textId="77777777" w:rsidR="00D45CD7" w:rsidRDefault="00D45CD7" w:rsidP="00BE0A48">
      <w:pPr>
        <w:spacing w:line="360" w:lineRule="auto"/>
        <w:jc w:val="both"/>
        <w:rPr>
          <w:rFonts w:asciiTheme="minorHAnsi" w:hAnsiTheme="minorHAnsi" w:cstheme="minorHAnsi"/>
        </w:rPr>
      </w:pPr>
    </w:p>
    <w:p w14:paraId="245279A0" w14:textId="77777777" w:rsidR="00D45CD7" w:rsidRDefault="00D45CD7" w:rsidP="00BE0A48">
      <w:pPr>
        <w:spacing w:line="360" w:lineRule="auto"/>
        <w:jc w:val="both"/>
        <w:rPr>
          <w:rFonts w:asciiTheme="minorHAnsi" w:hAnsiTheme="minorHAnsi" w:cstheme="minorHAnsi"/>
        </w:rPr>
      </w:pPr>
    </w:p>
    <w:p w14:paraId="55F4DC88" w14:textId="77777777" w:rsidR="00D45CD7" w:rsidRDefault="00D45CD7" w:rsidP="00BE0A48">
      <w:pPr>
        <w:spacing w:line="360" w:lineRule="auto"/>
        <w:jc w:val="both"/>
        <w:rPr>
          <w:rFonts w:asciiTheme="minorHAnsi" w:hAnsiTheme="minorHAnsi" w:cstheme="minorHAnsi"/>
        </w:rPr>
      </w:pPr>
    </w:p>
    <w:p w14:paraId="4D08EC33" w14:textId="77777777" w:rsidR="00D45CD7" w:rsidRPr="00BE0A48" w:rsidRDefault="00D45CD7" w:rsidP="00BE0A48">
      <w:pPr>
        <w:spacing w:line="360" w:lineRule="auto"/>
        <w:jc w:val="both"/>
        <w:rPr>
          <w:rFonts w:asciiTheme="minorHAnsi" w:eastAsia="Times New Roman" w:hAnsiTheme="minorHAnsi" w:cstheme="minorHAnsi"/>
          <w:caps/>
          <w:color w:val="234F77" w:themeColor="accent2" w:themeShade="80"/>
          <w:spacing w:val="20"/>
          <w:sz w:val="28"/>
          <w:szCs w:val="28"/>
          <w:lang w:eastAsia="en-GB"/>
        </w:rPr>
      </w:pPr>
    </w:p>
    <w:p w14:paraId="0AB0C3B6" w14:textId="769931BD" w:rsidR="00372EE9" w:rsidRDefault="00372EE9" w:rsidP="0015644E">
      <w:pPr>
        <w:pStyle w:val="Heading1"/>
        <w:rPr>
          <w:rFonts w:eastAsia="Times New Roman"/>
          <w:lang w:eastAsia="en-GB"/>
        </w:rPr>
      </w:pPr>
      <w:bookmarkStart w:id="4" w:name="_Toc166853975"/>
      <w:r w:rsidRPr="006D0B4D">
        <w:rPr>
          <w:rFonts w:eastAsia="Times New Roman"/>
          <w:lang w:eastAsia="en-GB"/>
        </w:rPr>
        <w:lastRenderedPageBreak/>
        <w:t>Acknowledgements</w:t>
      </w:r>
      <w:bookmarkEnd w:id="4"/>
    </w:p>
    <w:p w14:paraId="3B5B195E" w14:textId="4D81236C" w:rsidR="00797B30" w:rsidRDefault="00A36141" w:rsidP="00136531">
      <w:pPr>
        <w:spacing w:line="276"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First and foremost, all glory to God. Without him this wouldn’t be possible, I owe everything to him. </w:t>
      </w:r>
      <w:r w:rsidR="00BE7C79" w:rsidRPr="26F64964">
        <w:rPr>
          <w:rFonts w:ascii="Calibri" w:eastAsia="Times New Roman" w:hAnsi="Calibri" w:cs="Calibri"/>
          <w:color w:val="212121"/>
          <w:lang w:eastAsia="en-GB"/>
        </w:rPr>
        <w:t xml:space="preserve">There are so </w:t>
      </w:r>
      <w:r w:rsidR="00BE7C79" w:rsidRPr="26F64964">
        <w:rPr>
          <w:rFonts w:ascii="Calibri" w:eastAsia="Times New Roman" w:hAnsi="Calibri" w:cs="Calibri"/>
          <w:color w:val="212121"/>
          <w:highlight w:val="white"/>
          <w:lang w:eastAsia="en-GB"/>
        </w:rPr>
        <w:t>many people I would like to acknowledge</w:t>
      </w:r>
      <w:r w:rsidR="00797B30" w:rsidRPr="26F64964">
        <w:rPr>
          <w:rFonts w:ascii="Calibri" w:eastAsia="Times New Roman" w:hAnsi="Calibri" w:cs="Calibri"/>
          <w:color w:val="212121"/>
          <w:lang w:eastAsia="en-GB"/>
        </w:rPr>
        <w:t xml:space="preserve"> that have been my inspiration, motivat</w:t>
      </w:r>
      <w:r w:rsidR="00043ECD" w:rsidRPr="26F64964">
        <w:rPr>
          <w:rFonts w:ascii="Calibri" w:eastAsia="Times New Roman" w:hAnsi="Calibri" w:cs="Calibri"/>
          <w:color w:val="212121"/>
          <w:lang w:eastAsia="en-GB"/>
        </w:rPr>
        <w:t xml:space="preserve">ion </w:t>
      </w:r>
      <w:r w:rsidR="00797B30" w:rsidRPr="26F64964">
        <w:rPr>
          <w:rFonts w:ascii="Calibri" w:eastAsia="Times New Roman" w:hAnsi="Calibri" w:cs="Calibri"/>
          <w:color w:val="212121"/>
          <w:lang w:eastAsia="en-GB"/>
        </w:rPr>
        <w:t>and driving force behind my academic endeavours.</w:t>
      </w:r>
    </w:p>
    <w:p w14:paraId="7EE7BA4E" w14:textId="79693E13" w:rsidR="00F314B2" w:rsidRDefault="00E45905" w:rsidP="00136531">
      <w:pPr>
        <w:spacing w:line="276"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Firstly I want to </w:t>
      </w:r>
      <w:r w:rsidR="001548BF" w:rsidRPr="26F64964">
        <w:rPr>
          <w:rFonts w:ascii="Calibri" w:eastAsia="Times New Roman" w:hAnsi="Calibri" w:cs="Calibri"/>
          <w:color w:val="212121"/>
          <w:lang w:eastAsia="en-GB"/>
        </w:rPr>
        <w:t>acknowledge m</w:t>
      </w:r>
      <w:r w:rsidR="006D4BC5" w:rsidRPr="26F64964">
        <w:rPr>
          <w:rFonts w:ascii="Calibri" w:eastAsia="Times New Roman" w:hAnsi="Calibri" w:cs="Calibri"/>
          <w:color w:val="212121"/>
          <w:lang w:eastAsia="en-GB"/>
        </w:rPr>
        <w:t xml:space="preserve">y late father </w:t>
      </w:r>
      <w:proofErr w:type="spellStart"/>
      <w:r w:rsidR="006D4BC5" w:rsidRPr="26F64964">
        <w:rPr>
          <w:rFonts w:ascii="Calibri" w:eastAsia="Times New Roman" w:hAnsi="Calibri" w:cs="Calibri"/>
          <w:color w:val="212121"/>
          <w:lang w:eastAsia="en-GB"/>
        </w:rPr>
        <w:t>Loupua</w:t>
      </w:r>
      <w:proofErr w:type="spellEnd"/>
      <w:r w:rsidR="006D4BC5" w:rsidRPr="26F64964">
        <w:rPr>
          <w:rFonts w:ascii="Calibri" w:eastAsia="Times New Roman" w:hAnsi="Calibri" w:cs="Calibri"/>
          <w:color w:val="212121"/>
          <w:lang w:eastAsia="en-GB"/>
        </w:rPr>
        <w:t xml:space="preserve"> Falevai</w:t>
      </w:r>
      <w:r w:rsidR="006D0215" w:rsidRPr="26F64964">
        <w:rPr>
          <w:rFonts w:ascii="Calibri" w:eastAsia="Times New Roman" w:hAnsi="Calibri" w:cs="Calibri"/>
          <w:color w:val="212121"/>
          <w:lang w:eastAsia="en-GB"/>
        </w:rPr>
        <w:t xml:space="preserve"> (</w:t>
      </w:r>
      <w:proofErr w:type="spellStart"/>
      <w:r w:rsidR="006D0215" w:rsidRPr="26F64964">
        <w:rPr>
          <w:rFonts w:ascii="Calibri" w:eastAsia="Times New Roman" w:hAnsi="Calibri" w:cs="Calibri"/>
          <w:color w:val="212121"/>
          <w:lang w:eastAsia="en-GB"/>
        </w:rPr>
        <w:t>Vaini</w:t>
      </w:r>
      <w:proofErr w:type="spellEnd"/>
      <w:r w:rsidR="006D0215" w:rsidRPr="26F64964">
        <w:rPr>
          <w:rFonts w:ascii="Calibri" w:eastAsia="Times New Roman" w:hAnsi="Calibri" w:cs="Calibri"/>
          <w:color w:val="212121"/>
          <w:lang w:eastAsia="en-GB"/>
        </w:rPr>
        <w:t xml:space="preserve">, </w:t>
      </w:r>
      <w:proofErr w:type="spellStart"/>
      <w:r w:rsidR="006D0215" w:rsidRPr="26F64964">
        <w:rPr>
          <w:rFonts w:ascii="Calibri" w:eastAsia="Times New Roman" w:hAnsi="Calibri" w:cs="Calibri"/>
          <w:color w:val="212121"/>
          <w:lang w:eastAsia="en-GB"/>
        </w:rPr>
        <w:t>Ha’apai</w:t>
      </w:r>
      <w:proofErr w:type="spellEnd"/>
      <w:r w:rsidR="006D0215" w:rsidRPr="26F64964">
        <w:rPr>
          <w:rFonts w:ascii="Calibri" w:eastAsia="Times New Roman" w:hAnsi="Calibri" w:cs="Calibri"/>
          <w:color w:val="212121"/>
          <w:lang w:eastAsia="en-GB"/>
        </w:rPr>
        <w:t>)</w:t>
      </w:r>
      <w:r w:rsidR="006D4BC5" w:rsidRPr="26F64964">
        <w:rPr>
          <w:rFonts w:ascii="Calibri" w:eastAsia="Times New Roman" w:hAnsi="Calibri" w:cs="Calibri"/>
          <w:color w:val="212121"/>
          <w:lang w:eastAsia="en-GB"/>
        </w:rPr>
        <w:t xml:space="preserve">. I had hid my </w:t>
      </w:r>
      <w:r w:rsidR="00CA4458" w:rsidRPr="26F64964">
        <w:rPr>
          <w:rFonts w:ascii="Calibri" w:eastAsia="Times New Roman" w:hAnsi="Calibri" w:cs="Calibri"/>
          <w:color w:val="212121"/>
          <w:lang w:eastAsia="en-GB"/>
        </w:rPr>
        <w:t xml:space="preserve">enrolment into the </w:t>
      </w:r>
      <w:r w:rsidR="008210C0" w:rsidRPr="26F64964">
        <w:rPr>
          <w:rFonts w:ascii="Calibri" w:eastAsia="Times New Roman" w:hAnsi="Calibri" w:cs="Calibri"/>
          <w:color w:val="212121"/>
          <w:lang w:eastAsia="en-GB"/>
        </w:rPr>
        <w:t>Master’s</w:t>
      </w:r>
      <w:r w:rsidR="00CA4458" w:rsidRPr="26F64964">
        <w:rPr>
          <w:rFonts w:ascii="Calibri" w:eastAsia="Times New Roman" w:hAnsi="Calibri" w:cs="Calibri"/>
          <w:color w:val="212121"/>
          <w:lang w:eastAsia="en-GB"/>
        </w:rPr>
        <w:t xml:space="preserve"> program</w:t>
      </w:r>
      <w:r w:rsidR="00043ECD" w:rsidRPr="26F64964">
        <w:rPr>
          <w:rFonts w:ascii="Calibri" w:eastAsia="Times New Roman" w:hAnsi="Calibri" w:cs="Calibri"/>
          <w:color w:val="212121"/>
          <w:lang w:eastAsia="en-GB"/>
        </w:rPr>
        <w:t xml:space="preserve"> from everyone and </w:t>
      </w:r>
      <w:r w:rsidR="006D4BC5" w:rsidRPr="26F64964">
        <w:rPr>
          <w:rFonts w:ascii="Calibri" w:eastAsia="Times New Roman" w:hAnsi="Calibri" w:cs="Calibri"/>
          <w:color w:val="212121"/>
          <w:lang w:eastAsia="en-GB"/>
        </w:rPr>
        <w:t>planned to surprise you</w:t>
      </w:r>
      <w:r w:rsidR="00C111FD" w:rsidRPr="26F64964">
        <w:rPr>
          <w:rFonts w:ascii="Calibri" w:eastAsia="Times New Roman" w:hAnsi="Calibri" w:cs="Calibri"/>
          <w:color w:val="212121"/>
          <w:lang w:eastAsia="en-GB"/>
        </w:rPr>
        <w:t xml:space="preserve"> on your 50</w:t>
      </w:r>
      <w:r w:rsidR="00C111FD" w:rsidRPr="26F64964">
        <w:rPr>
          <w:rFonts w:ascii="Calibri" w:eastAsia="Times New Roman" w:hAnsi="Calibri" w:cs="Calibri"/>
          <w:color w:val="212121"/>
          <w:vertAlign w:val="superscript"/>
          <w:lang w:eastAsia="en-GB"/>
        </w:rPr>
        <w:t>th</w:t>
      </w:r>
      <w:r w:rsidR="00C111FD" w:rsidRPr="26F64964">
        <w:rPr>
          <w:rFonts w:ascii="Calibri" w:eastAsia="Times New Roman" w:hAnsi="Calibri" w:cs="Calibri"/>
          <w:color w:val="212121"/>
          <w:lang w:eastAsia="en-GB"/>
        </w:rPr>
        <w:t xml:space="preserve"> </w:t>
      </w:r>
      <w:r w:rsidR="006D4BC5" w:rsidRPr="26F64964">
        <w:rPr>
          <w:rFonts w:ascii="Calibri" w:eastAsia="Times New Roman" w:hAnsi="Calibri" w:cs="Calibri"/>
          <w:color w:val="212121"/>
          <w:lang w:eastAsia="en-GB"/>
        </w:rPr>
        <w:t xml:space="preserve">with my degree when I had finished but you had passed </w:t>
      </w:r>
      <w:r w:rsidR="00CA4458" w:rsidRPr="26F64964">
        <w:rPr>
          <w:rFonts w:ascii="Calibri" w:eastAsia="Times New Roman" w:hAnsi="Calibri" w:cs="Calibri"/>
          <w:color w:val="212121"/>
          <w:lang w:eastAsia="en-GB"/>
        </w:rPr>
        <w:t xml:space="preserve">before I had the chance to tell you. My Father </w:t>
      </w:r>
      <w:r w:rsidR="00C944E7" w:rsidRPr="26F64964">
        <w:rPr>
          <w:rFonts w:ascii="Calibri" w:eastAsia="Times New Roman" w:hAnsi="Calibri" w:cs="Calibri"/>
          <w:color w:val="212121"/>
          <w:lang w:eastAsia="en-GB"/>
        </w:rPr>
        <w:t>had undergone a heart transplant and unfortunately passed due to complications. I dedicate my dissertation topic in your honour dad an</w:t>
      </w:r>
      <w:r w:rsidR="00332839" w:rsidRPr="26F64964">
        <w:rPr>
          <w:rFonts w:ascii="Calibri" w:eastAsia="Times New Roman" w:hAnsi="Calibri" w:cs="Calibri"/>
          <w:color w:val="212121"/>
          <w:lang w:eastAsia="en-GB"/>
        </w:rPr>
        <w:t xml:space="preserve">d hope </w:t>
      </w:r>
      <w:r w:rsidR="00043ECD" w:rsidRPr="26F64964">
        <w:rPr>
          <w:rFonts w:ascii="Calibri" w:eastAsia="Times New Roman" w:hAnsi="Calibri" w:cs="Calibri"/>
          <w:color w:val="212121"/>
          <w:lang w:eastAsia="en-GB"/>
        </w:rPr>
        <w:t xml:space="preserve">my research can help within the transplantation field. </w:t>
      </w:r>
      <w:r w:rsidR="00F314B2">
        <w:rPr>
          <w:rFonts w:ascii="Calibri" w:eastAsia="Times New Roman" w:hAnsi="Calibri" w:cs="Calibri"/>
          <w:color w:val="212121"/>
          <w:lang w:eastAsia="en-GB"/>
        </w:rPr>
        <w:t xml:space="preserve"> </w:t>
      </w:r>
      <w:r w:rsidR="00043ECD" w:rsidRPr="26F64964">
        <w:rPr>
          <w:rFonts w:ascii="Calibri" w:eastAsia="Times New Roman" w:hAnsi="Calibri" w:cs="Calibri"/>
          <w:color w:val="212121"/>
          <w:lang w:eastAsia="en-GB"/>
        </w:rPr>
        <w:t xml:space="preserve">I </w:t>
      </w:r>
      <w:r w:rsidR="000952DA">
        <w:rPr>
          <w:rFonts w:ascii="Calibri" w:eastAsia="Times New Roman" w:hAnsi="Calibri" w:cs="Calibri"/>
          <w:color w:val="212121"/>
          <w:lang w:eastAsia="en-GB"/>
        </w:rPr>
        <w:t xml:space="preserve">want to acknowledge </w:t>
      </w:r>
      <w:r w:rsidR="0049692B" w:rsidRPr="26F64964">
        <w:rPr>
          <w:rFonts w:ascii="Calibri" w:eastAsia="Times New Roman" w:hAnsi="Calibri" w:cs="Calibri"/>
          <w:color w:val="212121"/>
          <w:lang w:eastAsia="en-GB"/>
        </w:rPr>
        <w:t xml:space="preserve">the rest of </w:t>
      </w:r>
      <w:r w:rsidR="0049692B" w:rsidRPr="26F64964">
        <w:rPr>
          <w:rFonts w:ascii="Calibri" w:eastAsia="Times New Roman" w:hAnsi="Calibri" w:cs="Calibri"/>
          <w:color w:val="212121"/>
          <w:highlight w:val="white"/>
          <w:lang w:eastAsia="en-GB"/>
        </w:rPr>
        <w:t>my family</w:t>
      </w:r>
      <w:r w:rsidR="000952DA">
        <w:rPr>
          <w:rFonts w:ascii="Calibri" w:eastAsia="Times New Roman" w:hAnsi="Calibri" w:cs="Calibri"/>
          <w:color w:val="212121"/>
          <w:lang w:eastAsia="en-GB"/>
        </w:rPr>
        <w:t xml:space="preserve">: </w:t>
      </w:r>
      <w:r w:rsidR="00536490" w:rsidRPr="26F64964">
        <w:rPr>
          <w:rFonts w:ascii="Calibri" w:eastAsia="Times New Roman" w:hAnsi="Calibri" w:cs="Calibri"/>
          <w:color w:val="212121"/>
          <w:lang w:eastAsia="en-GB"/>
        </w:rPr>
        <w:t xml:space="preserve">Nena - </w:t>
      </w:r>
      <w:proofErr w:type="spellStart"/>
      <w:r w:rsidR="00D05033" w:rsidRPr="26F64964">
        <w:rPr>
          <w:rFonts w:ascii="Calibri" w:eastAsia="Times New Roman" w:hAnsi="Calibri" w:cs="Calibri"/>
          <w:color w:val="212121"/>
          <w:lang w:eastAsia="en-GB"/>
        </w:rPr>
        <w:t>Naneti</w:t>
      </w:r>
      <w:proofErr w:type="spellEnd"/>
      <w:r w:rsidR="00D05033" w:rsidRPr="26F64964">
        <w:rPr>
          <w:rFonts w:ascii="Calibri" w:eastAsia="Times New Roman" w:hAnsi="Calibri" w:cs="Calibri"/>
          <w:color w:val="212121"/>
          <w:lang w:eastAsia="en-GB"/>
        </w:rPr>
        <w:t xml:space="preserve"> </w:t>
      </w:r>
      <w:proofErr w:type="spellStart"/>
      <w:r w:rsidR="00D05033" w:rsidRPr="26F64964">
        <w:rPr>
          <w:rFonts w:ascii="Calibri" w:eastAsia="Times New Roman" w:hAnsi="Calibri" w:cs="Calibri"/>
          <w:color w:val="212121"/>
          <w:lang w:eastAsia="en-GB"/>
        </w:rPr>
        <w:t>Lolohea</w:t>
      </w:r>
      <w:proofErr w:type="spellEnd"/>
      <w:r w:rsidR="005D1EEB" w:rsidRPr="26F64964">
        <w:rPr>
          <w:rFonts w:ascii="Calibri" w:eastAsia="Times New Roman" w:hAnsi="Calibri" w:cs="Calibri"/>
          <w:color w:val="212121"/>
          <w:lang w:eastAsia="en-GB"/>
        </w:rPr>
        <w:t xml:space="preserve"> </w:t>
      </w:r>
      <w:proofErr w:type="spellStart"/>
      <w:r w:rsidR="005D1EEB" w:rsidRPr="26F64964">
        <w:rPr>
          <w:rFonts w:ascii="Calibri" w:eastAsia="Times New Roman" w:hAnsi="Calibri" w:cs="Calibri"/>
          <w:color w:val="212121"/>
          <w:lang w:eastAsia="en-GB"/>
        </w:rPr>
        <w:t>Vavau</w:t>
      </w:r>
      <w:proofErr w:type="spellEnd"/>
      <w:r w:rsidR="005D1EEB" w:rsidRPr="26F64964">
        <w:rPr>
          <w:rFonts w:ascii="Calibri" w:eastAsia="Times New Roman" w:hAnsi="Calibri" w:cs="Calibri"/>
          <w:color w:val="212121"/>
          <w:lang w:eastAsia="en-GB"/>
        </w:rPr>
        <w:t xml:space="preserve"> Funaki</w:t>
      </w:r>
      <w:r w:rsidR="006D0215" w:rsidRPr="26F64964">
        <w:rPr>
          <w:rFonts w:ascii="Calibri" w:eastAsia="Times New Roman" w:hAnsi="Calibri" w:cs="Calibri"/>
          <w:color w:val="212121"/>
          <w:lang w:eastAsia="en-GB"/>
        </w:rPr>
        <w:t xml:space="preserve"> (</w:t>
      </w:r>
      <w:proofErr w:type="spellStart"/>
      <w:r w:rsidR="006D0215" w:rsidRPr="26F64964">
        <w:rPr>
          <w:rFonts w:ascii="Calibri" w:eastAsia="Times New Roman" w:hAnsi="Calibri" w:cs="Calibri"/>
          <w:color w:val="212121"/>
          <w:lang w:eastAsia="en-GB"/>
        </w:rPr>
        <w:t>Fu</w:t>
      </w:r>
      <w:r w:rsidR="00F658FC" w:rsidRPr="26F64964">
        <w:rPr>
          <w:rFonts w:ascii="Calibri" w:eastAsia="Times New Roman" w:hAnsi="Calibri" w:cs="Calibri"/>
          <w:color w:val="212121"/>
          <w:lang w:eastAsia="en-GB"/>
        </w:rPr>
        <w:t>’amotu</w:t>
      </w:r>
      <w:proofErr w:type="spellEnd"/>
      <w:r w:rsidR="00F658FC" w:rsidRPr="26F64964">
        <w:rPr>
          <w:rFonts w:ascii="Calibri" w:eastAsia="Times New Roman" w:hAnsi="Calibri" w:cs="Calibri"/>
          <w:color w:val="212121"/>
          <w:lang w:eastAsia="en-GB"/>
        </w:rPr>
        <w:t xml:space="preserve">, </w:t>
      </w:r>
      <w:proofErr w:type="spellStart"/>
      <w:r w:rsidR="00F658FC" w:rsidRPr="26F64964">
        <w:rPr>
          <w:rFonts w:ascii="Calibri" w:eastAsia="Times New Roman" w:hAnsi="Calibri" w:cs="Calibri"/>
          <w:color w:val="212121"/>
          <w:lang w:eastAsia="en-GB"/>
        </w:rPr>
        <w:t>Nakolo</w:t>
      </w:r>
      <w:proofErr w:type="spellEnd"/>
      <w:r w:rsidR="00F658FC" w:rsidRPr="26F64964">
        <w:rPr>
          <w:rFonts w:ascii="Calibri" w:eastAsia="Times New Roman" w:hAnsi="Calibri" w:cs="Calibri"/>
          <w:color w:val="212121"/>
          <w:lang w:eastAsia="en-GB"/>
        </w:rPr>
        <w:t xml:space="preserve">, </w:t>
      </w:r>
      <w:proofErr w:type="spellStart"/>
      <w:r w:rsidR="00F658FC" w:rsidRPr="26F64964">
        <w:rPr>
          <w:rFonts w:ascii="Calibri" w:eastAsia="Times New Roman" w:hAnsi="Calibri" w:cs="Calibri"/>
          <w:color w:val="212121"/>
          <w:lang w:eastAsia="en-GB"/>
        </w:rPr>
        <w:t>Vavau</w:t>
      </w:r>
      <w:proofErr w:type="spellEnd"/>
      <w:r w:rsidR="00F658FC" w:rsidRPr="26F64964">
        <w:rPr>
          <w:rFonts w:ascii="Calibri" w:eastAsia="Times New Roman" w:hAnsi="Calibri" w:cs="Calibri"/>
          <w:color w:val="212121"/>
          <w:lang w:eastAsia="en-GB"/>
        </w:rPr>
        <w:t>)</w:t>
      </w:r>
      <w:r w:rsidR="00536490" w:rsidRPr="26F64964">
        <w:rPr>
          <w:rFonts w:ascii="Calibri" w:eastAsia="Times New Roman" w:hAnsi="Calibri" w:cs="Calibri"/>
          <w:color w:val="212121"/>
          <w:lang w:eastAsia="en-GB"/>
        </w:rPr>
        <w:t xml:space="preserve">, Mum </w:t>
      </w:r>
      <w:r w:rsidR="00F658FC" w:rsidRPr="26F64964">
        <w:rPr>
          <w:rFonts w:ascii="Calibri" w:eastAsia="Times New Roman" w:hAnsi="Calibri" w:cs="Calibri"/>
          <w:color w:val="212121"/>
          <w:lang w:eastAsia="en-GB"/>
        </w:rPr>
        <w:t>–</w:t>
      </w:r>
      <w:r w:rsidR="00536490" w:rsidRPr="26F64964">
        <w:rPr>
          <w:rFonts w:ascii="Calibri" w:eastAsia="Times New Roman" w:hAnsi="Calibri" w:cs="Calibri"/>
          <w:color w:val="212121"/>
          <w:lang w:eastAsia="en-GB"/>
        </w:rPr>
        <w:t xml:space="preserve"> </w:t>
      </w:r>
      <w:proofErr w:type="spellStart"/>
      <w:r w:rsidR="005D1EEB" w:rsidRPr="26F64964">
        <w:rPr>
          <w:rFonts w:ascii="Calibri" w:eastAsia="Times New Roman" w:hAnsi="Calibri" w:cs="Calibri"/>
          <w:color w:val="212121"/>
          <w:lang w:eastAsia="en-GB"/>
        </w:rPr>
        <w:t>Veiongo</w:t>
      </w:r>
      <w:proofErr w:type="spellEnd"/>
      <w:r w:rsidR="00F658FC" w:rsidRPr="26F64964">
        <w:rPr>
          <w:rFonts w:ascii="Calibri" w:eastAsia="Times New Roman" w:hAnsi="Calibri" w:cs="Calibri"/>
          <w:color w:val="212121"/>
          <w:lang w:eastAsia="en-GB"/>
        </w:rPr>
        <w:t xml:space="preserve"> </w:t>
      </w:r>
      <w:r w:rsidR="00976C43">
        <w:rPr>
          <w:rFonts w:ascii="Calibri" w:eastAsia="Times New Roman" w:hAnsi="Calibri" w:cs="Calibri"/>
          <w:color w:val="212121"/>
          <w:lang w:eastAsia="en-GB"/>
        </w:rPr>
        <w:t xml:space="preserve">Falevai </w:t>
      </w:r>
      <w:r w:rsidR="00F658FC" w:rsidRPr="26F64964">
        <w:rPr>
          <w:rFonts w:ascii="Calibri" w:eastAsia="Times New Roman" w:hAnsi="Calibri" w:cs="Calibri"/>
          <w:color w:val="212121"/>
          <w:lang w:eastAsia="en-GB"/>
        </w:rPr>
        <w:t>(</w:t>
      </w:r>
      <w:proofErr w:type="spellStart"/>
      <w:r w:rsidR="00F658FC" w:rsidRPr="26F64964">
        <w:rPr>
          <w:rFonts w:ascii="Calibri" w:eastAsia="Times New Roman" w:hAnsi="Calibri" w:cs="Calibri"/>
          <w:color w:val="212121"/>
          <w:lang w:eastAsia="en-GB"/>
        </w:rPr>
        <w:t>Fu’amotu</w:t>
      </w:r>
      <w:proofErr w:type="spellEnd"/>
      <w:r w:rsidR="00F658FC" w:rsidRPr="26F64964">
        <w:rPr>
          <w:rFonts w:ascii="Calibri" w:eastAsia="Times New Roman" w:hAnsi="Calibri" w:cs="Calibri"/>
          <w:color w:val="212121"/>
          <w:lang w:eastAsia="en-GB"/>
        </w:rPr>
        <w:t xml:space="preserve">, </w:t>
      </w:r>
      <w:proofErr w:type="spellStart"/>
      <w:r w:rsidR="00F658FC" w:rsidRPr="26F64964">
        <w:rPr>
          <w:rFonts w:ascii="Calibri" w:eastAsia="Times New Roman" w:hAnsi="Calibri" w:cs="Calibri"/>
          <w:color w:val="212121"/>
          <w:lang w:eastAsia="en-GB"/>
        </w:rPr>
        <w:t>Nakolo</w:t>
      </w:r>
      <w:proofErr w:type="spellEnd"/>
      <w:r w:rsidR="00F658FC" w:rsidRPr="26F64964">
        <w:rPr>
          <w:rFonts w:ascii="Calibri" w:eastAsia="Times New Roman" w:hAnsi="Calibri" w:cs="Calibri"/>
          <w:color w:val="212121"/>
          <w:lang w:eastAsia="en-GB"/>
        </w:rPr>
        <w:t xml:space="preserve">, </w:t>
      </w:r>
      <w:proofErr w:type="spellStart"/>
      <w:r w:rsidR="00F658FC" w:rsidRPr="26F64964">
        <w:rPr>
          <w:rFonts w:ascii="Calibri" w:eastAsia="Times New Roman" w:hAnsi="Calibri" w:cs="Calibri"/>
          <w:color w:val="212121"/>
          <w:lang w:eastAsia="en-GB"/>
        </w:rPr>
        <w:t>Vavau</w:t>
      </w:r>
      <w:proofErr w:type="spellEnd"/>
      <w:r w:rsidR="00F658FC" w:rsidRPr="26F64964">
        <w:rPr>
          <w:rFonts w:ascii="Calibri" w:eastAsia="Times New Roman" w:hAnsi="Calibri" w:cs="Calibri"/>
          <w:color w:val="212121"/>
          <w:lang w:eastAsia="en-GB"/>
        </w:rPr>
        <w:t>)</w:t>
      </w:r>
      <w:r w:rsidR="00536490" w:rsidRPr="26F64964">
        <w:rPr>
          <w:rFonts w:ascii="Calibri" w:eastAsia="Times New Roman" w:hAnsi="Calibri" w:cs="Calibri"/>
          <w:color w:val="212121"/>
          <w:lang w:eastAsia="en-GB"/>
        </w:rPr>
        <w:t>,</w:t>
      </w:r>
      <w:r w:rsidR="0050148F">
        <w:rPr>
          <w:rFonts w:ascii="Calibri" w:eastAsia="Times New Roman" w:hAnsi="Calibri" w:cs="Calibri"/>
          <w:color w:val="212121"/>
          <w:lang w:eastAsia="en-GB"/>
        </w:rPr>
        <w:t xml:space="preserve"> Aunty Mele </w:t>
      </w:r>
      <w:proofErr w:type="spellStart"/>
      <w:r w:rsidR="0050148F">
        <w:rPr>
          <w:rFonts w:ascii="Calibri" w:eastAsia="Times New Roman" w:hAnsi="Calibri" w:cs="Calibri"/>
          <w:color w:val="212121"/>
          <w:lang w:eastAsia="en-GB"/>
        </w:rPr>
        <w:t>Fusi</w:t>
      </w:r>
      <w:proofErr w:type="spellEnd"/>
      <w:r w:rsidR="0050148F">
        <w:rPr>
          <w:rFonts w:ascii="Calibri" w:eastAsia="Times New Roman" w:hAnsi="Calibri" w:cs="Calibri"/>
          <w:color w:val="212121"/>
          <w:lang w:eastAsia="en-GB"/>
        </w:rPr>
        <w:t xml:space="preserve"> Funaki,</w:t>
      </w:r>
      <w:r w:rsidR="00536490" w:rsidRPr="26F64964">
        <w:rPr>
          <w:rFonts w:ascii="Calibri" w:eastAsia="Times New Roman" w:hAnsi="Calibri" w:cs="Calibri"/>
          <w:color w:val="212121"/>
          <w:lang w:eastAsia="en-GB"/>
        </w:rPr>
        <w:t xml:space="preserve"> Siblings</w:t>
      </w:r>
      <w:r w:rsidR="003F24DE" w:rsidRPr="26F64964">
        <w:rPr>
          <w:rFonts w:ascii="Calibri" w:eastAsia="Times New Roman" w:hAnsi="Calibri" w:cs="Calibri"/>
          <w:color w:val="212121"/>
          <w:lang w:eastAsia="en-GB"/>
        </w:rPr>
        <w:t xml:space="preserve"> –</w:t>
      </w:r>
      <w:r w:rsidR="00536490" w:rsidRPr="26F64964">
        <w:rPr>
          <w:rFonts w:ascii="Calibri" w:eastAsia="Times New Roman" w:hAnsi="Calibri" w:cs="Calibri"/>
          <w:color w:val="212121"/>
          <w:lang w:eastAsia="en-GB"/>
        </w:rPr>
        <w:t xml:space="preserve"> </w:t>
      </w:r>
      <w:r w:rsidR="009A2F4E" w:rsidRPr="26F64964">
        <w:rPr>
          <w:rFonts w:ascii="Calibri" w:eastAsia="Times New Roman" w:hAnsi="Calibri" w:cs="Calibri"/>
          <w:color w:val="212121"/>
          <w:lang w:eastAsia="en-GB"/>
        </w:rPr>
        <w:t>Paula</w:t>
      </w:r>
      <w:r w:rsidR="0050148F">
        <w:rPr>
          <w:rFonts w:ascii="Calibri" w:eastAsia="Times New Roman" w:hAnsi="Calibri" w:cs="Calibri"/>
          <w:color w:val="212121"/>
          <w:lang w:eastAsia="en-GB"/>
        </w:rPr>
        <w:t xml:space="preserve"> &amp; </w:t>
      </w:r>
      <w:proofErr w:type="spellStart"/>
      <w:r w:rsidR="0050148F">
        <w:rPr>
          <w:rFonts w:ascii="Calibri" w:eastAsia="Times New Roman" w:hAnsi="Calibri" w:cs="Calibri"/>
          <w:color w:val="212121"/>
          <w:lang w:eastAsia="en-GB"/>
        </w:rPr>
        <w:t>Taga</w:t>
      </w:r>
      <w:proofErr w:type="spellEnd"/>
      <w:r w:rsidR="003F24DE" w:rsidRPr="26F64964">
        <w:rPr>
          <w:rFonts w:ascii="Calibri" w:eastAsia="Times New Roman" w:hAnsi="Calibri" w:cs="Calibri"/>
          <w:color w:val="212121"/>
          <w:lang w:eastAsia="en-GB"/>
        </w:rPr>
        <w:t xml:space="preserve">, </w:t>
      </w:r>
      <w:proofErr w:type="spellStart"/>
      <w:r w:rsidR="005505C7" w:rsidRPr="26F64964">
        <w:rPr>
          <w:rFonts w:ascii="Calibri" w:eastAsia="Times New Roman" w:hAnsi="Calibri" w:cs="Calibri"/>
          <w:color w:val="212121"/>
          <w:lang w:eastAsia="en-GB"/>
        </w:rPr>
        <w:t>Masi</w:t>
      </w:r>
      <w:proofErr w:type="spellEnd"/>
      <w:r w:rsidR="0050148F">
        <w:rPr>
          <w:rFonts w:ascii="Calibri" w:eastAsia="Times New Roman" w:hAnsi="Calibri" w:cs="Calibri"/>
          <w:color w:val="212121"/>
          <w:lang w:eastAsia="en-GB"/>
        </w:rPr>
        <w:t xml:space="preserve"> &amp; Ile,</w:t>
      </w:r>
      <w:r w:rsidR="003F24DE" w:rsidRPr="26F64964">
        <w:rPr>
          <w:rFonts w:ascii="Calibri" w:eastAsia="Times New Roman" w:hAnsi="Calibri" w:cs="Calibri"/>
          <w:color w:val="212121"/>
          <w:lang w:eastAsia="en-GB"/>
        </w:rPr>
        <w:t xml:space="preserve"> </w:t>
      </w:r>
      <w:proofErr w:type="spellStart"/>
      <w:r w:rsidR="00111887" w:rsidRPr="26F64964">
        <w:rPr>
          <w:rFonts w:ascii="Calibri" w:eastAsia="Times New Roman" w:hAnsi="Calibri" w:cs="Calibri"/>
          <w:color w:val="212121"/>
          <w:lang w:eastAsia="en-GB"/>
        </w:rPr>
        <w:t>Latai</w:t>
      </w:r>
      <w:proofErr w:type="spellEnd"/>
      <w:r w:rsidR="00EF795E" w:rsidRPr="26F64964">
        <w:rPr>
          <w:rFonts w:ascii="Calibri" w:eastAsia="Times New Roman" w:hAnsi="Calibri" w:cs="Calibri"/>
          <w:color w:val="212121"/>
          <w:lang w:eastAsia="en-GB"/>
        </w:rPr>
        <w:t xml:space="preserve">, </w:t>
      </w:r>
      <w:proofErr w:type="spellStart"/>
      <w:r w:rsidR="00EF795E" w:rsidRPr="26F64964">
        <w:rPr>
          <w:rFonts w:ascii="Calibri" w:eastAsia="Times New Roman" w:hAnsi="Calibri" w:cs="Calibri"/>
          <w:color w:val="212121"/>
          <w:lang w:eastAsia="en-GB"/>
        </w:rPr>
        <w:t>Kakala</w:t>
      </w:r>
      <w:proofErr w:type="spellEnd"/>
      <w:r w:rsidR="003F24DE" w:rsidRPr="26F64964">
        <w:rPr>
          <w:rFonts w:ascii="Calibri" w:eastAsia="Times New Roman" w:hAnsi="Calibri" w:cs="Calibri"/>
          <w:color w:val="212121"/>
          <w:lang w:eastAsia="en-GB"/>
        </w:rPr>
        <w:t xml:space="preserve">, </w:t>
      </w:r>
      <w:r w:rsidR="00EF795E" w:rsidRPr="26F64964">
        <w:rPr>
          <w:rFonts w:ascii="Calibri" w:eastAsia="Times New Roman" w:hAnsi="Calibri" w:cs="Calibri"/>
          <w:color w:val="212121"/>
          <w:lang w:eastAsia="en-GB"/>
        </w:rPr>
        <w:t xml:space="preserve">Moala, </w:t>
      </w:r>
      <w:r w:rsidR="009E1506" w:rsidRPr="26F64964">
        <w:rPr>
          <w:rFonts w:ascii="Calibri" w:eastAsia="Times New Roman" w:hAnsi="Calibri" w:cs="Calibri"/>
          <w:color w:val="212121"/>
          <w:lang w:eastAsia="en-GB"/>
        </w:rPr>
        <w:t xml:space="preserve">Junior, </w:t>
      </w:r>
      <w:proofErr w:type="spellStart"/>
      <w:r w:rsidR="009E1506" w:rsidRPr="26F64964">
        <w:rPr>
          <w:rFonts w:ascii="Calibri" w:eastAsia="Times New Roman" w:hAnsi="Calibri" w:cs="Calibri"/>
          <w:color w:val="212121"/>
          <w:lang w:eastAsia="en-GB"/>
        </w:rPr>
        <w:t>Naneti</w:t>
      </w:r>
      <w:proofErr w:type="spellEnd"/>
      <w:r w:rsidR="009E1506" w:rsidRPr="26F64964">
        <w:rPr>
          <w:rFonts w:ascii="Calibri" w:eastAsia="Times New Roman" w:hAnsi="Calibri" w:cs="Calibri"/>
          <w:color w:val="212121"/>
          <w:lang w:eastAsia="en-GB"/>
        </w:rPr>
        <w:t xml:space="preserve">, </w:t>
      </w:r>
      <w:proofErr w:type="spellStart"/>
      <w:r w:rsidR="009E1506" w:rsidRPr="26F64964">
        <w:rPr>
          <w:rFonts w:ascii="Calibri" w:eastAsia="Times New Roman" w:hAnsi="Calibri" w:cs="Calibri"/>
          <w:color w:val="212121"/>
          <w:lang w:eastAsia="en-GB"/>
        </w:rPr>
        <w:t>Pilimilose</w:t>
      </w:r>
      <w:proofErr w:type="spellEnd"/>
      <w:r w:rsidR="009E1506" w:rsidRPr="26F64964">
        <w:rPr>
          <w:rFonts w:ascii="Calibri" w:eastAsia="Times New Roman" w:hAnsi="Calibri" w:cs="Calibri"/>
          <w:color w:val="212121"/>
          <w:lang w:eastAsia="en-GB"/>
        </w:rPr>
        <w:t xml:space="preserve">, </w:t>
      </w:r>
      <w:proofErr w:type="spellStart"/>
      <w:r w:rsidR="009E1506" w:rsidRPr="26F64964">
        <w:rPr>
          <w:rFonts w:ascii="Calibri" w:eastAsia="Times New Roman" w:hAnsi="Calibri" w:cs="Calibri"/>
          <w:color w:val="212121"/>
          <w:lang w:eastAsia="en-GB"/>
        </w:rPr>
        <w:t>Falealea</w:t>
      </w:r>
      <w:proofErr w:type="spellEnd"/>
      <w:r w:rsidR="009E1506" w:rsidRPr="26F64964">
        <w:rPr>
          <w:rFonts w:ascii="Calibri" w:eastAsia="Times New Roman" w:hAnsi="Calibri" w:cs="Calibri"/>
          <w:color w:val="212121"/>
          <w:lang w:eastAsia="en-GB"/>
        </w:rPr>
        <w:t xml:space="preserve"> &amp; Malia-Grace</w:t>
      </w:r>
      <w:r w:rsidR="003F24DE" w:rsidRPr="26F64964">
        <w:rPr>
          <w:rFonts w:ascii="Calibri" w:eastAsia="Times New Roman" w:hAnsi="Calibri" w:cs="Calibri"/>
          <w:color w:val="212121"/>
          <w:lang w:eastAsia="en-GB"/>
        </w:rPr>
        <w:t>, Nieces – Aaliyah &amp; Akira</w:t>
      </w:r>
      <w:r w:rsidR="000952DA">
        <w:rPr>
          <w:rFonts w:ascii="Calibri" w:eastAsia="Times New Roman" w:hAnsi="Calibri" w:cs="Calibri"/>
          <w:color w:val="212121"/>
          <w:lang w:eastAsia="en-GB"/>
        </w:rPr>
        <w:t>.</w:t>
      </w:r>
      <w:r w:rsidR="000952DA" w:rsidRPr="000952DA">
        <w:rPr>
          <w:rFonts w:ascii="Calibri" w:eastAsia="Times New Roman" w:hAnsi="Calibri" w:cs="Calibri"/>
          <w:color w:val="212121"/>
          <w:lang w:eastAsia="en-GB"/>
        </w:rPr>
        <w:t xml:space="preserve"> </w:t>
      </w:r>
      <w:r w:rsidR="00976C43">
        <w:rPr>
          <w:rFonts w:ascii="Calibri" w:eastAsia="Times New Roman" w:hAnsi="Calibri" w:cs="Calibri"/>
          <w:color w:val="212121"/>
          <w:lang w:eastAsia="en-GB"/>
        </w:rPr>
        <w:t xml:space="preserve">I would also like to acknowledge </w:t>
      </w:r>
      <w:r w:rsidR="00976C43">
        <w:rPr>
          <w:rFonts w:ascii="Calibri" w:eastAsia="Times New Roman" w:hAnsi="Calibri" w:cs="Calibri"/>
          <w:color w:val="212121"/>
          <w:lang w:eastAsia="en-GB"/>
        </w:rPr>
        <w:t xml:space="preserve">and thank </w:t>
      </w:r>
      <w:r w:rsidR="00976C43">
        <w:rPr>
          <w:rFonts w:ascii="Calibri" w:eastAsia="Times New Roman" w:hAnsi="Calibri" w:cs="Calibri"/>
          <w:color w:val="212121"/>
          <w:lang w:eastAsia="en-GB"/>
        </w:rPr>
        <w:t xml:space="preserve">my wider family in Tonga, Grandma Amelia, Aunty </w:t>
      </w:r>
      <w:proofErr w:type="spellStart"/>
      <w:r w:rsidR="00976C43">
        <w:rPr>
          <w:rFonts w:ascii="Calibri" w:eastAsia="Times New Roman" w:hAnsi="Calibri" w:cs="Calibri"/>
          <w:color w:val="212121"/>
          <w:lang w:eastAsia="en-GB"/>
        </w:rPr>
        <w:t>Evaleti</w:t>
      </w:r>
      <w:proofErr w:type="spellEnd"/>
      <w:r w:rsidR="00976C43">
        <w:rPr>
          <w:rFonts w:ascii="Calibri" w:eastAsia="Times New Roman" w:hAnsi="Calibri" w:cs="Calibri"/>
          <w:color w:val="212121"/>
          <w:lang w:eastAsia="en-GB"/>
        </w:rPr>
        <w:t xml:space="preserve"> Falevai, Uncle Paula Falevai</w:t>
      </w:r>
      <w:r w:rsidR="00483705">
        <w:rPr>
          <w:rFonts w:ascii="Calibri" w:eastAsia="Times New Roman" w:hAnsi="Calibri" w:cs="Calibri"/>
          <w:color w:val="212121"/>
          <w:lang w:eastAsia="en-GB"/>
        </w:rPr>
        <w:t xml:space="preserve"> and </w:t>
      </w:r>
      <w:r w:rsidR="00976C43">
        <w:rPr>
          <w:rFonts w:ascii="Calibri" w:eastAsia="Times New Roman" w:hAnsi="Calibri" w:cs="Calibri"/>
          <w:color w:val="212121"/>
          <w:lang w:eastAsia="en-GB"/>
        </w:rPr>
        <w:t xml:space="preserve">Uncle </w:t>
      </w:r>
      <w:proofErr w:type="spellStart"/>
      <w:r w:rsidR="00976C43">
        <w:rPr>
          <w:rFonts w:ascii="Calibri" w:eastAsia="Times New Roman" w:hAnsi="Calibri" w:cs="Calibri"/>
          <w:color w:val="212121"/>
          <w:lang w:eastAsia="en-GB"/>
        </w:rPr>
        <w:t>Viliami</w:t>
      </w:r>
      <w:proofErr w:type="spellEnd"/>
      <w:r w:rsidR="00976C43">
        <w:rPr>
          <w:rFonts w:ascii="Calibri" w:eastAsia="Times New Roman" w:hAnsi="Calibri" w:cs="Calibri"/>
          <w:color w:val="212121"/>
          <w:lang w:eastAsia="en-GB"/>
        </w:rPr>
        <w:t xml:space="preserve"> Falevai. </w:t>
      </w:r>
      <w:r w:rsidR="00976C43">
        <w:rPr>
          <w:rFonts w:ascii="Calibri" w:eastAsia="Times New Roman" w:hAnsi="Calibri" w:cs="Calibri"/>
          <w:color w:val="212121"/>
          <w:lang w:eastAsia="en-GB"/>
        </w:rPr>
        <w:t>I sincerely thank you all for y</w:t>
      </w:r>
      <w:r w:rsidR="000952DA" w:rsidRPr="26F64964">
        <w:rPr>
          <w:rFonts w:ascii="Calibri" w:eastAsia="Times New Roman" w:hAnsi="Calibri" w:cs="Calibri"/>
          <w:color w:val="212121"/>
          <w:lang w:eastAsia="en-GB"/>
        </w:rPr>
        <w:t>our love, prayers, support and sacrifices</w:t>
      </w:r>
      <w:r w:rsidR="00976C43">
        <w:rPr>
          <w:rFonts w:ascii="Calibri" w:eastAsia="Times New Roman" w:hAnsi="Calibri" w:cs="Calibri"/>
          <w:color w:val="212121"/>
          <w:lang w:eastAsia="en-GB"/>
        </w:rPr>
        <w:t xml:space="preserve">. You all continue to motivate me to pursue further education and succeed. </w:t>
      </w:r>
      <w:r w:rsidR="000952DA" w:rsidRPr="26F64964">
        <w:rPr>
          <w:rFonts w:ascii="Calibri" w:eastAsia="Times New Roman" w:hAnsi="Calibri" w:cs="Calibri"/>
          <w:color w:val="212121"/>
          <w:lang w:eastAsia="en-GB"/>
        </w:rPr>
        <w:t>I am immensely grateful for each of you.</w:t>
      </w:r>
      <w:r w:rsidR="000952DA">
        <w:rPr>
          <w:rFonts w:ascii="Calibri" w:eastAsia="Times New Roman" w:hAnsi="Calibri" w:cs="Calibri"/>
          <w:color w:val="212121"/>
          <w:lang w:eastAsia="en-GB"/>
        </w:rPr>
        <w:t xml:space="preserve"> </w:t>
      </w:r>
      <w:r w:rsidR="007337C5">
        <w:rPr>
          <w:rFonts w:ascii="Calibri" w:eastAsia="Times New Roman" w:hAnsi="Calibri" w:cs="Calibri"/>
          <w:color w:val="212121"/>
          <w:lang w:eastAsia="en-GB"/>
        </w:rPr>
        <w:t xml:space="preserve">I would also like to acknowledge Grandpa </w:t>
      </w:r>
      <w:proofErr w:type="spellStart"/>
      <w:r w:rsidR="007337C5">
        <w:rPr>
          <w:rFonts w:ascii="Calibri" w:eastAsia="Times New Roman" w:hAnsi="Calibri" w:cs="Calibri"/>
          <w:color w:val="212121"/>
          <w:lang w:eastAsia="en-GB"/>
        </w:rPr>
        <w:t>Siale</w:t>
      </w:r>
      <w:proofErr w:type="spellEnd"/>
      <w:r w:rsidR="007337C5">
        <w:rPr>
          <w:rFonts w:ascii="Calibri" w:eastAsia="Times New Roman" w:hAnsi="Calibri" w:cs="Calibri"/>
          <w:color w:val="212121"/>
          <w:lang w:eastAsia="en-GB"/>
        </w:rPr>
        <w:t xml:space="preserve"> </w:t>
      </w:r>
      <w:proofErr w:type="spellStart"/>
      <w:r w:rsidR="007337C5">
        <w:rPr>
          <w:rFonts w:ascii="Calibri" w:eastAsia="Times New Roman" w:hAnsi="Calibri" w:cs="Calibri"/>
          <w:color w:val="212121"/>
          <w:lang w:eastAsia="en-GB"/>
        </w:rPr>
        <w:t>Tuitu’u</w:t>
      </w:r>
      <w:proofErr w:type="spellEnd"/>
      <w:r w:rsidR="007337C5">
        <w:rPr>
          <w:rFonts w:ascii="Calibri" w:eastAsia="Times New Roman" w:hAnsi="Calibri" w:cs="Calibri"/>
          <w:color w:val="212121"/>
          <w:lang w:eastAsia="en-GB"/>
        </w:rPr>
        <w:t xml:space="preserve"> Falevai, Grandma Ilaisaane </w:t>
      </w:r>
      <w:proofErr w:type="spellStart"/>
      <w:r w:rsidR="007337C5">
        <w:rPr>
          <w:rFonts w:ascii="Calibri" w:eastAsia="Times New Roman" w:hAnsi="Calibri" w:cs="Calibri"/>
          <w:color w:val="212121"/>
          <w:lang w:eastAsia="en-GB"/>
        </w:rPr>
        <w:t>Lotomo’ua</w:t>
      </w:r>
      <w:proofErr w:type="spellEnd"/>
      <w:r w:rsidR="007337C5">
        <w:rPr>
          <w:rFonts w:ascii="Calibri" w:eastAsia="Times New Roman" w:hAnsi="Calibri" w:cs="Calibri"/>
          <w:color w:val="212121"/>
          <w:lang w:eastAsia="en-GB"/>
        </w:rPr>
        <w:t xml:space="preserve"> Falevai, Grandpa </w:t>
      </w:r>
      <w:proofErr w:type="spellStart"/>
      <w:r w:rsidR="007337C5">
        <w:rPr>
          <w:rFonts w:ascii="Calibri" w:eastAsia="Times New Roman" w:hAnsi="Calibri" w:cs="Calibri"/>
          <w:color w:val="212121"/>
          <w:lang w:eastAsia="en-GB"/>
        </w:rPr>
        <w:t>Siosifa</w:t>
      </w:r>
      <w:proofErr w:type="spellEnd"/>
      <w:r w:rsidR="007337C5">
        <w:rPr>
          <w:rFonts w:ascii="Calibri" w:eastAsia="Times New Roman" w:hAnsi="Calibri" w:cs="Calibri"/>
          <w:color w:val="212121"/>
          <w:lang w:eastAsia="en-GB"/>
        </w:rPr>
        <w:t xml:space="preserve"> </w:t>
      </w:r>
      <w:proofErr w:type="spellStart"/>
      <w:r w:rsidR="007337C5">
        <w:rPr>
          <w:rFonts w:ascii="Calibri" w:eastAsia="Times New Roman" w:hAnsi="Calibri" w:cs="Calibri"/>
          <w:color w:val="212121"/>
          <w:lang w:eastAsia="en-GB"/>
        </w:rPr>
        <w:t>Siunipa</w:t>
      </w:r>
      <w:proofErr w:type="spellEnd"/>
      <w:r w:rsidR="007337C5">
        <w:rPr>
          <w:rFonts w:ascii="Calibri" w:eastAsia="Times New Roman" w:hAnsi="Calibri" w:cs="Calibri"/>
          <w:color w:val="212121"/>
          <w:lang w:eastAsia="en-GB"/>
        </w:rPr>
        <w:t xml:space="preserve"> </w:t>
      </w:r>
      <w:proofErr w:type="spellStart"/>
      <w:r w:rsidR="007337C5">
        <w:rPr>
          <w:rFonts w:ascii="Calibri" w:eastAsia="Times New Roman" w:hAnsi="Calibri" w:cs="Calibri"/>
          <w:color w:val="212121"/>
          <w:lang w:eastAsia="en-GB"/>
        </w:rPr>
        <w:t>Latai</w:t>
      </w:r>
      <w:proofErr w:type="spellEnd"/>
      <w:r w:rsidR="007337C5">
        <w:rPr>
          <w:rFonts w:ascii="Calibri" w:eastAsia="Times New Roman" w:hAnsi="Calibri" w:cs="Calibri"/>
          <w:color w:val="212121"/>
          <w:lang w:eastAsia="en-GB"/>
        </w:rPr>
        <w:t xml:space="preserve"> Funaki and Great</w:t>
      </w:r>
      <w:r w:rsidR="00976C43">
        <w:rPr>
          <w:rFonts w:ascii="Calibri" w:eastAsia="Times New Roman" w:hAnsi="Calibri" w:cs="Calibri"/>
          <w:color w:val="212121"/>
          <w:lang w:eastAsia="en-GB"/>
        </w:rPr>
        <w:t>-G</w:t>
      </w:r>
      <w:r w:rsidR="007337C5">
        <w:rPr>
          <w:rFonts w:ascii="Calibri" w:eastAsia="Times New Roman" w:hAnsi="Calibri" w:cs="Calibri"/>
          <w:color w:val="212121"/>
          <w:lang w:eastAsia="en-GB"/>
        </w:rPr>
        <w:t xml:space="preserve">randma </w:t>
      </w:r>
      <w:proofErr w:type="spellStart"/>
      <w:r w:rsidR="007337C5">
        <w:rPr>
          <w:rFonts w:ascii="Calibri" w:eastAsia="Times New Roman" w:hAnsi="Calibri" w:cs="Calibri"/>
          <w:color w:val="212121"/>
          <w:lang w:eastAsia="en-GB"/>
        </w:rPr>
        <w:t>Anaheti</w:t>
      </w:r>
      <w:proofErr w:type="spellEnd"/>
      <w:r w:rsidR="007337C5">
        <w:rPr>
          <w:rFonts w:ascii="Calibri" w:eastAsia="Times New Roman" w:hAnsi="Calibri" w:cs="Calibri"/>
          <w:color w:val="212121"/>
          <w:lang w:eastAsia="en-GB"/>
        </w:rPr>
        <w:t xml:space="preserve"> </w:t>
      </w:r>
      <w:proofErr w:type="spellStart"/>
      <w:r w:rsidR="007337C5">
        <w:rPr>
          <w:rFonts w:ascii="Calibri" w:eastAsia="Times New Roman" w:hAnsi="Calibri" w:cs="Calibri"/>
          <w:color w:val="212121"/>
          <w:lang w:eastAsia="en-GB"/>
        </w:rPr>
        <w:t>Tausisi</w:t>
      </w:r>
      <w:proofErr w:type="spellEnd"/>
      <w:r w:rsidR="007337C5">
        <w:rPr>
          <w:rFonts w:ascii="Calibri" w:eastAsia="Times New Roman" w:hAnsi="Calibri" w:cs="Calibri"/>
          <w:color w:val="212121"/>
          <w:lang w:eastAsia="en-GB"/>
        </w:rPr>
        <w:t xml:space="preserve">. </w:t>
      </w:r>
      <w:r w:rsidR="00F314B2">
        <w:rPr>
          <w:rFonts w:ascii="Calibri" w:eastAsia="Times New Roman" w:hAnsi="Calibri" w:cs="Calibri"/>
          <w:color w:val="212121"/>
          <w:lang w:eastAsia="en-GB"/>
        </w:rPr>
        <w:t xml:space="preserve">Thank you all for your </w:t>
      </w:r>
      <w:r w:rsidR="00F314B2" w:rsidRPr="00F314B2">
        <w:rPr>
          <w:rFonts w:ascii="Calibri" w:eastAsia="Times New Roman" w:hAnsi="Calibri" w:cs="Calibri"/>
          <w:color w:val="212121"/>
          <w:lang w:eastAsia="en-GB"/>
        </w:rPr>
        <w:t xml:space="preserve">prayers and foresight, laying the groundwork for our futures long before we existed. </w:t>
      </w:r>
    </w:p>
    <w:p w14:paraId="7AF644DE" w14:textId="535C4F6F" w:rsidR="004F2A78" w:rsidRDefault="00B77487" w:rsidP="00136531">
      <w:pPr>
        <w:spacing w:line="276" w:lineRule="auto"/>
        <w:jc w:val="both"/>
        <w:rPr>
          <w:rFonts w:ascii="Calibri" w:eastAsia="Times New Roman" w:hAnsi="Calibri" w:cs="Calibri"/>
          <w:color w:val="212121"/>
          <w:lang w:eastAsia="en-GB"/>
        </w:rPr>
      </w:pPr>
      <w:r>
        <w:rPr>
          <w:rFonts w:ascii="Calibri" w:eastAsia="Times New Roman" w:hAnsi="Calibri" w:cs="Calibri"/>
          <w:color w:val="212121"/>
          <w:lang w:eastAsia="en-GB"/>
        </w:rPr>
        <w:t xml:space="preserve">I would also like to acknowledge </w:t>
      </w:r>
      <w:proofErr w:type="spellStart"/>
      <w:r>
        <w:rPr>
          <w:rFonts w:ascii="Calibri" w:eastAsia="Times New Roman" w:hAnsi="Calibri" w:cs="Calibri"/>
          <w:color w:val="212121"/>
          <w:lang w:eastAsia="en-GB"/>
        </w:rPr>
        <w:t>Api</w:t>
      </w:r>
      <w:proofErr w:type="spellEnd"/>
      <w:r>
        <w:rPr>
          <w:rFonts w:ascii="Calibri" w:eastAsia="Times New Roman" w:hAnsi="Calibri" w:cs="Calibri"/>
          <w:color w:val="212121"/>
          <w:lang w:eastAsia="en-GB"/>
        </w:rPr>
        <w:t xml:space="preserve"> ko </w:t>
      </w:r>
      <w:proofErr w:type="spellStart"/>
      <w:r>
        <w:rPr>
          <w:rFonts w:ascii="Calibri" w:eastAsia="Times New Roman" w:hAnsi="Calibri" w:cs="Calibri"/>
          <w:color w:val="212121"/>
          <w:lang w:eastAsia="en-GB"/>
        </w:rPr>
        <w:t>Kaleli</w:t>
      </w:r>
      <w:proofErr w:type="spellEnd"/>
      <w:r>
        <w:rPr>
          <w:rFonts w:ascii="Calibri" w:eastAsia="Times New Roman" w:hAnsi="Calibri" w:cs="Calibri"/>
          <w:color w:val="212121"/>
          <w:lang w:eastAsia="en-GB"/>
        </w:rPr>
        <w:t xml:space="preserve"> (</w:t>
      </w:r>
      <w:proofErr w:type="spellStart"/>
      <w:r>
        <w:rPr>
          <w:rFonts w:ascii="Calibri" w:eastAsia="Times New Roman" w:hAnsi="Calibri" w:cs="Calibri"/>
          <w:color w:val="212121"/>
          <w:lang w:eastAsia="en-GB"/>
        </w:rPr>
        <w:t>Siasi</w:t>
      </w:r>
      <w:proofErr w:type="spellEnd"/>
      <w:r>
        <w:rPr>
          <w:rFonts w:ascii="Calibri" w:eastAsia="Times New Roman" w:hAnsi="Calibri" w:cs="Calibri"/>
          <w:color w:val="212121"/>
          <w:lang w:eastAsia="en-GB"/>
        </w:rPr>
        <w:t xml:space="preserve"> </w:t>
      </w:r>
      <w:proofErr w:type="spellStart"/>
      <w:r>
        <w:rPr>
          <w:rFonts w:ascii="Calibri" w:eastAsia="Times New Roman" w:hAnsi="Calibri" w:cs="Calibri"/>
          <w:color w:val="212121"/>
          <w:lang w:eastAsia="en-GB"/>
        </w:rPr>
        <w:t>Fakatahataha</w:t>
      </w:r>
      <w:proofErr w:type="spellEnd"/>
      <w:r>
        <w:rPr>
          <w:rFonts w:ascii="Calibri" w:eastAsia="Times New Roman" w:hAnsi="Calibri" w:cs="Calibri"/>
          <w:color w:val="212121"/>
          <w:lang w:eastAsia="en-GB"/>
        </w:rPr>
        <w:t xml:space="preserve"> ‘a e </w:t>
      </w:r>
      <w:proofErr w:type="spellStart"/>
      <w:r>
        <w:rPr>
          <w:rFonts w:ascii="Calibri" w:eastAsia="Times New Roman" w:hAnsi="Calibri" w:cs="Calibri"/>
          <w:color w:val="212121"/>
          <w:lang w:eastAsia="en-GB"/>
        </w:rPr>
        <w:t>Kakai</w:t>
      </w:r>
      <w:proofErr w:type="spellEnd"/>
      <w:r>
        <w:rPr>
          <w:rFonts w:ascii="Calibri" w:eastAsia="Times New Roman" w:hAnsi="Calibri" w:cs="Calibri"/>
          <w:color w:val="212121"/>
          <w:lang w:eastAsia="en-GB"/>
        </w:rPr>
        <w:t xml:space="preserve"> Tonga). </w:t>
      </w:r>
      <w:r w:rsidR="004F2A78">
        <w:rPr>
          <w:rFonts w:ascii="Calibri" w:eastAsia="Times New Roman" w:hAnsi="Calibri" w:cs="Calibri"/>
          <w:color w:val="212121"/>
          <w:lang w:eastAsia="en-GB"/>
        </w:rPr>
        <w:t>Thank you all for constantly praying over my academic journey. I would like to especially thank the late Rev</w:t>
      </w:r>
      <w:r w:rsidR="00136531">
        <w:rPr>
          <w:rFonts w:ascii="Calibri" w:eastAsia="Times New Roman" w:hAnsi="Calibri" w:cs="Calibri"/>
          <w:color w:val="212121"/>
          <w:lang w:eastAsia="en-GB"/>
        </w:rPr>
        <w:t>erend</w:t>
      </w:r>
      <w:r w:rsidR="00517374">
        <w:rPr>
          <w:rFonts w:ascii="Calibri" w:eastAsia="Times New Roman" w:hAnsi="Calibri" w:cs="Calibri"/>
          <w:color w:val="212121"/>
          <w:lang w:eastAsia="en-GB"/>
        </w:rPr>
        <w:t xml:space="preserve"> </w:t>
      </w:r>
      <w:proofErr w:type="spellStart"/>
      <w:r w:rsidR="00517374">
        <w:rPr>
          <w:rFonts w:ascii="Calibri" w:eastAsia="Times New Roman" w:hAnsi="Calibri" w:cs="Calibri"/>
          <w:color w:val="212121"/>
          <w:lang w:eastAsia="en-GB"/>
        </w:rPr>
        <w:t>Sefita</w:t>
      </w:r>
      <w:proofErr w:type="spellEnd"/>
      <w:r w:rsidR="00517374">
        <w:rPr>
          <w:rFonts w:ascii="Calibri" w:eastAsia="Times New Roman" w:hAnsi="Calibri" w:cs="Calibri"/>
          <w:color w:val="212121"/>
          <w:lang w:eastAsia="en-GB"/>
        </w:rPr>
        <w:t xml:space="preserve"> </w:t>
      </w:r>
      <w:proofErr w:type="spellStart"/>
      <w:r w:rsidR="00517374">
        <w:rPr>
          <w:rFonts w:ascii="Calibri" w:eastAsia="Times New Roman" w:hAnsi="Calibri" w:cs="Calibri"/>
          <w:color w:val="212121"/>
          <w:lang w:eastAsia="en-GB"/>
        </w:rPr>
        <w:t>Taufa</w:t>
      </w:r>
      <w:proofErr w:type="spellEnd"/>
      <w:r w:rsidR="00517374">
        <w:rPr>
          <w:rFonts w:ascii="Calibri" w:eastAsia="Times New Roman" w:hAnsi="Calibri" w:cs="Calibri"/>
          <w:color w:val="212121"/>
          <w:lang w:eastAsia="en-GB"/>
        </w:rPr>
        <w:t xml:space="preserve"> </w:t>
      </w:r>
      <w:proofErr w:type="spellStart"/>
      <w:r w:rsidR="00517374">
        <w:rPr>
          <w:rFonts w:ascii="Calibri" w:eastAsia="Times New Roman" w:hAnsi="Calibri" w:cs="Calibri"/>
          <w:color w:val="212121"/>
          <w:lang w:eastAsia="en-GB"/>
        </w:rPr>
        <w:t>Vaki</w:t>
      </w:r>
      <w:proofErr w:type="spellEnd"/>
      <w:r w:rsidR="00517374">
        <w:rPr>
          <w:rFonts w:ascii="Calibri" w:eastAsia="Times New Roman" w:hAnsi="Calibri" w:cs="Calibri"/>
          <w:color w:val="212121"/>
          <w:lang w:eastAsia="en-GB"/>
        </w:rPr>
        <w:t>, Re</w:t>
      </w:r>
      <w:r w:rsidR="00136531">
        <w:rPr>
          <w:rFonts w:ascii="Calibri" w:eastAsia="Times New Roman" w:hAnsi="Calibri" w:cs="Calibri"/>
          <w:color w:val="212121"/>
          <w:lang w:eastAsia="en-GB"/>
        </w:rPr>
        <w:t xml:space="preserve">verend </w:t>
      </w:r>
      <w:proofErr w:type="spellStart"/>
      <w:r w:rsidR="00136531">
        <w:rPr>
          <w:rFonts w:ascii="Calibri" w:eastAsia="Times New Roman" w:hAnsi="Calibri" w:cs="Calibri"/>
          <w:color w:val="212121"/>
          <w:lang w:eastAsia="en-GB"/>
        </w:rPr>
        <w:t>Teufilo</w:t>
      </w:r>
      <w:proofErr w:type="spellEnd"/>
      <w:r w:rsidR="00136531">
        <w:rPr>
          <w:rFonts w:ascii="Calibri" w:eastAsia="Times New Roman" w:hAnsi="Calibri" w:cs="Calibri"/>
          <w:color w:val="212121"/>
          <w:lang w:eastAsia="en-GB"/>
        </w:rPr>
        <w:t xml:space="preserve"> </w:t>
      </w:r>
      <w:proofErr w:type="spellStart"/>
      <w:r w:rsidR="00136531">
        <w:rPr>
          <w:rFonts w:ascii="Calibri" w:eastAsia="Times New Roman" w:hAnsi="Calibri" w:cs="Calibri"/>
          <w:color w:val="212121"/>
          <w:lang w:eastAsia="en-GB"/>
        </w:rPr>
        <w:t>Fa’agutu</w:t>
      </w:r>
      <w:proofErr w:type="spellEnd"/>
      <w:r w:rsidR="00136531">
        <w:rPr>
          <w:rFonts w:ascii="Calibri" w:eastAsia="Times New Roman" w:hAnsi="Calibri" w:cs="Calibri"/>
          <w:color w:val="212121"/>
          <w:lang w:eastAsia="en-GB"/>
        </w:rPr>
        <w:t xml:space="preserve"> and Reverend </w:t>
      </w:r>
      <w:proofErr w:type="spellStart"/>
      <w:r w:rsidR="00136531">
        <w:rPr>
          <w:rFonts w:ascii="Calibri" w:eastAsia="Times New Roman" w:hAnsi="Calibri" w:cs="Calibri"/>
          <w:color w:val="212121"/>
          <w:lang w:eastAsia="en-GB"/>
        </w:rPr>
        <w:t>Naivolasi</w:t>
      </w:r>
      <w:proofErr w:type="spellEnd"/>
      <w:r w:rsidR="00136531">
        <w:rPr>
          <w:rFonts w:ascii="Calibri" w:eastAsia="Times New Roman" w:hAnsi="Calibri" w:cs="Calibri"/>
          <w:color w:val="212121"/>
          <w:lang w:eastAsia="en-GB"/>
        </w:rPr>
        <w:t xml:space="preserve"> </w:t>
      </w:r>
      <w:proofErr w:type="spellStart"/>
      <w:r w:rsidR="00136531">
        <w:rPr>
          <w:rFonts w:ascii="Calibri" w:eastAsia="Times New Roman" w:hAnsi="Calibri" w:cs="Calibri"/>
          <w:color w:val="212121"/>
          <w:lang w:eastAsia="en-GB"/>
        </w:rPr>
        <w:t>Koloamatangi</w:t>
      </w:r>
      <w:proofErr w:type="spellEnd"/>
      <w:r w:rsidR="00136531">
        <w:rPr>
          <w:rFonts w:ascii="Calibri" w:eastAsia="Times New Roman" w:hAnsi="Calibri" w:cs="Calibri"/>
          <w:color w:val="212121"/>
          <w:lang w:eastAsia="en-GB"/>
        </w:rPr>
        <w:t>. Thank you all for not only praying for my academic endeavours</w:t>
      </w:r>
      <w:r w:rsidR="009F289D">
        <w:rPr>
          <w:rFonts w:ascii="Calibri" w:eastAsia="Times New Roman" w:hAnsi="Calibri" w:cs="Calibri"/>
          <w:color w:val="212121"/>
          <w:lang w:eastAsia="en-GB"/>
        </w:rPr>
        <w:t xml:space="preserve"> and future</w:t>
      </w:r>
      <w:r w:rsidR="00136531">
        <w:rPr>
          <w:rFonts w:ascii="Calibri" w:eastAsia="Times New Roman" w:hAnsi="Calibri" w:cs="Calibri"/>
          <w:color w:val="212121"/>
          <w:lang w:eastAsia="en-GB"/>
        </w:rPr>
        <w:t xml:space="preserve"> but also providing spiritual guidance</w:t>
      </w:r>
      <w:r w:rsidR="00404F1D">
        <w:rPr>
          <w:rFonts w:ascii="Calibri" w:eastAsia="Times New Roman" w:hAnsi="Calibri" w:cs="Calibri"/>
          <w:color w:val="212121"/>
          <w:lang w:eastAsia="en-GB"/>
        </w:rPr>
        <w:t>.</w:t>
      </w:r>
    </w:p>
    <w:p w14:paraId="2486248F" w14:textId="77777777" w:rsidR="00127A18" w:rsidRDefault="00127A18" w:rsidP="00127A18">
      <w:pPr>
        <w:spacing w:line="276" w:lineRule="auto"/>
        <w:jc w:val="both"/>
        <w:rPr>
          <w:rFonts w:ascii="Calibri" w:eastAsia="Times New Roman" w:hAnsi="Calibri" w:cs="Calibri"/>
          <w:color w:val="212121"/>
          <w:lang w:eastAsia="en-GB"/>
        </w:rPr>
      </w:pPr>
      <w:r>
        <w:rPr>
          <w:rFonts w:ascii="Calibri" w:eastAsia="Times New Roman" w:hAnsi="Calibri" w:cs="Calibri"/>
          <w:color w:val="212121"/>
          <w:lang w:eastAsia="en-GB"/>
        </w:rPr>
        <w:t xml:space="preserve">I would also like to acknowledge my partner </w:t>
      </w:r>
      <w:proofErr w:type="spellStart"/>
      <w:r>
        <w:rPr>
          <w:rFonts w:ascii="Calibri" w:eastAsia="Times New Roman" w:hAnsi="Calibri" w:cs="Calibri"/>
          <w:color w:val="212121"/>
          <w:lang w:eastAsia="en-GB"/>
        </w:rPr>
        <w:t>Akeripa</w:t>
      </w:r>
      <w:proofErr w:type="spellEnd"/>
      <w:r>
        <w:rPr>
          <w:rFonts w:ascii="Calibri" w:eastAsia="Times New Roman" w:hAnsi="Calibri" w:cs="Calibri"/>
          <w:color w:val="212121"/>
          <w:lang w:eastAsia="en-GB"/>
        </w:rPr>
        <w:t xml:space="preserve"> </w:t>
      </w:r>
      <w:proofErr w:type="spellStart"/>
      <w:r>
        <w:rPr>
          <w:rFonts w:ascii="Calibri" w:eastAsia="Times New Roman" w:hAnsi="Calibri" w:cs="Calibri"/>
          <w:color w:val="212121"/>
          <w:lang w:eastAsia="en-GB"/>
        </w:rPr>
        <w:t>Tuliau</w:t>
      </w:r>
      <w:proofErr w:type="spellEnd"/>
      <w:r>
        <w:rPr>
          <w:rFonts w:ascii="Calibri" w:eastAsia="Times New Roman" w:hAnsi="Calibri" w:cs="Calibri"/>
          <w:color w:val="212121"/>
          <w:lang w:eastAsia="en-GB"/>
        </w:rPr>
        <w:t xml:space="preserve">. </w:t>
      </w:r>
      <w:r w:rsidRPr="00217E37">
        <w:rPr>
          <w:rFonts w:ascii="Calibri" w:eastAsia="Times New Roman" w:hAnsi="Calibri" w:cs="Calibri"/>
          <w:color w:val="212121"/>
          <w:lang w:eastAsia="en-GB"/>
        </w:rPr>
        <w:t>Thank you</w:t>
      </w:r>
      <w:r>
        <w:rPr>
          <w:rFonts w:ascii="Calibri" w:eastAsia="Times New Roman" w:hAnsi="Calibri" w:cs="Calibri"/>
          <w:color w:val="212121"/>
          <w:lang w:eastAsia="en-GB"/>
        </w:rPr>
        <w:t xml:space="preserve"> </w:t>
      </w:r>
      <w:r w:rsidRPr="00217E37">
        <w:rPr>
          <w:rFonts w:ascii="Calibri" w:eastAsia="Times New Roman" w:hAnsi="Calibri" w:cs="Calibri"/>
          <w:color w:val="212121"/>
          <w:lang w:eastAsia="en-GB"/>
        </w:rPr>
        <w:t xml:space="preserve">for standing by me, for understanding the demands of this journey, and for being a pillar of unwavering support. Your love and encouragement </w:t>
      </w:r>
      <w:r>
        <w:rPr>
          <w:rFonts w:ascii="Calibri" w:eastAsia="Times New Roman" w:hAnsi="Calibri" w:cs="Calibri"/>
          <w:color w:val="212121"/>
          <w:lang w:eastAsia="en-GB"/>
        </w:rPr>
        <w:t xml:space="preserve">pushed me forward, </w:t>
      </w:r>
      <w:r w:rsidRPr="00217E37">
        <w:rPr>
          <w:rFonts w:ascii="Calibri" w:eastAsia="Times New Roman" w:hAnsi="Calibri" w:cs="Calibri"/>
          <w:color w:val="212121"/>
          <w:lang w:eastAsia="en-GB"/>
        </w:rPr>
        <w:t>and I am deeply grateful for your presence in my life.</w:t>
      </w:r>
      <w:r>
        <w:rPr>
          <w:rFonts w:ascii="Calibri" w:eastAsia="Times New Roman" w:hAnsi="Calibri" w:cs="Calibri"/>
          <w:color w:val="212121"/>
          <w:lang w:eastAsia="en-GB"/>
        </w:rPr>
        <w:t xml:space="preserve"> I also want to sincerely thank the </w:t>
      </w:r>
      <w:proofErr w:type="spellStart"/>
      <w:r>
        <w:rPr>
          <w:rFonts w:ascii="Calibri" w:eastAsia="Times New Roman" w:hAnsi="Calibri" w:cs="Calibri"/>
          <w:color w:val="212121"/>
          <w:lang w:eastAsia="en-GB"/>
        </w:rPr>
        <w:t>Tuliau</w:t>
      </w:r>
      <w:proofErr w:type="spellEnd"/>
      <w:r>
        <w:rPr>
          <w:rFonts w:ascii="Calibri" w:eastAsia="Times New Roman" w:hAnsi="Calibri" w:cs="Calibri"/>
          <w:color w:val="212121"/>
          <w:lang w:eastAsia="en-GB"/>
        </w:rPr>
        <w:t xml:space="preserve"> ‘Aiga for everything they have done. Thank you for welcoming and loving me like one of your own. </w:t>
      </w:r>
    </w:p>
    <w:p w14:paraId="335BC8B6" w14:textId="77777777" w:rsidR="00DA5C0B" w:rsidRDefault="009E1506" w:rsidP="00DA5C0B">
      <w:pPr>
        <w:spacing w:line="276" w:lineRule="auto"/>
        <w:jc w:val="both"/>
        <w:rPr>
          <w:rFonts w:ascii="Calibri" w:eastAsia="Times New Roman" w:hAnsi="Calibri" w:cs="Calibri"/>
          <w:color w:val="212121"/>
          <w:lang w:eastAsia="en-GB"/>
        </w:rPr>
      </w:pPr>
      <w:r>
        <w:rPr>
          <w:rFonts w:ascii="Calibri" w:eastAsia="Times New Roman" w:hAnsi="Calibri" w:cs="Calibri"/>
          <w:color w:val="212121"/>
          <w:lang w:eastAsia="en-GB"/>
        </w:rPr>
        <w:t xml:space="preserve">I would also like to acknowledge my </w:t>
      </w:r>
      <w:r w:rsidR="008E56D1">
        <w:rPr>
          <w:rFonts w:ascii="Calibri" w:eastAsia="Times New Roman" w:hAnsi="Calibri" w:cs="Calibri"/>
          <w:color w:val="212121"/>
          <w:lang w:eastAsia="en-GB"/>
        </w:rPr>
        <w:t>best friend</w:t>
      </w:r>
      <w:r w:rsidR="00F258B1">
        <w:rPr>
          <w:rFonts w:ascii="Calibri" w:eastAsia="Times New Roman" w:hAnsi="Calibri" w:cs="Calibri"/>
          <w:color w:val="212121"/>
          <w:lang w:eastAsia="en-GB"/>
        </w:rPr>
        <w:t xml:space="preserve"> </w:t>
      </w:r>
      <w:r w:rsidR="005505C7">
        <w:rPr>
          <w:rFonts w:ascii="Calibri" w:eastAsia="Times New Roman" w:hAnsi="Calibri" w:cs="Calibri"/>
          <w:color w:val="212121"/>
          <w:lang w:eastAsia="en-GB"/>
        </w:rPr>
        <w:t xml:space="preserve">Jennifer Olivia Uhrle. </w:t>
      </w:r>
      <w:r w:rsidR="008E56D1">
        <w:rPr>
          <w:rFonts w:ascii="Calibri" w:eastAsia="Times New Roman" w:hAnsi="Calibri" w:cs="Calibri"/>
          <w:color w:val="212121"/>
          <w:lang w:eastAsia="en-GB"/>
        </w:rPr>
        <w:t>I</w:t>
      </w:r>
      <w:r w:rsidR="00F929EF">
        <w:rPr>
          <w:rFonts w:ascii="Calibri" w:eastAsia="Times New Roman" w:hAnsi="Calibri" w:cs="Calibri"/>
          <w:color w:val="212121"/>
          <w:lang w:eastAsia="en-GB"/>
        </w:rPr>
        <w:t xml:space="preserve"> ha</w:t>
      </w:r>
      <w:r w:rsidR="008E56D1">
        <w:rPr>
          <w:rFonts w:ascii="Calibri" w:eastAsia="Times New Roman" w:hAnsi="Calibri" w:cs="Calibri"/>
          <w:color w:val="212121"/>
          <w:lang w:eastAsia="en-GB"/>
        </w:rPr>
        <w:t>ve known you since primary and I</w:t>
      </w:r>
      <w:r w:rsidR="00F929EF">
        <w:rPr>
          <w:rFonts w:ascii="Calibri" w:eastAsia="Times New Roman" w:hAnsi="Calibri" w:cs="Calibri"/>
          <w:color w:val="212121"/>
          <w:lang w:eastAsia="en-GB"/>
        </w:rPr>
        <w:t xml:space="preserve"> a</w:t>
      </w:r>
      <w:r w:rsidR="00585987">
        <w:rPr>
          <w:rFonts w:ascii="Calibri" w:eastAsia="Times New Roman" w:hAnsi="Calibri" w:cs="Calibri"/>
          <w:color w:val="212121"/>
          <w:lang w:eastAsia="en-GB"/>
        </w:rPr>
        <w:t>m grateful we</w:t>
      </w:r>
      <w:r w:rsidR="00F929EF">
        <w:rPr>
          <w:rFonts w:ascii="Calibri" w:eastAsia="Times New Roman" w:hAnsi="Calibri" w:cs="Calibri"/>
          <w:color w:val="212121"/>
          <w:lang w:eastAsia="en-GB"/>
        </w:rPr>
        <w:t xml:space="preserve"> ha</w:t>
      </w:r>
      <w:r w:rsidR="00585987">
        <w:rPr>
          <w:rFonts w:ascii="Calibri" w:eastAsia="Times New Roman" w:hAnsi="Calibri" w:cs="Calibri"/>
          <w:color w:val="212121"/>
          <w:lang w:eastAsia="en-GB"/>
        </w:rPr>
        <w:t xml:space="preserve">ve been on this </w:t>
      </w:r>
      <w:r w:rsidR="00D5332A">
        <w:rPr>
          <w:rFonts w:ascii="Calibri" w:eastAsia="Times New Roman" w:hAnsi="Calibri" w:cs="Calibri"/>
          <w:color w:val="212121"/>
          <w:lang w:eastAsia="en-GB"/>
        </w:rPr>
        <w:t xml:space="preserve">journey together. </w:t>
      </w:r>
      <w:r w:rsidR="00F54F1E" w:rsidRPr="00F54F1E">
        <w:rPr>
          <w:rFonts w:ascii="Calibri" w:eastAsia="Times New Roman" w:hAnsi="Calibri" w:cs="Calibri"/>
          <w:color w:val="212121"/>
          <w:lang w:eastAsia="en-GB"/>
        </w:rPr>
        <w:t xml:space="preserve">Your constant encouragement, patience, and belief in me have been an unwavering source of motivation during the challenging moments. </w:t>
      </w:r>
      <w:proofErr w:type="spellStart"/>
      <w:r w:rsidR="00EA4612">
        <w:rPr>
          <w:rFonts w:ascii="Calibri" w:eastAsia="Times New Roman" w:hAnsi="Calibri" w:cs="Calibri"/>
          <w:color w:val="212121"/>
          <w:lang w:eastAsia="en-GB"/>
        </w:rPr>
        <w:t>Alofa</w:t>
      </w:r>
      <w:proofErr w:type="spellEnd"/>
      <w:r w:rsidR="00EA4612">
        <w:rPr>
          <w:rFonts w:ascii="Calibri" w:eastAsia="Times New Roman" w:hAnsi="Calibri" w:cs="Calibri"/>
          <w:color w:val="212121"/>
          <w:lang w:eastAsia="en-GB"/>
        </w:rPr>
        <w:t xml:space="preserve"> </w:t>
      </w:r>
      <w:proofErr w:type="spellStart"/>
      <w:r w:rsidR="00EA4612">
        <w:rPr>
          <w:rFonts w:ascii="Calibri" w:eastAsia="Times New Roman" w:hAnsi="Calibri" w:cs="Calibri"/>
          <w:color w:val="212121"/>
          <w:lang w:eastAsia="en-GB"/>
        </w:rPr>
        <w:t>aku</w:t>
      </w:r>
      <w:proofErr w:type="spellEnd"/>
      <w:r w:rsidR="00EA4612">
        <w:rPr>
          <w:rFonts w:ascii="Calibri" w:eastAsia="Times New Roman" w:hAnsi="Calibri" w:cs="Calibri"/>
          <w:color w:val="212121"/>
          <w:lang w:eastAsia="en-GB"/>
        </w:rPr>
        <w:t xml:space="preserve"> Jen. </w:t>
      </w:r>
    </w:p>
    <w:p w14:paraId="730DD276" w14:textId="77777777" w:rsidR="00502ED5" w:rsidRDefault="009E1506" w:rsidP="00136531">
      <w:pPr>
        <w:spacing w:line="276" w:lineRule="auto"/>
        <w:jc w:val="both"/>
        <w:rPr>
          <w:rFonts w:ascii="Calibri" w:eastAsia="Times New Roman" w:hAnsi="Calibri" w:cs="Calibri"/>
          <w:color w:val="212121"/>
          <w:lang w:eastAsia="en-GB"/>
        </w:rPr>
      </w:pPr>
      <w:r w:rsidRPr="26F64964">
        <w:rPr>
          <w:rFonts w:ascii="Calibri" w:eastAsia="Times New Roman" w:hAnsi="Calibri" w:cs="Calibri"/>
          <w:color w:val="212121"/>
          <w:highlight w:val="white"/>
          <w:lang w:eastAsia="en-GB"/>
        </w:rPr>
        <w:t>I would like to give special</w:t>
      </w:r>
      <w:r w:rsidRPr="26F64964">
        <w:rPr>
          <w:rFonts w:ascii="Calibri" w:eastAsia="Times New Roman" w:hAnsi="Calibri" w:cs="Calibri"/>
          <w:color w:val="212121"/>
          <w:lang w:eastAsia="en-GB"/>
        </w:rPr>
        <w:t xml:space="preserve"> a</w:t>
      </w:r>
      <w:r w:rsidR="00F258B1" w:rsidRPr="26F64964">
        <w:rPr>
          <w:rFonts w:ascii="Calibri" w:eastAsia="Times New Roman" w:hAnsi="Calibri" w:cs="Calibri"/>
          <w:color w:val="212121"/>
          <w:lang w:eastAsia="en-GB"/>
        </w:rPr>
        <w:t>cknowledge</w:t>
      </w:r>
      <w:r w:rsidRPr="26F64964">
        <w:rPr>
          <w:rFonts w:ascii="Calibri" w:eastAsia="Times New Roman" w:hAnsi="Calibri" w:cs="Calibri"/>
          <w:color w:val="212121"/>
          <w:lang w:eastAsia="en-GB"/>
        </w:rPr>
        <w:t xml:space="preserve">ment </w:t>
      </w:r>
      <w:r w:rsidRPr="26F64964">
        <w:rPr>
          <w:rFonts w:ascii="Calibri" w:eastAsia="Times New Roman" w:hAnsi="Calibri" w:cs="Calibri"/>
          <w:color w:val="212121"/>
          <w:highlight w:val="white"/>
          <w:lang w:eastAsia="en-GB"/>
        </w:rPr>
        <w:t>to</w:t>
      </w:r>
      <w:r w:rsidR="00F258B1" w:rsidRPr="26F64964">
        <w:rPr>
          <w:rFonts w:ascii="Calibri" w:eastAsia="Times New Roman" w:hAnsi="Calibri" w:cs="Calibri"/>
          <w:color w:val="212121"/>
          <w:highlight w:val="white"/>
          <w:lang w:eastAsia="en-GB"/>
        </w:rPr>
        <w:t xml:space="preserve"> my supervisor</w:t>
      </w:r>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Dr.</w:t>
      </w:r>
      <w:proofErr w:type="spellEnd"/>
      <w:r w:rsidRPr="26F64964">
        <w:rPr>
          <w:rFonts w:ascii="Calibri" w:eastAsia="Times New Roman" w:hAnsi="Calibri" w:cs="Calibri"/>
          <w:color w:val="212121"/>
          <w:lang w:eastAsia="en-GB"/>
        </w:rPr>
        <w:t xml:space="preserve"> Farkhondeh Hassandoust. </w:t>
      </w:r>
      <w:r w:rsidR="00C43214" w:rsidRPr="26F64964">
        <w:rPr>
          <w:rFonts w:ascii="Calibri" w:eastAsia="Times New Roman" w:hAnsi="Calibri" w:cs="Calibri"/>
          <w:color w:val="212121"/>
          <w:highlight w:val="white"/>
          <w:lang w:eastAsia="en-GB"/>
        </w:rPr>
        <w:t xml:space="preserve">Thank </w:t>
      </w:r>
      <w:r w:rsidR="00A13DBF" w:rsidRPr="26F64964">
        <w:rPr>
          <w:rFonts w:ascii="Calibri" w:eastAsia="Times New Roman" w:hAnsi="Calibri" w:cs="Calibri"/>
          <w:color w:val="212121"/>
          <w:highlight w:val="white"/>
          <w:lang w:eastAsia="en-GB"/>
        </w:rPr>
        <w:t>you for your patience</w:t>
      </w:r>
      <w:r w:rsidR="00A13DBF" w:rsidRPr="26F64964">
        <w:rPr>
          <w:rFonts w:ascii="Calibri" w:eastAsia="Times New Roman" w:hAnsi="Calibri" w:cs="Calibri"/>
          <w:color w:val="212121"/>
          <w:lang w:eastAsia="en-GB"/>
        </w:rPr>
        <w:t xml:space="preserve">, wisdom, and unwavering </w:t>
      </w:r>
      <w:r w:rsidR="00A13DBF" w:rsidRPr="26F64964">
        <w:rPr>
          <w:rFonts w:ascii="Calibri" w:eastAsia="Times New Roman" w:hAnsi="Calibri" w:cs="Calibri"/>
          <w:color w:val="212121"/>
          <w:highlight w:val="white"/>
          <w:lang w:eastAsia="en-GB"/>
        </w:rPr>
        <w:t>support. I</w:t>
      </w:r>
      <w:r w:rsidR="00A13DBF" w:rsidRPr="26F64964">
        <w:rPr>
          <w:rFonts w:ascii="Calibri" w:eastAsia="Times New Roman" w:hAnsi="Calibri" w:cs="Calibri"/>
          <w:color w:val="212121"/>
          <w:lang w:eastAsia="en-GB"/>
        </w:rPr>
        <w:t xml:space="preserve"> am immensely grateful </w:t>
      </w:r>
      <w:r w:rsidR="00757559" w:rsidRPr="26F64964">
        <w:rPr>
          <w:rFonts w:ascii="Calibri" w:eastAsia="Times New Roman" w:hAnsi="Calibri" w:cs="Calibri"/>
          <w:color w:val="212121"/>
          <w:lang w:eastAsia="en-GB"/>
        </w:rPr>
        <w:t xml:space="preserve">and appreciative of the time you have spent reviewing my drafts, giving feedback and guiding my dissertation journey. </w:t>
      </w:r>
      <w:r w:rsidR="009E4C02" w:rsidRPr="26F64964">
        <w:rPr>
          <w:rFonts w:ascii="Calibri" w:eastAsia="Times New Roman" w:hAnsi="Calibri" w:cs="Calibri"/>
          <w:color w:val="212121"/>
          <w:lang w:eastAsia="en-GB"/>
        </w:rPr>
        <w:t>Thank you for being an exceptional supervisor.</w:t>
      </w:r>
      <w:r w:rsidR="00A13DBF" w:rsidRPr="26F64964">
        <w:rPr>
          <w:rFonts w:ascii="Calibri" w:eastAsia="Times New Roman" w:hAnsi="Calibri" w:cs="Calibri"/>
          <w:color w:val="212121"/>
          <w:lang w:eastAsia="en-GB"/>
        </w:rPr>
        <w:t xml:space="preserve"> </w:t>
      </w:r>
    </w:p>
    <w:p w14:paraId="513BF767" w14:textId="5D67A179" w:rsidR="00AE13C8" w:rsidRPr="00AE13C8" w:rsidRDefault="00AE13C8" w:rsidP="00136531">
      <w:pPr>
        <w:spacing w:line="276"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Finally, I would like to thank everyone else that have</w:t>
      </w:r>
      <w:r w:rsidR="00F929EF"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lang w:eastAsia="en-GB"/>
        </w:rPr>
        <w:t>n</w:t>
      </w:r>
      <w:r w:rsidR="00F929EF" w:rsidRPr="26F64964">
        <w:rPr>
          <w:rFonts w:ascii="Calibri" w:eastAsia="Times New Roman" w:hAnsi="Calibri" w:cs="Calibri"/>
          <w:color w:val="212121"/>
          <w:lang w:eastAsia="en-GB"/>
        </w:rPr>
        <w:t>o</w:t>
      </w:r>
      <w:r w:rsidRPr="26F64964">
        <w:rPr>
          <w:rFonts w:ascii="Calibri" w:eastAsia="Times New Roman" w:hAnsi="Calibri" w:cs="Calibri"/>
          <w:color w:val="212121"/>
          <w:lang w:eastAsia="en-GB"/>
        </w:rPr>
        <w:t xml:space="preserve">t been mentioned </w:t>
      </w:r>
      <w:r w:rsidRPr="26F64964">
        <w:rPr>
          <w:rFonts w:ascii="Calibri" w:eastAsia="Times New Roman" w:hAnsi="Calibri" w:cs="Calibri"/>
          <w:color w:val="212121"/>
          <w:highlight w:val="white"/>
          <w:lang w:eastAsia="en-GB"/>
        </w:rPr>
        <w:t>who have</w:t>
      </w:r>
      <w:r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highlight w:val="white"/>
          <w:lang w:eastAsia="en-GB"/>
        </w:rPr>
        <w:t>helped me directly or indirectly to complete this dissertation.</w:t>
      </w:r>
      <w:r w:rsidRPr="26F64964">
        <w:rPr>
          <w:rFonts w:ascii="Calibri" w:eastAsia="Times New Roman" w:hAnsi="Calibri" w:cs="Calibri"/>
          <w:color w:val="212121"/>
          <w:lang w:eastAsia="en-GB"/>
        </w:rPr>
        <w:t xml:space="preserve"> </w:t>
      </w:r>
    </w:p>
    <w:p w14:paraId="088ED2D6" w14:textId="50D76A17" w:rsidR="00372EE9" w:rsidRDefault="00372EE9" w:rsidP="00534FF0">
      <w:pPr>
        <w:spacing w:line="360" w:lineRule="auto"/>
        <w:jc w:val="both"/>
        <w:rPr>
          <w:rFonts w:ascii="Calibri" w:eastAsia="Times New Roman" w:hAnsi="Calibri" w:cs="Calibri"/>
          <w:color w:val="212121"/>
          <w:lang w:eastAsia="en-GB"/>
        </w:rPr>
      </w:pPr>
      <w:r>
        <w:rPr>
          <w:rFonts w:ascii="Calibri" w:eastAsia="Times New Roman" w:hAnsi="Calibri" w:cs="Calibri"/>
          <w:color w:val="212121"/>
          <w:lang w:eastAsia="en-GB"/>
        </w:rPr>
        <w:br w:type="page"/>
      </w:r>
    </w:p>
    <w:p w14:paraId="48D77754" w14:textId="3001D51D" w:rsidR="00596A18" w:rsidRPr="00AF6B99" w:rsidRDefault="00AF4D76" w:rsidP="00AF6B99">
      <w:pPr>
        <w:pStyle w:val="Heading1"/>
      </w:pPr>
      <w:bookmarkStart w:id="5" w:name="_Toc166853976"/>
      <w:r w:rsidRPr="005505E6">
        <w:lastRenderedPageBreak/>
        <w:t xml:space="preserve">Chapter 1: </w:t>
      </w:r>
      <w:r w:rsidR="00596A18" w:rsidRPr="005505E6">
        <w:t>Introduction</w:t>
      </w:r>
      <w:bookmarkEnd w:id="5"/>
      <w:r w:rsidR="00E75B26" w:rsidRPr="00AF6B99">
        <w:t xml:space="preserve"> </w:t>
      </w:r>
    </w:p>
    <w:p w14:paraId="0A1055BB" w14:textId="01471BF0" w:rsidR="00120C77" w:rsidRPr="00AD75C5" w:rsidRDefault="00AD75C5" w:rsidP="00AD75C5">
      <w:pPr>
        <w:pStyle w:val="Heading2"/>
        <w:jc w:val="left"/>
      </w:pPr>
      <w:bookmarkStart w:id="6" w:name="_Toc166853977"/>
      <w:r>
        <w:t xml:space="preserve">1.1 </w:t>
      </w:r>
      <w:r w:rsidR="00905A7C" w:rsidRPr="00AD75C5">
        <w:t>Background</w:t>
      </w:r>
      <w:bookmarkEnd w:id="6"/>
    </w:p>
    <w:p w14:paraId="1C9B0E9A" w14:textId="09A9E9F2" w:rsidR="00CC44BD" w:rsidRDefault="002B545C" w:rsidP="00CC44BD">
      <w:pPr>
        <w:spacing w:line="360" w:lineRule="auto"/>
        <w:jc w:val="both"/>
        <w:rPr>
          <w:rFonts w:ascii="Calibri" w:hAnsi="Calibri" w:cs="Calibri"/>
          <w:lang w:val="en-US"/>
        </w:rPr>
      </w:pPr>
      <w:r w:rsidRPr="26F64964">
        <w:rPr>
          <w:rFonts w:ascii="Calibri" w:hAnsi="Calibri" w:cs="Calibri"/>
          <w:lang w:val="en-US"/>
        </w:rPr>
        <w:t xml:space="preserve">Countries are increasingly investing in digital infrastructure to enhance healthcare accessibility and quality, especially in remote areas. This trend can be seen in the global health technology market, with its value in 2022 being US $128.99 billion in 2022 and forecasted to hit US$707.23 billion by 2032 (Precedence research, 2023). </w:t>
      </w:r>
      <w:r w:rsidR="00937001" w:rsidRPr="26F64964">
        <w:rPr>
          <w:rFonts w:ascii="Calibri" w:hAnsi="Calibri" w:cs="Calibri"/>
          <w:color w:val="7030A0"/>
          <w:lang w:val="en-US"/>
        </w:rPr>
        <w:t xml:space="preserve"> </w:t>
      </w:r>
      <w:r w:rsidR="00937001" w:rsidRPr="26F64964">
        <w:rPr>
          <w:rFonts w:ascii="Calibri" w:hAnsi="Calibri" w:cs="Calibri"/>
          <w:lang w:val="en-US"/>
        </w:rPr>
        <w:t xml:space="preserve">There are opportunities to develop new </w:t>
      </w:r>
      <w:r w:rsidR="00D44E01" w:rsidRPr="26F64964">
        <w:rPr>
          <w:rFonts w:ascii="Calibri" w:hAnsi="Calibri" w:cs="Calibri"/>
          <w:lang w:val="en-US"/>
        </w:rPr>
        <w:t xml:space="preserve">health </w:t>
      </w:r>
      <w:r w:rsidR="00937001" w:rsidRPr="26F64964">
        <w:rPr>
          <w:rFonts w:ascii="Calibri" w:hAnsi="Calibri" w:cs="Calibri"/>
          <w:lang w:val="en-US"/>
        </w:rPr>
        <w:t xml:space="preserve">technologies and services that </w:t>
      </w:r>
      <w:r w:rsidR="00937001" w:rsidRPr="26F64964">
        <w:rPr>
          <w:rFonts w:ascii="Calibri" w:hAnsi="Calibri" w:cs="Calibri"/>
          <w:highlight w:val="white"/>
          <w:lang w:val="en-US"/>
        </w:rPr>
        <w:t>can improve the quality</w:t>
      </w:r>
      <w:r w:rsidR="00937001" w:rsidRPr="26F64964">
        <w:rPr>
          <w:rFonts w:ascii="Calibri" w:hAnsi="Calibri" w:cs="Calibri"/>
          <w:lang w:val="en-US"/>
        </w:rPr>
        <w:t xml:space="preserve">, </w:t>
      </w:r>
      <w:r w:rsidR="006C513D" w:rsidRPr="26F64964">
        <w:rPr>
          <w:rFonts w:ascii="Calibri" w:hAnsi="Calibri" w:cs="Calibri"/>
          <w:lang w:val="en-US"/>
        </w:rPr>
        <w:t>affordability,</w:t>
      </w:r>
      <w:r w:rsidR="00937001" w:rsidRPr="26F64964">
        <w:rPr>
          <w:rFonts w:ascii="Calibri" w:hAnsi="Calibri" w:cs="Calibri"/>
          <w:lang w:val="en-US"/>
        </w:rPr>
        <w:t xml:space="preserve"> and accessibility of services for patients (</w:t>
      </w:r>
      <w:proofErr w:type="spellStart"/>
      <w:r w:rsidR="00937001" w:rsidRPr="26F64964">
        <w:rPr>
          <w:rFonts w:ascii="Calibri" w:hAnsi="Calibri" w:cs="Calibri"/>
          <w:lang w:val="en-US"/>
        </w:rPr>
        <w:t>Hebenstriet</w:t>
      </w:r>
      <w:proofErr w:type="spellEnd"/>
      <w:r w:rsidR="00937001" w:rsidRPr="26F64964">
        <w:rPr>
          <w:rFonts w:ascii="Calibri" w:hAnsi="Calibri" w:cs="Calibri"/>
          <w:lang w:val="en-US"/>
        </w:rPr>
        <w:t xml:space="preserve">, 2020). Such as using </w:t>
      </w:r>
      <w:r w:rsidR="00BC401A" w:rsidRPr="26F64964">
        <w:rPr>
          <w:rFonts w:ascii="Calibri" w:hAnsi="Calibri" w:cs="Calibri"/>
          <w:lang w:val="en-US"/>
        </w:rPr>
        <w:t>health</w:t>
      </w:r>
      <w:r w:rsidR="00937001" w:rsidRPr="26F64964">
        <w:rPr>
          <w:rFonts w:ascii="Calibri" w:hAnsi="Calibri" w:cs="Calibri"/>
          <w:lang w:val="en-US"/>
        </w:rPr>
        <w:t xml:space="preserve"> devices for different purposes, </w:t>
      </w:r>
      <w:r w:rsidR="006C513D" w:rsidRPr="26F64964">
        <w:rPr>
          <w:rFonts w:ascii="Calibri" w:hAnsi="Calibri" w:cs="Calibri"/>
          <w:lang w:val="en-US"/>
        </w:rPr>
        <w:t>like</w:t>
      </w:r>
      <w:r w:rsidR="00937001" w:rsidRPr="26F64964">
        <w:rPr>
          <w:rFonts w:ascii="Calibri" w:hAnsi="Calibri" w:cs="Calibri"/>
          <w:lang w:val="en-US"/>
        </w:rPr>
        <w:t xml:space="preserve"> communicating with clinicians, monitoring symptoms, and managing treatments and other health-related issues (da Fonseca, </w:t>
      </w:r>
      <w:proofErr w:type="spellStart"/>
      <w:r w:rsidR="00937001" w:rsidRPr="26F64964">
        <w:rPr>
          <w:rFonts w:ascii="Calibri" w:hAnsi="Calibri" w:cs="Calibri"/>
          <w:lang w:val="en-US"/>
        </w:rPr>
        <w:t>Kovaleski</w:t>
      </w:r>
      <w:proofErr w:type="spellEnd"/>
      <w:r w:rsidR="00937001" w:rsidRPr="26F64964">
        <w:rPr>
          <w:rFonts w:ascii="Calibri" w:hAnsi="Calibri" w:cs="Calibri"/>
          <w:lang w:val="en-US"/>
        </w:rPr>
        <w:t xml:space="preserve">, </w:t>
      </w:r>
      <w:proofErr w:type="spellStart"/>
      <w:r w:rsidR="00937001" w:rsidRPr="26F64964">
        <w:rPr>
          <w:rFonts w:ascii="Calibri" w:hAnsi="Calibri" w:cs="Calibri"/>
          <w:lang w:val="en-US"/>
        </w:rPr>
        <w:t>Picinin</w:t>
      </w:r>
      <w:proofErr w:type="spellEnd"/>
      <w:r w:rsidR="00937001" w:rsidRPr="26F64964">
        <w:rPr>
          <w:rFonts w:ascii="Calibri" w:hAnsi="Calibri" w:cs="Calibri"/>
          <w:lang w:val="en-US"/>
        </w:rPr>
        <w:t xml:space="preserve">, Pedroso &amp; </w:t>
      </w:r>
      <w:proofErr w:type="spellStart"/>
      <w:r w:rsidR="00937001" w:rsidRPr="26F64964">
        <w:rPr>
          <w:rFonts w:ascii="Calibri" w:hAnsi="Calibri" w:cs="Calibri"/>
          <w:lang w:val="en-US"/>
        </w:rPr>
        <w:t>Rubbo</w:t>
      </w:r>
      <w:proofErr w:type="spellEnd"/>
      <w:r w:rsidR="00937001" w:rsidRPr="26F64964">
        <w:rPr>
          <w:rFonts w:ascii="Calibri" w:hAnsi="Calibri" w:cs="Calibri"/>
          <w:lang w:val="en-US"/>
        </w:rPr>
        <w:t>, 2021).</w:t>
      </w:r>
      <w:r w:rsidR="002C6DC0" w:rsidRPr="26F64964">
        <w:rPr>
          <w:rFonts w:ascii="Calibri" w:hAnsi="Calibri" w:cs="Calibri"/>
          <w:lang w:val="en-US"/>
        </w:rPr>
        <w:t xml:space="preserve"> The</w:t>
      </w:r>
      <w:r w:rsidR="00BC401A" w:rsidRPr="26F64964">
        <w:rPr>
          <w:rFonts w:ascii="Calibri" w:hAnsi="Calibri" w:cs="Calibri"/>
          <w:lang w:val="en-US"/>
        </w:rPr>
        <w:t>se</w:t>
      </w:r>
      <w:r w:rsidR="002C6DC0" w:rsidRPr="26F64964">
        <w:rPr>
          <w:rFonts w:ascii="Calibri" w:hAnsi="Calibri" w:cs="Calibri"/>
          <w:lang w:val="en-US"/>
        </w:rPr>
        <w:t xml:space="preserve"> information technolog</w:t>
      </w:r>
      <w:r w:rsidR="00BC401A" w:rsidRPr="26F64964">
        <w:rPr>
          <w:rFonts w:ascii="Calibri" w:hAnsi="Calibri" w:cs="Calibri"/>
          <w:lang w:val="en-US"/>
        </w:rPr>
        <w:t>ies</w:t>
      </w:r>
      <w:r w:rsidR="002C6DC0" w:rsidRPr="26F64964">
        <w:rPr>
          <w:rFonts w:ascii="Calibri" w:hAnsi="Calibri" w:cs="Calibri"/>
          <w:lang w:val="en-US"/>
        </w:rPr>
        <w:t xml:space="preserve"> used to </w:t>
      </w:r>
      <w:r w:rsidR="003449E4" w:rsidRPr="26F64964">
        <w:rPr>
          <w:rFonts w:ascii="Calibri" w:hAnsi="Calibri" w:cs="Calibri"/>
          <w:lang w:val="en-US"/>
        </w:rPr>
        <w:t xml:space="preserve">transform the delivery of healthcare operations and </w:t>
      </w:r>
      <w:r w:rsidR="003449E4" w:rsidRPr="26F64964">
        <w:rPr>
          <w:rFonts w:ascii="Calibri" w:hAnsi="Calibri" w:cs="Calibri"/>
          <w:highlight w:val="white"/>
          <w:lang w:val="en-US"/>
        </w:rPr>
        <w:t xml:space="preserve">communication between healthcare professionals and patients </w:t>
      </w:r>
      <w:r w:rsidR="006D529F" w:rsidRPr="26F64964">
        <w:rPr>
          <w:rFonts w:ascii="Calibri" w:hAnsi="Calibri" w:cs="Calibri"/>
          <w:highlight w:val="white"/>
          <w:lang w:val="en-US"/>
        </w:rPr>
        <w:t xml:space="preserve">have </w:t>
      </w:r>
      <w:r w:rsidR="002C6DC0" w:rsidRPr="26F64964">
        <w:rPr>
          <w:rFonts w:ascii="Calibri" w:hAnsi="Calibri" w:cs="Calibri"/>
          <w:highlight w:val="white"/>
          <w:lang w:val="en-US"/>
        </w:rPr>
        <w:t>been</w:t>
      </w:r>
      <w:r w:rsidR="002C6DC0" w:rsidRPr="26F64964">
        <w:rPr>
          <w:rFonts w:ascii="Calibri" w:hAnsi="Calibri" w:cs="Calibri"/>
          <w:lang w:val="en-US"/>
        </w:rPr>
        <w:t xml:space="preserve"> referred to as ‘eHealth’. </w:t>
      </w:r>
      <w:r w:rsidR="00937001" w:rsidRPr="26F64964">
        <w:rPr>
          <w:rFonts w:ascii="Calibri" w:hAnsi="Calibri" w:cs="Calibri"/>
          <w:lang w:val="en-US"/>
        </w:rPr>
        <w:t xml:space="preserve"> </w:t>
      </w:r>
      <w:r w:rsidR="007F09C5" w:rsidRPr="26F64964">
        <w:rPr>
          <w:rFonts w:ascii="Calibri" w:hAnsi="Calibri" w:cs="Calibri"/>
          <w:lang w:val="en-US"/>
        </w:rPr>
        <w:t>‘</w:t>
      </w:r>
      <w:r w:rsidR="005F322D" w:rsidRPr="26F64964">
        <w:rPr>
          <w:rFonts w:ascii="Calibri" w:hAnsi="Calibri" w:cs="Calibri"/>
          <w:highlight w:val="white"/>
          <w:lang w:val="en-US"/>
        </w:rPr>
        <w:t>e</w:t>
      </w:r>
      <w:r w:rsidR="007F09C5" w:rsidRPr="26F64964">
        <w:rPr>
          <w:rFonts w:ascii="Calibri" w:hAnsi="Calibri" w:cs="Calibri"/>
          <w:highlight w:val="white"/>
          <w:lang w:val="en-US"/>
        </w:rPr>
        <w:t>H</w:t>
      </w:r>
      <w:r w:rsidR="00CC44BD" w:rsidRPr="26F64964">
        <w:rPr>
          <w:rFonts w:ascii="Calibri" w:hAnsi="Calibri" w:cs="Calibri"/>
          <w:highlight w:val="white"/>
          <w:lang w:val="en-US"/>
        </w:rPr>
        <w:t>ealth</w:t>
      </w:r>
      <w:r w:rsidR="007F09C5" w:rsidRPr="26F64964">
        <w:rPr>
          <w:rFonts w:ascii="Calibri" w:hAnsi="Calibri" w:cs="Calibri"/>
          <w:highlight w:val="white"/>
          <w:lang w:val="en-US"/>
        </w:rPr>
        <w:t>’</w:t>
      </w:r>
      <w:r w:rsidR="00CC44BD" w:rsidRPr="26F64964">
        <w:rPr>
          <w:rFonts w:ascii="Calibri" w:hAnsi="Calibri" w:cs="Calibri"/>
          <w:highlight w:val="white"/>
          <w:lang w:val="en-US"/>
        </w:rPr>
        <w:t xml:space="preserve"> refers to the use of</w:t>
      </w:r>
      <w:r w:rsidR="00CC44BD" w:rsidRPr="26F64964">
        <w:rPr>
          <w:rFonts w:ascii="Calibri" w:hAnsi="Calibri" w:cs="Calibri"/>
          <w:lang w:val="en-US"/>
        </w:rPr>
        <w:t xml:space="preserve"> digital technologies and electronic communication tools in the healthcare industry to improve healthcare delivery, patient outcomes, and accessibility (</w:t>
      </w:r>
      <w:proofErr w:type="spellStart"/>
      <w:r w:rsidR="00CC44BD" w:rsidRPr="26F64964">
        <w:rPr>
          <w:rFonts w:ascii="Calibri" w:hAnsi="Calibri" w:cs="Calibri"/>
          <w:lang w:val="en-US"/>
        </w:rPr>
        <w:t>Eysenbach</w:t>
      </w:r>
      <w:proofErr w:type="spellEnd"/>
      <w:r w:rsidR="00CC44BD" w:rsidRPr="26F64964">
        <w:rPr>
          <w:rFonts w:ascii="Calibri" w:hAnsi="Calibri" w:cs="Calibri"/>
          <w:lang w:val="en-US"/>
        </w:rPr>
        <w:t xml:space="preserve">, 2001). </w:t>
      </w:r>
      <w:r w:rsidR="00CC44BD" w:rsidRPr="26F64964">
        <w:rPr>
          <w:rFonts w:ascii="Calibri" w:hAnsi="Calibri" w:cs="Calibri"/>
          <w:lang w:val="en-GB"/>
        </w:rPr>
        <w:t xml:space="preserve">The term </w:t>
      </w:r>
      <w:r w:rsidR="00EC5A1B" w:rsidRPr="26F64964">
        <w:rPr>
          <w:rFonts w:ascii="Calibri" w:hAnsi="Calibri" w:cs="Calibri"/>
          <w:lang w:val="en-GB"/>
        </w:rPr>
        <w:t>“</w:t>
      </w:r>
      <w:proofErr w:type="spellStart"/>
      <w:r w:rsidR="00CC44BD" w:rsidRPr="26F64964">
        <w:rPr>
          <w:rFonts w:ascii="Calibri" w:hAnsi="Calibri" w:cs="Calibri"/>
          <w:lang w:val="en-GB"/>
        </w:rPr>
        <w:t>ehealth</w:t>
      </w:r>
      <w:proofErr w:type="spellEnd"/>
      <w:r w:rsidR="00EC5A1B" w:rsidRPr="26F64964">
        <w:rPr>
          <w:rFonts w:ascii="Calibri" w:hAnsi="Calibri" w:cs="Calibri"/>
          <w:lang w:val="en-GB"/>
        </w:rPr>
        <w:t>”</w:t>
      </w:r>
      <w:r w:rsidR="00CC44BD" w:rsidRPr="26F64964">
        <w:rPr>
          <w:rFonts w:ascii="Calibri" w:hAnsi="Calibri" w:cs="Calibri"/>
          <w:lang w:val="en-GB"/>
        </w:rPr>
        <w:t xml:space="preserve"> emerged </w:t>
      </w:r>
      <w:r w:rsidR="00CC44BD" w:rsidRPr="26F64964">
        <w:rPr>
          <w:rFonts w:ascii="Calibri" w:hAnsi="Calibri" w:cs="Calibri"/>
          <w:highlight w:val="white"/>
          <w:lang w:val="en-GB"/>
        </w:rPr>
        <w:t>in the late</w:t>
      </w:r>
      <w:r w:rsidR="00CC44BD" w:rsidRPr="26F64964">
        <w:rPr>
          <w:rFonts w:ascii="Calibri" w:hAnsi="Calibri" w:cs="Calibri"/>
          <w:lang w:val="en-GB"/>
        </w:rPr>
        <w:t xml:space="preserve"> </w:t>
      </w:r>
      <w:r w:rsidR="00CC44BD" w:rsidRPr="26F64964">
        <w:rPr>
          <w:rFonts w:ascii="Calibri" w:hAnsi="Calibri" w:cs="Calibri"/>
          <w:highlight w:val="white"/>
          <w:lang w:val="en-GB"/>
        </w:rPr>
        <w:t>1990s</w:t>
      </w:r>
      <w:r w:rsidR="00CC44BD" w:rsidRPr="26F64964">
        <w:rPr>
          <w:rFonts w:ascii="Calibri" w:hAnsi="Calibri" w:cs="Calibri"/>
          <w:lang w:val="en-GB"/>
        </w:rPr>
        <w:t xml:space="preserve"> with the increasing integration of information technology and the internet into healthcare services and systems (</w:t>
      </w:r>
      <w:proofErr w:type="spellStart"/>
      <w:r w:rsidR="00CC44BD" w:rsidRPr="26F64964">
        <w:rPr>
          <w:rFonts w:ascii="Calibri" w:hAnsi="Calibri" w:cs="Calibri"/>
          <w:lang w:val="en-GB"/>
        </w:rPr>
        <w:t>Eysenbach</w:t>
      </w:r>
      <w:proofErr w:type="spellEnd"/>
      <w:r w:rsidR="00CC44BD" w:rsidRPr="26F64964">
        <w:rPr>
          <w:rFonts w:ascii="Calibri" w:hAnsi="Calibri" w:cs="Calibri"/>
          <w:lang w:val="en-GB"/>
        </w:rPr>
        <w:t xml:space="preserve">, 2001). </w:t>
      </w:r>
      <w:r w:rsidR="00CC44BD" w:rsidRPr="26F64964">
        <w:rPr>
          <w:rFonts w:ascii="Calibri" w:hAnsi="Calibri" w:cs="Calibri"/>
          <w:lang w:val="en-US"/>
        </w:rPr>
        <w:t xml:space="preserve">It encompasses a broad range of applications, services, and systems that utilize information and communication technologies in various aspects of healthcare (Oh, </w:t>
      </w:r>
      <w:proofErr w:type="spellStart"/>
      <w:r w:rsidR="00CC44BD" w:rsidRPr="26F64964">
        <w:rPr>
          <w:rFonts w:ascii="Calibri" w:hAnsi="Calibri" w:cs="Calibri"/>
          <w:lang w:val="en-US"/>
        </w:rPr>
        <w:t>Rizo</w:t>
      </w:r>
      <w:proofErr w:type="spellEnd"/>
      <w:r w:rsidR="00CC44BD" w:rsidRPr="26F64964">
        <w:rPr>
          <w:rFonts w:ascii="Calibri" w:hAnsi="Calibri" w:cs="Calibri"/>
          <w:lang w:val="en-US"/>
        </w:rPr>
        <w:t xml:space="preserve">, </w:t>
      </w:r>
      <w:proofErr w:type="spellStart"/>
      <w:r w:rsidR="00CC44BD" w:rsidRPr="26F64964">
        <w:rPr>
          <w:rFonts w:ascii="Calibri" w:hAnsi="Calibri" w:cs="Calibri"/>
          <w:lang w:val="en-US"/>
        </w:rPr>
        <w:t>Enkin</w:t>
      </w:r>
      <w:proofErr w:type="spellEnd"/>
      <w:r w:rsidR="00CC44BD" w:rsidRPr="26F64964">
        <w:rPr>
          <w:rFonts w:ascii="Calibri" w:hAnsi="Calibri" w:cs="Calibri"/>
          <w:lang w:val="en-US"/>
        </w:rPr>
        <w:t xml:space="preserve"> &amp; </w:t>
      </w:r>
      <w:proofErr w:type="spellStart"/>
      <w:r w:rsidR="00CC44BD" w:rsidRPr="26F64964">
        <w:rPr>
          <w:rFonts w:ascii="Calibri" w:hAnsi="Calibri" w:cs="Calibri"/>
          <w:lang w:val="en-US"/>
        </w:rPr>
        <w:t>Jadad</w:t>
      </w:r>
      <w:proofErr w:type="spellEnd"/>
      <w:r w:rsidR="00CC44BD" w:rsidRPr="26F64964">
        <w:rPr>
          <w:rFonts w:ascii="Calibri" w:hAnsi="Calibri" w:cs="Calibri"/>
          <w:lang w:val="en-US"/>
        </w:rPr>
        <w:t xml:space="preserve">, 2005). It spans telemedicine, electronic health records (EHRs), </w:t>
      </w:r>
      <w:r w:rsidR="00CC44BD" w:rsidRPr="26F64964">
        <w:rPr>
          <w:rFonts w:ascii="Calibri" w:hAnsi="Calibri" w:cs="Calibri"/>
          <w:highlight w:val="white"/>
          <w:lang w:val="en-US"/>
        </w:rPr>
        <w:t>wearable devices, mobile health</w:t>
      </w:r>
      <w:r w:rsidR="00CC44BD" w:rsidRPr="26F64964">
        <w:rPr>
          <w:rFonts w:ascii="Calibri" w:hAnsi="Calibri" w:cs="Calibri"/>
          <w:lang w:val="en-US"/>
        </w:rPr>
        <w:t xml:space="preserve"> apps, remote monitoring, and more (</w:t>
      </w:r>
      <w:r w:rsidR="00CC44BD" w:rsidRPr="26F64964">
        <w:rPr>
          <w:rFonts w:ascii="Calibri" w:hAnsi="Calibri" w:cs="Calibri"/>
          <w:highlight w:val="white"/>
          <w:lang w:val="en-US"/>
        </w:rPr>
        <w:t xml:space="preserve">Li, </w:t>
      </w:r>
      <w:proofErr w:type="spellStart"/>
      <w:r w:rsidR="00CC44BD" w:rsidRPr="6A640EE8">
        <w:rPr>
          <w:rFonts w:ascii="Calibri" w:hAnsi="Calibri" w:cs="Calibri"/>
          <w:highlight w:val="white"/>
          <w:lang w:val="en-US"/>
        </w:rPr>
        <w:t>Talaei-Khoei</w:t>
      </w:r>
      <w:proofErr w:type="spellEnd"/>
      <w:r w:rsidR="00CC44BD" w:rsidRPr="6A640EE8">
        <w:rPr>
          <w:rFonts w:ascii="Calibri" w:hAnsi="Calibri" w:cs="Calibri"/>
          <w:highlight w:val="white"/>
          <w:lang w:val="en-US"/>
        </w:rPr>
        <w:t xml:space="preserve">, Seale, Ray &amp; </w:t>
      </w:r>
      <w:proofErr w:type="spellStart"/>
      <w:r w:rsidR="00CC44BD" w:rsidRPr="6A640EE8">
        <w:rPr>
          <w:rFonts w:ascii="Calibri" w:hAnsi="Calibri" w:cs="Calibri"/>
          <w:highlight w:val="white"/>
          <w:lang w:val="en-US"/>
        </w:rPr>
        <w:t>MacIntyre</w:t>
      </w:r>
      <w:proofErr w:type="spellEnd"/>
      <w:r w:rsidR="00CC44BD" w:rsidRPr="6A640EE8">
        <w:rPr>
          <w:rFonts w:ascii="Calibri" w:hAnsi="Calibri" w:cs="Calibri"/>
          <w:highlight w:val="white"/>
          <w:lang w:val="en-US"/>
        </w:rPr>
        <w:t>, 2013</w:t>
      </w:r>
      <w:r w:rsidR="00CC44BD" w:rsidRPr="26F64964">
        <w:rPr>
          <w:rFonts w:ascii="Calibri" w:hAnsi="Calibri" w:cs="Calibri"/>
          <w:lang w:val="en-US"/>
        </w:rPr>
        <w:t xml:space="preserve">). </w:t>
      </w:r>
    </w:p>
    <w:p w14:paraId="1B3248AF" w14:textId="2D40221B" w:rsidR="00CC44BD" w:rsidRDefault="00CC44BD" w:rsidP="00CC44BD">
      <w:pPr>
        <w:spacing w:line="360" w:lineRule="auto"/>
        <w:jc w:val="both"/>
        <w:rPr>
          <w:rFonts w:ascii="Calibri" w:hAnsi="Calibri" w:cs="Calibri"/>
          <w:lang w:val="en-US"/>
        </w:rPr>
      </w:pPr>
      <w:r w:rsidRPr="26F64964">
        <w:rPr>
          <w:rFonts w:ascii="Calibri" w:hAnsi="Calibri" w:cs="Calibri"/>
          <w:lang w:val="en-US"/>
        </w:rPr>
        <w:t xml:space="preserve">Around the world, the landscape of </w:t>
      </w:r>
      <w:r w:rsidR="002A16D8" w:rsidRPr="26F64964">
        <w:rPr>
          <w:rFonts w:ascii="Calibri" w:hAnsi="Calibri" w:cs="Calibri"/>
          <w:lang w:val="en-US"/>
        </w:rPr>
        <w:t>eHealth</w:t>
      </w:r>
      <w:r w:rsidRPr="26F64964">
        <w:rPr>
          <w:rFonts w:ascii="Calibri" w:hAnsi="Calibri" w:cs="Calibri"/>
          <w:lang w:val="en-US"/>
        </w:rPr>
        <w:t xml:space="preserve"> is witnessing rapid advancements and adoption. The World Health Organisation reported that national mobile health interventions are present within 8</w:t>
      </w:r>
      <w:r w:rsidR="00457102" w:rsidRPr="26F64964">
        <w:rPr>
          <w:rFonts w:ascii="Calibri" w:hAnsi="Calibri" w:cs="Calibri"/>
          <w:lang w:val="en-US"/>
        </w:rPr>
        <w:t>3</w:t>
      </w:r>
      <w:r w:rsidRPr="26F64964">
        <w:rPr>
          <w:rFonts w:ascii="Calibri" w:hAnsi="Calibri" w:cs="Calibri"/>
          <w:lang w:val="en-US"/>
        </w:rPr>
        <w:t xml:space="preserve">% of member states, 58% have implemented successful eHealth strategies, and </w:t>
      </w:r>
      <w:r w:rsidR="00865BF8" w:rsidRPr="26F64964">
        <w:rPr>
          <w:rFonts w:ascii="Calibri" w:hAnsi="Calibri" w:cs="Calibri"/>
          <w:lang w:val="en-US"/>
        </w:rPr>
        <w:t>78</w:t>
      </w:r>
      <w:r w:rsidRPr="26F64964">
        <w:rPr>
          <w:rFonts w:ascii="Calibri" w:hAnsi="Calibri" w:cs="Calibri"/>
          <w:lang w:val="en-US"/>
        </w:rPr>
        <w:t xml:space="preserve">% have enacted laws safeguarding electronic patient data (World Health Organization, </w:t>
      </w:r>
      <w:r w:rsidR="00EB541C" w:rsidRPr="26F64964">
        <w:rPr>
          <w:rFonts w:ascii="Calibri" w:hAnsi="Calibri" w:cs="Calibri"/>
          <w:lang w:val="en-US"/>
        </w:rPr>
        <w:t>2016</w:t>
      </w:r>
      <w:r w:rsidRPr="26F64964">
        <w:rPr>
          <w:rFonts w:ascii="Calibri" w:hAnsi="Calibri" w:cs="Calibri"/>
          <w:lang w:val="en-US"/>
        </w:rPr>
        <w:t xml:space="preserve">). </w:t>
      </w:r>
      <w:r w:rsidRPr="26F64964">
        <w:rPr>
          <w:rFonts w:ascii="Calibri" w:hAnsi="Calibri" w:cs="Calibri"/>
          <w:highlight w:val="white"/>
          <w:lang w:val="en-US"/>
        </w:rPr>
        <w:t>The COVID-19 pandemic has</w:t>
      </w:r>
      <w:r w:rsidRPr="26F64964">
        <w:rPr>
          <w:rFonts w:ascii="Calibri" w:hAnsi="Calibri" w:cs="Calibri"/>
          <w:lang w:val="en-US"/>
        </w:rPr>
        <w:t xml:space="preserve"> </w:t>
      </w:r>
      <w:r w:rsidRPr="26F64964">
        <w:rPr>
          <w:rFonts w:ascii="Calibri" w:hAnsi="Calibri" w:cs="Calibri"/>
          <w:highlight w:val="white"/>
          <w:lang w:val="en-US"/>
        </w:rPr>
        <w:t>accelerated the adoption of telemedicine</w:t>
      </w:r>
      <w:r w:rsidRPr="26F64964">
        <w:rPr>
          <w:rFonts w:ascii="Calibri" w:hAnsi="Calibri" w:cs="Calibri"/>
          <w:lang w:val="en-US"/>
        </w:rPr>
        <w:t xml:space="preserve">, telehealth, </w:t>
      </w:r>
      <w:r w:rsidRPr="26F64964">
        <w:rPr>
          <w:rFonts w:ascii="Calibri" w:hAnsi="Calibri" w:cs="Calibri"/>
          <w:highlight w:val="white"/>
          <w:lang w:val="en-US"/>
        </w:rPr>
        <w:t>and virtual</w:t>
      </w:r>
      <w:r w:rsidRPr="26F64964">
        <w:rPr>
          <w:rFonts w:ascii="Calibri" w:hAnsi="Calibri" w:cs="Calibri"/>
          <w:lang w:val="en-US"/>
        </w:rPr>
        <w:t xml:space="preserve"> care, highlighting the importance of remote healthcare solutions. Research has shown that 58% of countries have used telemedicine since the pandemic began (European Parliament, </w:t>
      </w:r>
      <w:r w:rsidR="00976CD5" w:rsidRPr="26F64964">
        <w:rPr>
          <w:rFonts w:ascii="Calibri" w:hAnsi="Calibri" w:cs="Calibri"/>
          <w:lang w:val="en-US"/>
        </w:rPr>
        <w:t>2021</w:t>
      </w:r>
      <w:r w:rsidR="000B3BD3" w:rsidRPr="26F64964">
        <w:rPr>
          <w:rFonts w:ascii="Calibri" w:hAnsi="Calibri" w:cs="Calibri"/>
          <w:lang w:val="en-US"/>
        </w:rPr>
        <w:t>)</w:t>
      </w:r>
      <w:r w:rsidRPr="26F64964">
        <w:rPr>
          <w:rFonts w:ascii="Calibri" w:hAnsi="Calibri" w:cs="Calibri"/>
          <w:lang w:val="en-US"/>
        </w:rPr>
        <w:t xml:space="preserve">.  Moreover, innovations in </w:t>
      </w:r>
      <w:r w:rsidR="00445BD4" w:rsidRPr="26F64964">
        <w:rPr>
          <w:rFonts w:ascii="Calibri" w:hAnsi="Calibri" w:cs="Calibri"/>
          <w:lang w:val="en-US"/>
        </w:rPr>
        <w:t xml:space="preserve">artificial </w:t>
      </w:r>
      <w:r w:rsidR="00F3524D" w:rsidRPr="26F64964">
        <w:rPr>
          <w:rFonts w:ascii="Calibri" w:hAnsi="Calibri" w:cs="Calibri"/>
          <w:lang w:val="en-US"/>
        </w:rPr>
        <w:t xml:space="preserve">intelligence </w:t>
      </w:r>
      <w:r w:rsidR="00445BD4" w:rsidRPr="26F64964">
        <w:rPr>
          <w:rFonts w:ascii="Calibri" w:hAnsi="Calibri" w:cs="Calibri"/>
          <w:lang w:val="en-US"/>
        </w:rPr>
        <w:t>(</w:t>
      </w:r>
      <w:r w:rsidRPr="26F64964">
        <w:rPr>
          <w:rFonts w:ascii="Calibri" w:hAnsi="Calibri" w:cs="Calibri"/>
          <w:lang w:val="en-US"/>
        </w:rPr>
        <w:t>AI</w:t>
      </w:r>
      <w:r w:rsidR="00445BD4" w:rsidRPr="26F64964">
        <w:rPr>
          <w:rFonts w:ascii="Calibri" w:hAnsi="Calibri" w:cs="Calibri"/>
          <w:lang w:val="en-US"/>
        </w:rPr>
        <w:t>)</w:t>
      </w:r>
      <w:r w:rsidRPr="26F64964">
        <w:rPr>
          <w:rFonts w:ascii="Calibri" w:hAnsi="Calibri" w:cs="Calibri"/>
          <w:lang w:val="en-US"/>
        </w:rPr>
        <w:t>-driven diagnostics, personalized medicine, and data analytics are revolutionizing how healthcare is delivered and managed globally, promising more efficient and patient-centric approaches to healthcare delivery</w:t>
      </w:r>
      <w:r w:rsidR="001A087F" w:rsidRPr="26F64964">
        <w:rPr>
          <w:rFonts w:ascii="Calibri" w:hAnsi="Calibri" w:cs="Calibri"/>
          <w:lang w:val="en-US"/>
        </w:rPr>
        <w:t xml:space="preserve"> (Shaheen, 2021)</w:t>
      </w:r>
      <w:r w:rsidRPr="26F64964">
        <w:rPr>
          <w:rFonts w:ascii="Calibri" w:hAnsi="Calibri" w:cs="Calibri"/>
          <w:lang w:val="en-US"/>
        </w:rPr>
        <w:t>.</w:t>
      </w:r>
    </w:p>
    <w:p w14:paraId="05BA08E2" w14:textId="0DC20EEC" w:rsidR="00155C47" w:rsidRPr="00155C47" w:rsidRDefault="002A16D8" w:rsidP="00155C47">
      <w:pPr>
        <w:spacing w:line="360" w:lineRule="auto"/>
        <w:jc w:val="both"/>
        <w:rPr>
          <w:rFonts w:ascii="Calibri" w:eastAsia="Times New Roman" w:hAnsi="Calibri" w:cs="Calibri"/>
          <w:color w:val="212121"/>
          <w:lang w:val="en-US" w:eastAsia="en-GB"/>
        </w:rPr>
      </w:pPr>
      <w:r w:rsidRPr="26F64964">
        <w:rPr>
          <w:rFonts w:ascii="Calibri" w:eastAsia="Times New Roman" w:hAnsi="Calibri" w:cs="Calibri"/>
          <w:lang w:val="en-US" w:eastAsia="en-GB"/>
        </w:rPr>
        <w:t>eHealth</w:t>
      </w:r>
      <w:r w:rsidR="003C356F" w:rsidRPr="26F64964">
        <w:rPr>
          <w:rFonts w:ascii="Calibri" w:eastAsia="Times New Roman" w:hAnsi="Calibri" w:cs="Calibri"/>
          <w:lang w:val="en-US" w:eastAsia="en-GB"/>
        </w:rPr>
        <w:t xml:space="preserve"> has been applied to several types of healthcare services, including pediatric care (Castor, Lindkvists, Hallström &amp; Holmberg, 2023), cancer care (Doyle-</w:t>
      </w:r>
      <w:proofErr w:type="spellStart"/>
      <w:r w:rsidR="003C356F" w:rsidRPr="26F64964">
        <w:rPr>
          <w:rFonts w:ascii="Calibri" w:eastAsia="Times New Roman" w:hAnsi="Calibri" w:cs="Calibri"/>
          <w:lang w:val="en-US" w:eastAsia="en-GB"/>
        </w:rPr>
        <w:t>Lindrud</w:t>
      </w:r>
      <w:proofErr w:type="spellEnd"/>
      <w:r w:rsidR="003C356F" w:rsidRPr="26F64964">
        <w:rPr>
          <w:rFonts w:ascii="Calibri" w:eastAsia="Times New Roman" w:hAnsi="Calibri" w:cs="Calibri"/>
          <w:lang w:val="en-US" w:eastAsia="en-GB"/>
        </w:rPr>
        <w:t xml:space="preserve">, 2020), trauma care (Bakker, Riper &amp; Olff, 2020) and transplantation. </w:t>
      </w:r>
      <w:r w:rsidR="005619E7" w:rsidRPr="26F64964">
        <w:rPr>
          <w:rFonts w:ascii="Calibri" w:eastAsia="Times New Roman" w:hAnsi="Calibri" w:cs="Calibri"/>
          <w:lang w:val="en-US" w:eastAsia="en-GB"/>
        </w:rPr>
        <w:t xml:space="preserve">Scholars argue the critical role of </w:t>
      </w:r>
      <w:r w:rsidRPr="26F64964">
        <w:rPr>
          <w:rFonts w:ascii="Calibri" w:eastAsia="Times New Roman" w:hAnsi="Calibri" w:cs="Calibri"/>
          <w:lang w:val="en-US" w:eastAsia="en-GB"/>
        </w:rPr>
        <w:t>eHealth</w:t>
      </w:r>
      <w:r w:rsidR="00155C47" w:rsidRPr="26F64964">
        <w:rPr>
          <w:rFonts w:ascii="Calibri" w:eastAsia="Times New Roman" w:hAnsi="Calibri" w:cs="Calibri"/>
          <w:lang w:val="en-US" w:eastAsia="en-GB"/>
        </w:rPr>
        <w:t xml:space="preserve"> </w:t>
      </w:r>
      <w:r w:rsidR="00B91B51" w:rsidRPr="26F64964">
        <w:rPr>
          <w:rFonts w:ascii="Calibri" w:eastAsia="Times New Roman" w:hAnsi="Calibri" w:cs="Calibri"/>
          <w:lang w:val="en-US" w:eastAsia="en-GB"/>
        </w:rPr>
        <w:t xml:space="preserve">in transplantation as it has significantly enhanced patient care, </w:t>
      </w:r>
      <w:r w:rsidR="00A955F5" w:rsidRPr="26F64964">
        <w:rPr>
          <w:rFonts w:ascii="Calibri" w:eastAsia="Times New Roman" w:hAnsi="Calibri" w:cs="Calibri"/>
          <w:lang w:val="en-US" w:eastAsia="en-GB"/>
        </w:rPr>
        <w:t>o</w:t>
      </w:r>
      <w:r w:rsidR="00EC5A1B" w:rsidRPr="26F64964">
        <w:rPr>
          <w:rFonts w:ascii="Calibri" w:eastAsia="Times New Roman" w:hAnsi="Calibri" w:cs="Calibri"/>
          <w:lang w:val="en-US" w:eastAsia="en-GB"/>
        </w:rPr>
        <w:t>ptimized</w:t>
      </w:r>
      <w:r w:rsidR="00B91B51" w:rsidRPr="26F64964">
        <w:rPr>
          <w:rFonts w:ascii="Calibri" w:eastAsia="Times New Roman" w:hAnsi="Calibri" w:cs="Calibri"/>
          <w:lang w:val="en-US" w:eastAsia="en-GB"/>
        </w:rPr>
        <w:t xml:space="preserve"> organ allocation, and </w:t>
      </w:r>
      <w:r w:rsidR="00B91B51" w:rsidRPr="26F64964">
        <w:rPr>
          <w:rFonts w:ascii="Calibri" w:eastAsia="Times New Roman" w:hAnsi="Calibri" w:cs="Calibri"/>
          <w:lang w:val="en-US" w:eastAsia="en-GB"/>
        </w:rPr>
        <w:lastRenderedPageBreak/>
        <w:t>improved post-transplant outcomes (</w:t>
      </w:r>
      <w:proofErr w:type="spellStart"/>
      <w:r w:rsidR="00B91B51" w:rsidRPr="26F64964">
        <w:rPr>
          <w:rFonts w:ascii="Calibri" w:eastAsia="Times New Roman" w:hAnsi="Calibri" w:cs="Calibri"/>
          <w:lang w:val="en-US" w:eastAsia="en-GB"/>
        </w:rPr>
        <w:t>Duettmann</w:t>
      </w:r>
      <w:proofErr w:type="spellEnd"/>
      <w:r w:rsidR="00D24218" w:rsidRPr="26F64964">
        <w:rPr>
          <w:rFonts w:ascii="Calibri" w:eastAsia="Times New Roman" w:hAnsi="Calibri" w:cs="Calibri"/>
          <w:lang w:val="en-US" w:eastAsia="en-GB"/>
        </w:rPr>
        <w:t xml:space="preserve"> et al., </w:t>
      </w:r>
      <w:r w:rsidR="00B91B51" w:rsidRPr="26F64964">
        <w:rPr>
          <w:rFonts w:ascii="Calibri" w:eastAsia="Times New Roman" w:hAnsi="Calibri" w:cs="Calibri"/>
          <w:lang w:val="en-US" w:eastAsia="en-GB"/>
        </w:rPr>
        <w:t xml:space="preserve">2021). </w:t>
      </w:r>
      <w:r w:rsidR="00155C47" w:rsidRPr="26F64964">
        <w:rPr>
          <w:rFonts w:ascii="Calibri" w:eastAsia="Times New Roman" w:hAnsi="Calibri" w:cs="Calibri"/>
          <w:color w:val="212121"/>
          <w:lang w:val="en-US" w:eastAsia="en-GB"/>
        </w:rPr>
        <w:t xml:space="preserve">Through telemedicine and remote monitoring technologies, </w:t>
      </w:r>
      <w:r w:rsidRPr="26F64964">
        <w:rPr>
          <w:rFonts w:ascii="Calibri" w:eastAsia="Times New Roman" w:hAnsi="Calibri" w:cs="Calibri"/>
          <w:color w:val="212121"/>
          <w:lang w:val="en-US" w:eastAsia="en-GB"/>
        </w:rPr>
        <w:t>eHealth</w:t>
      </w:r>
      <w:r w:rsidR="00155C47" w:rsidRPr="26F64964">
        <w:rPr>
          <w:rFonts w:ascii="Calibri" w:eastAsia="Times New Roman" w:hAnsi="Calibri" w:cs="Calibri"/>
          <w:color w:val="212121"/>
          <w:lang w:val="en-US" w:eastAsia="en-GB"/>
        </w:rPr>
        <w:t xml:space="preserve"> facilitates pre-transplant evaluations, enabling healthcare providers to assess potential recipients remotely, thereby reducing geographical barriers and expediting the evaluation process (</w:t>
      </w:r>
      <w:proofErr w:type="spellStart"/>
      <w:r w:rsidR="00155C47" w:rsidRPr="26F64964">
        <w:rPr>
          <w:rFonts w:ascii="Calibri" w:eastAsia="Times New Roman" w:hAnsi="Calibri" w:cs="Calibri"/>
          <w:color w:val="212121"/>
          <w:lang w:val="en-US" w:eastAsia="en-GB"/>
        </w:rPr>
        <w:t>Holderried</w:t>
      </w:r>
      <w:proofErr w:type="spellEnd"/>
      <w:r w:rsidR="00155C47" w:rsidRPr="26F64964">
        <w:rPr>
          <w:rFonts w:ascii="Calibri" w:eastAsia="Times New Roman" w:hAnsi="Calibri" w:cs="Calibri"/>
          <w:color w:val="212121"/>
          <w:lang w:val="en-US" w:eastAsia="en-GB"/>
        </w:rPr>
        <w:t xml:space="preserve">, </w:t>
      </w:r>
      <w:proofErr w:type="spellStart"/>
      <w:r w:rsidR="00155C47" w:rsidRPr="26F64964">
        <w:rPr>
          <w:rFonts w:ascii="Calibri" w:eastAsia="Times New Roman" w:hAnsi="Calibri" w:cs="Calibri"/>
          <w:color w:val="212121"/>
          <w:lang w:val="en-US" w:eastAsia="en-GB"/>
        </w:rPr>
        <w:t>Heyne</w:t>
      </w:r>
      <w:proofErr w:type="spellEnd"/>
      <w:r w:rsidR="00155C47" w:rsidRPr="26F64964">
        <w:rPr>
          <w:rFonts w:ascii="Calibri" w:eastAsia="Times New Roman" w:hAnsi="Calibri" w:cs="Calibri"/>
          <w:color w:val="212121"/>
          <w:lang w:val="en-US" w:eastAsia="en-GB"/>
        </w:rPr>
        <w:t xml:space="preserve">, </w:t>
      </w:r>
      <w:proofErr w:type="spellStart"/>
      <w:r w:rsidR="00155C47" w:rsidRPr="26F64964">
        <w:rPr>
          <w:rFonts w:ascii="Calibri" w:eastAsia="Times New Roman" w:hAnsi="Calibri" w:cs="Calibri"/>
          <w:color w:val="212121"/>
          <w:lang w:val="en-US" w:eastAsia="en-GB"/>
        </w:rPr>
        <w:t>Nadalin</w:t>
      </w:r>
      <w:proofErr w:type="spellEnd"/>
      <w:r w:rsidR="00155C47" w:rsidRPr="26F64964">
        <w:rPr>
          <w:rFonts w:ascii="Calibri" w:eastAsia="Times New Roman" w:hAnsi="Calibri" w:cs="Calibri"/>
          <w:color w:val="212121"/>
          <w:lang w:val="en-US" w:eastAsia="en-GB"/>
        </w:rPr>
        <w:t xml:space="preserve">, Unger, Ernst &amp; </w:t>
      </w:r>
      <w:proofErr w:type="spellStart"/>
      <w:r w:rsidR="00155C47" w:rsidRPr="26F64964">
        <w:rPr>
          <w:rFonts w:ascii="Calibri" w:eastAsia="Times New Roman" w:hAnsi="Calibri" w:cs="Calibri"/>
          <w:color w:val="212121"/>
          <w:lang w:val="en-US" w:eastAsia="en-GB"/>
        </w:rPr>
        <w:t>Guthoff</w:t>
      </w:r>
      <w:proofErr w:type="spellEnd"/>
      <w:r w:rsidR="00155C47" w:rsidRPr="26F64964">
        <w:rPr>
          <w:rFonts w:ascii="Calibri" w:eastAsia="Times New Roman" w:hAnsi="Calibri" w:cs="Calibri"/>
          <w:color w:val="212121"/>
          <w:lang w:val="en-US" w:eastAsia="en-GB"/>
        </w:rPr>
        <w:t xml:space="preserve">, 2021). Moreover, </w:t>
      </w:r>
      <w:r w:rsidRPr="26F64964">
        <w:rPr>
          <w:rFonts w:ascii="Calibri" w:eastAsia="Times New Roman" w:hAnsi="Calibri" w:cs="Calibri"/>
          <w:color w:val="212121"/>
          <w:lang w:val="en-US" w:eastAsia="en-GB"/>
        </w:rPr>
        <w:t>eHealth</w:t>
      </w:r>
      <w:r w:rsidR="00155C47" w:rsidRPr="26F64964">
        <w:rPr>
          <w:rFonts w:ascii="Calibri" w:eastAsia="Times New Roman" w:hAnsi="Calibri" w:cs="Calibri"/>
          <w:color w:val="212121"/>
          <w:lang w:val="en-US" w:eastAsia="en-GB"/>
        </w:rPr>
        <w:t xml:space="preserve"> solutions enable real-time communication between transplant teams, allowing seamless collaboration among specialists regardless of location. During the post-transplantation process, remote monitoring tools aid in tracking patient progress, vital signs, and medication adherence, fostering timely interventions and reducing the need for frequent in-person visits, especially critical in the early stages of recovery (Lee, Shin &amp; Seo, 2020). </w:t>
      </w:r>
    </w:p>
    <w:p w14:paraId="0EEBD0AF" w14:textId="146918C2" w:rsidR="002D4861" w:rsidRPr="002D4861" w:rsidRDefault="002A16D8" w:rsidP="00D21BB6">
      <w:pPr>
        <w:spacing w:line="360" w:lineRule="auto"/>
        <w:jc w:val="both"/>
        <w:rPr>
          <w:rFonts w:ascii="Calibri" w:eastAsia="Times New Roman" w:hAnsi="Calibri" w:cs="Calibri"/>
          <w:color w:val="7030A0"/>
          <w:lang w:val="en-GB" w:eastAsia="en-GB"/>
        </w:rPr>
      </w:pPr>
      <w:r w:rsidRPr="26F64964">
        <w:rPr>
          <w:rFonts w:ascii="Calibri" w:eastAsia="Times New Roman" w:hAnsi="Calibri" w:cs="Calibri"/>
          <w:color w:val="212121"/>
          <w:lang w:val="en-US" w:eastAsia="en-GB"/>
        </w:rPr>
        <w:t>eHealth</w:t>
      </w:r>
      <w:r w:rsidR="00155C47" w:rsidRPr="26F64964">
        <w:rPr>
          <w:rFonts w:ascii="Calibri" w:eastAsia="Times New Roman" w:hAnsi="Calibri" w:cs="Calibri"/>
          <w:color w:val="212121"/>
          <w:lang w:val="en-US" w:eastAsia="en-GB"/>
        </w:rPr>
        <w:t xml:space="preserve"> also assists in managing immunosuppressive medications, ensuring </w:t>
      </w:r>
      <w:r w:rsidR="009F493D" w:rsidRPr="26F64964">
        <w:rPr>
          <w:rFonts w:ascii="Calibri" w:eastAsia="Times New Roman" w:hAnsi="Calibri" w:cs="Calibri"/>
          <w:color w:val="212121"/>
          <w:lang w:val="en-US" w:eastAsia="en-GB"/>
        </w:rPr>
        <w:t>compliance,</w:t>
      </w:r>
      <w:r w:rsidR="00155C47" w:rsidRPr="26F64964">
        <w:rPr>
          <w:rFonts w:ascii="Calibri" w:eastAsia="Times New Roman" w:hAnsi="Calibri" w:cs="Calibri"/>
          <w:color w:val="212121"/>
          <w:lang w:val="en-US" w:eastAsia="en-GB"/>
        </w:rPr>
        <w:t xml:space="preserve"> and minimizing the risk of rejection (Lee et al., 2020). Additionally, electronic health records streamline data sharing among healthcare professionals, enhancing continuity of care and </w:t>
      </w:r>
      <w:r w:rsidR="00155C47" w:rsidRPr="26F64964">
        <w:rPr>
          <w:rFonts w:ascii="Calibri" w:eastAsia="Times New Roman" w:hAnsi="Calibri" w:cs="Calibri"/>
          <w:color w:val="212121"/>
          <w:highlight w:val="white"/>
          <w:lang w:val="en-US" w:eastAsia="en-GB"/>
        </w:rPr>
        <w:t>providing a comprehensive view of the patient</w:t>
      </w:r>
      <w:r w:rsidR="00EC5A1B" w:rsidRPr="26F64964">
        <w:rPr>
          <w:rFonts w:ascii="Calibri" w:eastAsia="Times New Roman" w:hAnsi="Calibri" w:cs="Calibri"/>
          <w:color w:val="212121"/>
          <w:highlight w:val="white"/>
          <w:lang w:val="en-US" w:eastAsia="en-GB"/>
        </w:rPr>
        <w:t>’</w:t>
      </w:r>
      <w:r w:rsidR="00155C47" w:rsidRPr="26F64964">
        <w:rPr>
          <w:rFonts w:ascii="Calibri" w:eastAsia="Times New Roman" w:hAnsi="Calibri" w:cs="Calibri"/>
          <w:color w:val="212121"/>
          <w:highlight w:val="white"/>
          <w:lang w:val="en-US" w:eastAsia="en-GB"/>
        </w:rPr>
        <w:t>s</w:t>
      </w:r>
      <w:r w:rsidR="00155C47" w:rsidRPr="26F64964">
        <w:rPr>
          <w:rFonts w:ascii="Calibri" w:eastAsia="Times New Roman" w:hAnsi="Calibri" w:cs="Calibri"/>
          <w:color w:val="212121"/>
          <w:lang w:val="en-US" w:eastAsia="en-GB"/>
        </w:rPr>
        <w:t xml:space="preserve"> </w:t>
      </w:r>
      <w:r w:rsidR="00155C47" w:rsidRPr="26F64964">
        <w:rPr>
          <w:rFonts w:ascii="Calibri" w:eastAsia="Times New Roman" w:hAnsi="Calibri" w:cs="Calibri"/>
          <w:color w:val="212121"/>
          <w:highlight w:val="white"/>
          <w:lang w:val="en-US" w:eastAsia="en-GB"/>
        </w:rPr>
        <w:t>medical history</w:t>
      </w:r>
      <w:r w:rsidR="00155C47" w:rsidRPr="26F64964">
        <w:rPr>
          <w:rFonts w:ascii="Calibri" w:eastAsia="Times New Roman" w:hAnsi="Calibri" w:cs="Calibri"/>
          <w:color w:val="212121"/>
          <w:lang w:val="en-US" w:eastAsia="en-GB"/>
        </w:rPr>
        <w:t xml:space="preserve"> (</w:t>
      </w:r>
      <w:proofErr w:type="spellStart"/>
      <w:r w:rsidR="00155C47" w:rsidRPr="26F64964">
        <w:rPr>
          <w:rFonts w:ascii="Calibri" w:eastAsia="Times New Roman" w:hAnsi="Calibri" w:cs="Calibri"/>
          <w:color w:val="212121"/>
          <w:lang w:val="en-US" w:eastAsia="en-GB"/>
        </w:rPr>
        <w:t>Niazkhani</w:t>
      </w:r>
      <w:proofErr w:type="spellEnd"/>
      <w:r w:rsidR="00155C47" w:rsidRPr="26F64964">
        <w:rPr>
          <w:rFonts w:ascii="Calibri" w:eastAsia="Times New Roman" w:hAnsi="Calibri" w:cs="Calibri"/>
          <w:color w:val="212121"/>
          <w:lang w:val="en-US" w:eastAsia="en-GB"/>
        </w:rPr>
        <w:t xml:space="preserve">, </w:t>
      </w:r>
      <w:proofErr w:type="spellStart"/>
      <w:r w:rsidR="00155C47" w:rsidRPr="26F64964">
        <w:rPr>
          <w:rFonts w:ascii="Calibri" w:eastAsia="Times New Roman" w:hAnsi="Calibri" w:cs="Calibri"/>
          <w:color w:val="212121"/>
          <w:lang w:val="en-US" w:eastAsia="en-GB"/>
        </w:rPr>
        <w:t>Pirnejad</w:t>
      </w:r>
      <w:proofErr w:type="spellEnd"/>
      <w:r w:rsidR="00155C47" w:rsidRPr="26F64964">
        <w:rPr>
          <w:rFonts w:ascii="Calibri" w:eastAsia="Times New Roman" w:hAnsi="Calibri" w:cs="Calibri"/>
          <w:color w:val="212121"/>
          <w:lang w:val="en-US" w:eastAsia="en-GB"/>
        </w:rPr>
        <w:t xml:space="preserve"> &amp; </w:t>
      </w:r>
      <w:proofErr w:type="spellStart"/>
      <w:r w:rsidR="00155C47" w:rsidRPr="26F64964">
        <w:rPr>
          <w:rFonts w:ascii="Calibri" w:eastAsia="Times New Roman" w:hAnsi="Calibri" w:cs="Calibri"/>
          <w:color w:val="212121"/>
          <w:lang w:val="en-US" w:eastAsia="en-GB"/>
        </w:rPr>
        <w:t>Khazaee</w:t>
      </w:r>
      <w:proofErr w:type="spellEnd"/>
      <w:r w:rsidR="00155C47" w:rsidRPr="26F64964">
        <w:rPr>
          <w:rFonts w:ascii="Calibri" w:eastAsia="Times New Roman" w:hAnsi="Calibri" w:cs="Calibri"/>
          <w:color w:val="212121"/>
          <w:lang w:val="en-US" w:eastAsia="en-GB"/>
        </w:rPr>
        <w:t xml:space="preserve">, 2017). Overall, </w:t>
      </w:r>
      <w:r w:rsidRPr="26F64964">
        <w:rPr>
          <w:rFonts w:ascii="Calibri" w:eastAsia="Times New Roman" w:hAnsi="Calibri" w:cs="Calibri"/>
          <w:color w:val="212121"/>
          <w:lang w:val="en-US" w:eastAsia="en-GB"/>
        </w:rPr>
        <w:t>eHealth</w:t>
      </w:r>
      <w:r w:rsidR="00155C47" w:rsidRPr="26F64964">
        <w:rPr>
          <w:rFonts w:ascii="Calibri" w:eastAsia="Times New Roman" w:hAnsi="Calibri" w:cs="Calibri"/>
          <w:color w:val="212121"/>
          <w:lang w:val="en-US" w:eastAsia="en-GB"/>
        </w:rPr>
        <w:t xml:space="preserve"> innovations significantly improve transplant care by optimizing workflows, </w:t>
      </w:r>
      <w:r w:rsidR="00155C47" w:rsidRPr="005505E6">
        <w:rPr>
          <w:rFonts w:ascii="Calibri" w:eastAsia="Times New Roman" w:hAnsi="Calibri" w:cs="Calibri"/>
          <w:color w:val="212121"/>
          <w:lang w:val="en-US" w:eastAsia="en-GB"/>
        </w:rPr>
        <w:t xml:space="preserve">enhancing communication, and ensuring personalized, continuous care for transplant recipients. </w:t>
      </w:r>
      <w:r w:rsidR="2C43722A" w:rsidRPr="005505E6">
        <w:rPr>
          <w:rFonts w:ascii="Calibri" w:eastAsia="Times New Roman" w:hAnsi="Calibri" w:cs="Calibri"/>
          <w:lang w:val="en-US" w:eastAsia="en-GB"/>
        </w:rPr>
        <w:t xml:space="preserve">However, according to </w:t>
      </w:r>
      <w:proofErr w:type="spellStart"/>
      <w:r w:rsidR="2C43722A" w:rsidRPr="005505E6">
        <w:rPr>
          <w:rFonts w:ascii="Calibri" w:eastAsia="Times New Roman" w:hAnsi="Calibri" w:cs="Calibri"/>
          <w:lang w:val="en-US" w:eastAsia="en-GB"/>
        </w:rPr>
        <w:t>Duettmann</w:t>
      </w:r>
      <w:proofErr w:type="spellEnd"/>
      <w:r w:rsidR="2C43722A" w:rsidRPr="005505E6">
        <w:rPr>
          <w:rFonts w:ascii="Calibri" w:eastAsia="Times New Roman" w:hAnsi="Calibri" w:cs="Calibri"/>
          <w:lang w:val="en-US" w:eastAsia="en-GB"/>
        </w:rPr>
        <w:t xml:space="preserve"> </w:t>
      </w:r>
      <w:r w:rsidR="00D24218" w:rsidRPr="005505E6">
        <w:rPr>
          <w:rFonts w:ascii="Calibri" w:eastAsia="Times New Roman" w:hAnsi="Calibri" w:cs="Calibri"/>
          <w:lang w:val="en-US" w:eastAsia="en-GB"/>
        </w:rPr>
        <w:t xml:space="preserve">and </w:t>
      </w:r>
      <w:r w:rsidR="001A3D99" w:rsidRPr="005505E6">
        <w:rPr>
          <w:rFonts w:ascii="Calibri" w:eastAsia="Times New Roman" w:hAnsi="Calibri" w:cs="Calibri"/>
          <w:lang w:val="en-US" w:eastAsia="en-GB"/>
        </w:rPr>
        <w:t>colleagues (</w:t>
      </w:r>
      <w:r w:rsidR="2C43722A" w:rsidRPr="005505E6">
        <w:rPr>
          <w:rFonts w:ascii="Calibri" w:eastAsia="Times New Roman" w:hAnsi="Calibri" w:cs="Calibri"/>
          <w:lang w:val="en-US" w:eastAsia="en-GB"/>
        </w:rPr>
        <w:t>202</w:t>
      </w:r>
      <w:r w:rsidR="00D24218" w:rsidRPr="005505E6">
        <w:rPr>
          <w:rFonts w:ascii="Calibri" w:eastAsia="Times New Roman" w:hAnsi="Calibri" w:cs="Calibri"/>
          <w:lang w:val="en-US" w:eastAsia="en-GB"/>
        </w:rPr>
        <w:t>1</w:t>
      </w:r>
      <w:r w:rsidR="2C43722A" w:rsidRPr="005505E6">
        <w:rPr>
          <w:rFonts w:ascii="Calibri" w:eastAsia="Times New Roman" w:hAnsi="Calibri" w:cs="Calibri"/>
          <w:lang w:val="en-US" w:eastAsia="en-GB"/>
        </w:rPr>
        <w:t xml:space="preserve">), existing eHealth in transplantation studies are fragmented. </w:t>
      </w:r>
    </w:p>
    <w:p w14:paraId="2CACB900" w14:textId="2E42F27C" w:rsidR="00A50EEB" w:rsidRPr="00D33C9F" w:rsidRDefault="00E72348" w:rsidP="00A50EEB">
      <w:pPr>
        <w:spacing w:line="360" w:lineRule="auto"/>
        <w:jc w:val="both"/>
        <w:rPr>
          <w:rFonts w:ascii="Calibri" w:eastAsia="Times New Roman" w:hAnsi="Calibri" w:cs="Calibri"/>
          <w:lang w:val="en-US" w:eastAsia="en-GB"/>
        </w:rPr>
      </w:pPr>
      <w:r w:rsidRPr="26F64964">
        <w:rPr>
          <w:rFonts w:ascii="Calibri" w:eastAsia="Times New Roman" w:hAnsi="Calibri" w:cs="Calibri"/>
          <w:lang w:val="en-US" w:eastAsia="en-GB"/>
        </w:rPr>
        <w:t xml:space="preserve">For this reason, to develop a comprehensive understanding of the benefits and barriers of </w:t>
      </w:r>
      <w:r w:rsidR="002A16D8" w:rsidRPr="26F64964">
        <w:rPr>
          <w:rFonts w:ascii="Calibri" w:eastAsia="Times New Roman" w:hAnsi="Calibri" w:cs="Calibri"/>
          <w:lang w:val="en-US" w:eastAsia="en-GB"/>
        </w:rPr>
        <w:t>eHealth</w:t>
      </w:r>
      <w:r w:rsidRPr="26F64964">
        <w:rPr>
          <w:rFonts w:ascii="Calibri" w:eastAsia="Times New Roman" w:hAnsi="Calibri" w:cs="Calibri"/>
          <w:lang w:val="en-US" w:eastAsia="en-GB"/>
        </w:rPr>
        <w:t xml:space="preserve"> in transplantation, it is essential to </w:t>
      </w:r>
      <w:r w:rsidR="00F3524D" w:rsidRPr="26F64964">
        <w:rPr>
          <w:rFonts w:ascii="Calibri" w:eastAsia="Times New Roman" w:hAnsi="Calibri" w:cs="Calibri"/>
          <w:lang w:val="en-US" w:eastAsia="en-GB"/>
        </w:rPr>
        <w:t xml:space="preserve">analyze, </w:t>
      </w:r>
      <w:r w:rsidRPr="26F64964">
        <w:rPr>
          <w:rFonts w:ascii="Calibri" w:eastAsia="Times New Roman" w:hAnsi="Calibri" w:cs="Calibri"/>
          <w:lang w:val="en-US" w:eastAsia="en-GB"/>
        </w:rPr>
        <w:t xml:space="preserve">and </w:t>
      </w:r>
      <w:r w:rsidR="00F3524D" w:rsidRPr="26F64964">
        <w:rPr>
          <w:rFonts w:ascii="Calibri" w:eastAsia="Times New Roman" w:hAnsi="Calibri" w:cs="Calibri"/>
          <w:lang w:val="en-US" w:eastAsia="en-GB"/>
        </w:rPr>
        <w:t xml:space="preserve">synthesize </w:t>
      </w:r>
      <w:r w:rsidRPr="26F64964">
        <w:rPr>
          <w:rFonts w:ascii="Calibri" w:eastAsia="Times New Roman" w:hAnsi="Calibri" w:cs="Calibri"/>
          <w:lang w:val="en-US" w:eastAsia="en-GB"/>
        </w:rPr>
        <w:t xml:space="preserve">those </w:t>
      </w:r>
      <w:r w:rsidRPr="26F64964">
        <w:rPr>
          <w:rFonts w:ascii="Calibri" w:eastAsia="Times New Roman" w:hAnsi="Calibri" w:cs="Calibri"/>
          <w:highlight w:val="white"/>
          <w:lang w:val="en-US" w:eastAsia="en-GB"/>
        </w:rPr>
        <w:t xml:space="preserve">studies together. </w:t>
      </w:r>
      <w:r w:rsidR="0036483C" w:rsidRPr="00363642">
        <w:rPr>
          <w:rFonts w:ascii="Calibri" w:eastAsia="Times New Roman" w:hAnsi="Calibri" w:cs="Calibri"/>
          <w:lang w:val="en-US" w:eastAsia="en-GB"/>
        </w:rPr>
        <w:t>S</w:t>
      </w:r>
      <w:r w:rsidRPr="00363642">
        <w:rPr>
          <w:rFonts w:ascii="Calibri" w:eastAsia="Times New Roman" w:hAnsi="Calibri" w:cs="Calibri"/>
          <w:lang w:val="en-US" w:eastAsia="en-GB"/>
        </w:rPr>
        <w:t xml:space="preserve">ystematic literature reviews </w:t>
      </w:r>
      <w:r w:rsidR="003B3BFD" w:rsidRPr="00363642">
        <w:rPr>
          <w:rFonts w:ascii="Calibri" w:eastAsia="Times New Roman" w:hAnsi="Calibri" w:cs="Calibri"/>
          <w:lang w:val="en-US" w:eastAsia="en-GB"/>
        </w:rPr>
        <w:t>enable</w:t>
      </w:r>
      <w:r w:rsidRPr="00363642">
        <w:rPr>
          <w:rFonts w:ascii="Calibri" w:eastAsia="Times New Roman" w:hAnsi="Calibri" w:cs="Calibri"/>
          <w:lang w:val="en-US" w:eastAsia="en-GB"/>
        </w:rPr>
        <w:t xml:space="preserve"> researchers </w:t>
      </w:r>
      <w:r w:rsidR="003B3BFD" w:rsidRPr="00363642">
        <w:rPr>
          <w:rFonts w:ascii="Calibri" w:eastAsia="Times New Roman" w:hAnsi="Calibri" w:cs="Calibri"/>
          <w:lang w:val="en-US" w:eastAsia="en-GB"/>
        </w:rPr>
        <w:t>to synthesize</w:t>
      </w:r>
      <w:r w:rsidRPr="00363642">
        <w:rPr>
          <w:rFonts w:ascii="Calibri" w:eastAsia="Times New Roman" w:hAnsi="Calibri" w:cs="Calibri"/>
          <w:lang w:val="en-US" w:eastAsia="en-GB"/>
        </w:rPr>
        <w:t xml:space="preserve"> existing </w:t>
      </w:r>
      <w:r w:rsidR="0036483C" w:rsidRPr="00363642">
        <w:rPr>
          <w:rFonts w:ascii="Calibri" w:eastAsia="Times New Roman" w:hAnsi="Calibri" w:cs="Calibri"/>
          <w:lang w:val="en-US" w:eastAsia="en-GB"/>
        </w:rPr>
        <w:t>literature</w:t>
      </w:r>
      <w:r w:rsidRPr="00363642">
        <w:rPr>
          <w:rFonts w:ascii="Calibri" w:eastAsia="Times New Roman" w:hAnsi="Calibri" w:cs="Calibri"/>
          <w:lang w:val="en-US" w:eastAsia="en-GB"/>
        </w:rPr>
        <w:t xml:space="preserve"> and identify gaps in prior research (</w:t>
      </w:r>
      <w:r w:rsidRPr="00CF62C7">
        <w:rPr>
          <w:rFonts w:ascii="Calibri" w:eastAsia="Times New Roman" w:hAnsi="Calibri" w:cs="Calibri"/>
          <w:lang w:val="en-US" w:eastAsia="en-GB"/>
        </w:rPr>
        <w:t>Paré et al., 2015).</w:t>
      </w:r>
      <w:r w:rsidRPr="26F64964">
        <w:rPr>
          <w:rFonts w:ascii="Calibri" w:eastAsia="Times New Roman" w:hAnsi="Calibri" w:cs="Calibri"/>
          <w:lang w:val="en-US" w:eastAsia="en-GB"/>
        </w:rPr>
        <w:t xml:space="preserve"> </w:t>
      </w:r>
      <w:r w:rsidR="00CF62C7" w:rsidRPr="00CF62C7">
        <w:rPr>
          <w:rFonts w:ascii="Calibri" w:eastAsia="Times New Roman" w:hAnsi="Calibri" w:cs="Calibri"/>
          <w:lang w:val="en-US" w:eastAsia="en-GB"/>
        </w:rPr>
        <w:t xml:space="preserve">Therefore, this study aims to systematically review </w:t>
      </w:r>
      <w:r w:rsidR="0036483C">
        <w:rPr>
          <w:rFonts w:ascii="Calibri" w:eastAsia="Times New Roman" w:hAnsi="Calibri" w:cs="Calibri"/>
          <w:lang w:val="en-US" w:eastAsia="en-GB"/>
        </w:rPr>
        <w:t>prior studies</w:t>
      </w:r>
      <w:r w:rsidR="00CF62C7" w:rsidRPr="00CF62C7">
        <w:rPr>
          <w:rFonts w:ascii="Calibri" w:eastAsia="Times New Roman" w:hAnsi="Calibri" w:cs="Calibri"/>
          <w:lang w:val="en-US" w:eastAsia="en-GB"/>
        </w:rPr>
        <w:t xml:space="preserve"> and </w:t>
      </w:r>
      <w:r w:rsidR="002D6417">
        <w:rPr>
          <w:rFonts w:ascii="Calibri" w:eastAsia="Times New Roman" w:hAnsi="Calibri" w:cs="Calibri"/>
          <w:lang w:val="en-US" w:eastAsia="en-GB"/>
        </w:rPr>
        <w:t>categorize</w:t>
      </w:r>
      <w:r w:rsidR="00CF62C7" w:rsidRPr="00CF62C7">
        <w:rPr>
          <w:rFonts w:ascii="Calibri" w:eastAsia="Times New Roman" w:hAnsi="Calibri" w:cs="Calibri"/>
          <w:lang w:val="en-US" w:eastAsia="en-GB"/>
        </w:rPr>
        <w:t xml:space="preserve"> the factors examined in </w:t>
      </w:r>
      <w:r w:rsidR="0036483C">
        <w:rPr>
          <w:rFonts w:ascii="Calibri" w:eastAsia="Times New Roman" w:hAnsi="Calibri" w:cs="Calibri"/>
          <w:lang w:val="en-US" w:eastAsia="en-GB"/>
        </w:rPr>
        <w:t>existing literature</w:t>
      </w:r>
      <w:r w:rsidR="00CF62C7" w:rsidRPr="00CF62C7">
        <w:rPr>
          <w:rFonts w:ascii="Calibri" w:eastAsia="Times New Roman" w:hAnsi="Calibri" w:cs="Calibri"/>
          <w:lang w:val="en-US" w:eastAsia="en-GB"/>
        </w:rPr>
        <w:t xml:space="preserve"> that influence the use and integration of eHealth in transplant care. </w:t>
      </w:r>
      <w:r w:rsidR="00300C98" w:rsidRPr="26F64964">
        <w:rPr>
          <w:rFonts w:ascii="Calibri" w:hAnsi="Calibri" w:cs="Calibri"/>
          <w:lang w:val="en-US"/>
        </w:rPr>
        <w:t xml:space="preserve">By examining a wide array of studies, this review </w:t>
      </w:r>
      <w:r w:rsidR="00EC0DFF" w:rsidRPr="26F64964">
        <w:rPr>
          <w:rFonts w:ascii="Calibri" w:hAnsi="Calibri" w:cs="Calibri"/>
          <w:lang w:val="en-US"/>
        </w:rPr>
        <w:t xml:space="preserve">will </w:t>
      </w:r>
      <w:r w:rsidR="00300C98" w:rsidRPr="26F64964">
        <w:rPr>
          <w:rFonts w:ascii="Calibri" w:hAnsi="Calibri" w:cs="Calibri"/>
          <w:lang w:val="en-US"/>
        </w:rPr>
        <w:t>identi</w:t>
      </w:r>
      <w:r w:rsidR="00EC0DFF" w:rsidRPr="26F64964">
        <w:rPr>
          <w:rFonts w:ascii="Calibri" w:hAnsi="Calibri" w:cs="Calibri"/>
          <w:lang w:val="en-US"/>
        </w:rPr>
        <w:t>fy</w:t>
      </w:r>
      <w:r w:rsidR="00300C98" w:rsidRPr="26F64964">
        <w:rPr>
          <w:rFonts w:ascii="Calibri" w:hAnsi="Calibri" w:cs="Calibri"/>
          <w:lang w:val="en-US"/>
        </w:rPr>
        <w:t xml:space="preserve"> and consolidate the factors contributing to the successful implementation of </w:t>
      </w:r>
      <w:r w:rsidR="002A16D8" w:rsidRPr="26F64964">
        <w:rPr>
          <w:rFonts w:ascii="Calibri" w:hAnsi="Calibri" w:cs="Calibri"/>
          <w:lang w:val="en-US"/>
        </w:rPr>
        <w:t>eHealth</w:t>
      </w:r>
      <w:r w:rsidR="00300C98" w:rsidRPr="26F64964">
        <w:rPr>
          <w:rFonts w:ascii="Calibri" w:hAnsi="Calibri" w:cs="Calibri"/>
          <w:lang w:val="en-US"/>
        </w:rPr>
        <w:t xml:space="preserve"> tools, such as telemedicine, </w:t>
      </w:r>
      <w:r w:rsidR="00300C98" w:rsidRPr="26F64964">
        <w:rPr>
          <w:rFonts w:ascii="Calibri" w:hAnsi="Calibri" w:cs="Calibri"/>
          <w:highlight w:val="white"/>
          <w:lang w:val="en-US"/>
        </w:rPr>
        <w:t xml:space="preserve">mobile </w:t>
      </w:r>
      <w:r w:rsidR="003032DD" w:rsidRPr="26F64964">
        <w:rPr>
          <w:rFonts w:ascii="Calibri" w:hAnsi="Calibri" w:cs="Calibri"/>
          <w:highlight w:val="white"/>
          <w:lang w:val="en-US"/>
        </w:rPr>
        <w:t>health,</w:t>
      </w:r>
      <w:r w:rsidR="00300C98" w:rsidRPr="26F64964">
        <w:rPr>
          <w:rFonts w:ascii="Calibri" w:hAnsi="Calibri" w:cs="Calibri"/>
          <w:highlight w:val="white"/>
          <w:lang w:val="en-US"/>
        </w:rPr>
        <w:t xml:space="preserve"> and electronic</w:t>
      </w:r>
      <w:r w:rsidR="00300C98" w:rsidRPr="26F64964">
        <w:rPr>
          <w:rFonts w:ascii="Calibri" w:hAnsi="Calibri" w:cs="Calibri"/>
          <w:lang w:val="en-US"/>
        </w:rPr>
        <w:t xml:space="preserve"> health records, </w:t>
      </w:r>
      <w:r w:rsidR="00EC0DFF" w:rsidRPr="26F64964">
        <w:rPr>
          <w:rFonts w:ascii="Calibri" w:hAnsi="Calibri" w:cs="Calibri"/>
          <w:lang w:val="en-US"/>
        </w:rPr>
        <w:t>within transplantation</w:t>
      </w:r>
      <w:r w:rsidR="00300C98" w:rsidRPr="26F64964">
        <w:rPr>
          <w:rFonts w:ascii="Calibri" w:hAnsi="Calibri" w:cs="Calibri"/>
          <w:lang w:val="en-US"/>
        </w:rPr>
        <w:t xml:space="preserve">. Understanding these facilitators </w:t>
      </w:r>
      <w:r w:rsidR="00EC0DFF" w:rsidRPr="26F64964">
        <w:rPr>
          <w:rFonts w:ascii="Calibri" w:hAnsi="Calibri" w:cs="Calibri"/>
          <w:lang w:val="en-US"/>
        </w:rPr>
        <w:t xml:space="preserve">will </w:t>
      </w:r>
      <w:r w:rsidR="00300C98" w:rsidRPr="26F64964">
        <w:rPr>
          <w:rFonts w:ascii="Calibri" w:hAnsi="Calibri" w:cs="Calibri"/>
          <w:lang w:val="en-US"/>
        </w:rPr>
        <w:t>allow</w:t>
      </w:r>
      <w:r w:rsidR="00EC0DFF" w:rsidRPr="26F64964">
        <w:rPr>
          <w:rFonts w:ascii="Calibri" w:hAnsi="Calibri" w:cs="Calibri"/>
          <w:lang w:val="en-US"/>
        </w:rPr>
        <w:t xml:space="preserve"> </w:t>
      </w:r>
      <w:r w:rsidR="00300C98" w:rsidRPr="26F64964">
        <w:rPr>
          <w:rFonts w:ascii="Calibri" w:hAnsi="Calibri" w:cs="Calibri"/>
          <w:lang w:val="en-US"/>
        </w:rPr>
        <w:t xml:space="preserve">healthcare professionals and policymakers to leverage strengths and best practices to optimize patient care and outcomes. Simultaneously, the review </w:t>
      </w:r>
      <w:r w:rsidR="00EC0DFF" w:rsidRPr="26F64964">
        <w:rPr>
          <w:rFonts w:ascii="Calibri" w:hAnsi="Calibri" w:cs="Calibri"/>
          <w:lang w:val="en-US"/>
        </w:rPr>
        <w:t xml:space="preserve">will also </w:t>
      </w:r>
      <w:r w:rsidR="00300C98" w:rsidRPr="26F64964">
        <w:rPr>
          <w:rFonts w:ascii="Calibri" w:hAnsi="Calibri" w:cs="Calibri"/>
          <w:lang w:val="en-US"/>
        </w:rPr>
        <w:t xml:space="preserve">shed light on inhibitors and challenges hindering the seamless adoption of </w:t>
      </w:r>
      <w:r w:rsidR="002A16D8" w:rsidRPr="26F64964">
        <w:rPr>
          <w:rFonts w:ascii="Calibri" w:hAnsi="Calibri" w:cs="Calibri"/>
          <w:lang w:val="en-US"/>
        </w:rPr>
        <w:t>eHealth</w:t>
      </w:r>
      <w:r w:rsidR="00300C98" w:rsidRPr="26F64964">
        <w:rPr>
          <w:rFonts w:ascii="Calibri" w:hAnsi="Calibri" w:cs="Calibri"/>
          <w:lang w:val="en-US"/>
        </w:rPr>
        <w:t>, including technological barriers, privacy concerns, end-user challenges</w:t>
      </w:r>
      <w:r w:rsidR="00472CB1" w:rsidRPr="26F64964">
        <w:rPr>
          <w:rFonts w:ascii="Calibri" w:hAnsi="Calibri" w:cs="Calibri"/>
          <w:lang w:val="en-US"/>
        </w:rPr>
        <w:t>,</w:t>
      </w:r>
      <w:r w:rsidR="00300C98" w:rsidRPr="26F64964">
        <w:rPr>
          <w:rFonts w:ascii="Calibri" w:hAnsi="Calibri" w:cs="Calibri"/>
          <w:lang w:val="en-US"/>
        </w:rPr>
        <w:t xml:space="preserve"> and disparities in access. Identifying these inhibitors </w:t>
      </w:r>
      <w:r w:rsidR="00EC0DFF" w:rsidRPr="26F64964">
        <w:rPr>
          <w:rFonts w:ascii="Calibri" w:hAnsi="Calibri" w:cs="Calibri"/>
          <w:lang w:val="en-US"/>
        </w:rPr>
        <w:t>will be</w:t>
      </w:r>
      <w:r w:rsidR="00300C98" w:rsidRPr="26F64964">
        <w:rPr>
          <w:rFonts w:ascii="Calibri" w:hAnsi="Calibri" w:cs="Calibri"/>
          <w:lang w:val="en-US"/>
        </w:rPr>
        <w:t xml:space="preserve"> crucial as it directs attention towards addressing these barriers through targeted interventions, innovation, and policy changes, </w:t>
      </w:r>
      <w:r w:rsidR="00EC0DFF" w:rsidRPr="26F64964">
        <w:rPr>
          <w:rFonts w:ascii="Calibri" w:hAnsi="Calibri" w:cs="Calibri"/>
          <w:lang w:val="en-US"/>
        </w:rPr>
        <w:t>to make</w:t>
      </w:r>
      <w:r w:rsidR="00300C98" w:rsidRPr="26F64964">
        <w:rPr>
          <w:rFonts w:ascii="Calibri" w:hAnsi="Calibri" w:cs="Calibri"/>
          <w:lang w:val="en-US"/>
        </w:rPr>
        <w:t xml:space="preserve"> way for more effective and equitable integration of </w:t>
      </w:r>
      <w:r w:rsidR="002A16D8" w:rsidRPr="26F64964">
        <w:rPr>
          <w:rFonts w:ascii="Calibri" w:hAnsi="Calibri" w:cs="Calibri"/>
          <w:lang w:val="en-US"/>
        </w:rPr>
        <w:t>eHealth</w:t>
      </w:r>
      <w:r w:rsidR="00300C98" w:rsidRPr="26F64964">
        <w:rPr>
          <w:rFonts w:ascii="Calibri" w:hAnsi="Calibri" w:cs="Calibri"/>
          <w:lang w:val="en-US"/>
        </w:rPr>
        <w:t xml:space="preserve"> solutions in transplant care.</w:t>
      </w:r>
      <w:r w:rsidR="00A06EF6" w:rsidRPr="26F64964">
        <w:rPr>
          <w:rFonts w:ascii="Calibri" w:eastAsia="Times New Roman" w:hAnsi="Calibri" w:cs="Calibri"/>
          <w:color w:val="7030A0"/>
          <w:lang w:val="en-US" w:eastAsia="en-GB"/>
        </w:rPr>
        <w:t xml:space="preserve"> </w:t>
      </w:r>
      <w:r w:rsidR="00D80971" w:rsidRPr="26F64964">
        <w:rPr>
          <w:rFonts w:ascii="Calibri" w:eastAsia="Times New Roman" w:hAnsi="Calibri" w:cs="Calibri"/>
          <w:color w:val="212121"/>
          <w:lang w:eastAsia="en-GB"/>
        </w:rPr>
        <w:t xml:space="preserve">This investigation into the barriers will </w:t>
      </w:r>
      <w:r w:rsidR="00A06EF6" w:rsidRPr="26F64964">
        <w:rPr>
          <w:rFonts w:ascii="Calibri" w:eastAsia="Times New Roman" w:hAnsi="Calibri" w:cs="Calibri"/>
          <w:color w:val="212121"/>
          <w:lang w:eastAsia="en-GB"/>
        </w:rPr>
        <w:t xml:space="preserve">also </w:t>
      </w:r>
      <w:r w:rsidR="00D80971" w:rsidRPr="26F64964">
        <w:rPr>
          <w:rFonts w:ascii="Calibri" w:eastAsia="Times New Roman" w:hAnsi="Calibri" w:cs="Calibri"/>
          <w:color w:val="212121"/>
          <w:lang w:eastAsia="en-GB"/>
        </w:rPr>
        <w:t xml:space="preserve">help </w:t>
      </w:r>
      <w:r w:rsidR="00A06EF6" w:rsidRPr="26F64964">
        <w:rPr>
          <w:rFonts w:ascii="Calibri" w:eastAsia="Times New Roman" w:hAnsi="Calibri" w:cs="Calibri"/>
          <w:color w:val="212121"/>
          <w:lang w:eastAsia="en-GB"/>
        </w:rPr>
        <w:t>build</w:t>
      </w:r>
      <w:r w:rsidR="00D80971" w:rsidRPr="26F64964">
        <w:rPr>
          <w:rFonts w:ascii="Calibri" w:eastAsia="Times New Roman" w:hAnsi="Calibri" w:cs="Calibri"/>
          <w:color w:val="212121"/>
          <w:lang w:eastAsia="en-GB"/>
        </w:rPr>
        <w:t xml:space="preserve"> an overall understanding of the current limitations. Furthermore, th</w:t>
      </w:r>
      <w:r w:rsidR="00BB7FC8" w:rsidRPr="26F64964">
        <w:rPr>
          <w:rFonts w:ascii="Calibri" w:eastAsia="Times New Roman" w:hAnsi="Calibri" w:cs="Calibri"/>
          <w:color w:val="212121"/>
          <w:lang w:eastAsia="en-GB"/>
        </w:rPr>
        <w:t>is</w:t>
      </w:r>
      <w:r w:rsidR="00D80971" w:rsidRPr="26F64964">
        <w:rPr>
          <w:rFonts w:ascii="Calibri" w:eastAsia="Times New Roman" w:hAnsi="Calibri" w:cs="Calibri"/>
          <w:color w:val="212121"/>
          <w:lang w:eastAsia="en-GB"/>
        </w:rPr>
        <w:t xml:space="preserve"> study </w:t>
      </w:r>
      <w:r w:rsidR="00BB7FC8" w:rsidRPr="26F64964">
        <w:rPr>
          <w:rFonts w:ascii="Calibri" w:eastAsia="Times New Roman" w:hAnsi="Calibri" w:cs="Calibri"/>
          <w:color w:val="212121"/>
          <w:lang w:eastAsia="en-GB"/>
        </w:rPr>
        <w:t>will also</w:t>
      </w:r>
      <w:r w:rsidR="00D80971" w:rsidRPr="26F64964">
        <w:rPr>
          <w:rFonts w:ascii="Calibri" w:eastAsia="Times New Roman" w:hAnsi="Calibri" w:cs="Calibri"/>
          <w:color w:val="212121"/>
          <w:lang w:eastAsia="en-GB"/>
        </w:rPr>
        <w:t xml:space="preserve"> explore and outline </w:t>
      </w:r>
      <w:r w:rsidR="00D80971" w:rsidRPr="26F64964">
        <w:rPr>
          <w:rFonts w:ascii="Calibri" w:eastAsia="Times New Roman" w:hAnsi="Calibri" w:cs="Calibri"/>
          <w:color w:val="212121"/>
          <w:lang w:eastAsia="en-GB"/>
        </w:rPr>
        <w:lastRenderedPageBreak/>
        <w:t xml:space="preserve">future prospects, innovations, and potential advancements in </w:t>
      </w:r>
      <w:r w:rsidR="002A16D8" w:rsidRPr="26F64964">
        <w:rPr>
          <w:rFonts w:ascii="Calibri" w:eastAsia="Times New Roman" w:hAnsi="Calibri" w:cs="Calibri"/>
          <w:color w:val="212121"/>
          <w:lang w:eastAsia="en-GB"/>
        </w:rPr>
        <w:t>eHealth</w:t>
      </w:r>
      <w:r w:rsidR="00D80971" w:rsidRPr="26F64964">
        <w:rPr>
          <w:rFonts w:ascii="Calibri" w:eastAsia="Times New Roman" w:hAnsi="Calibri" w:cs="Calibri"/>
          <w:color w:val="212121"/>
          <w:lang w:eastAsia="en-GB"/>
        </w:rPr>
        <w:t xml:space="preserve"> technologies that could revolutionize and enhance transplant care, providing insights crucial for shaping the future landscape of healthcare delivery in transplantation.</w:t>
      </w:r>
      <w:r w:rsidR="00A50EEB" w:rsidRPr="26F64964">
        <w:rPr>
          <w:rFonts w:ascii="Calibri" w:eastAsia="Times New Roman" w:hAnsi="Calibri" w:cs="Calibri"/>
          <w:color w:val="212121"/>
          <w:lang w:eastAsia="en-GB"/>
        </w:rPr>
        <w:t xml:space="preserve"> To guide this study, </w:t>
      </w:r>
      <w:r w:rsidR="00472CB1" w:rsidRPr="26F64964">
        <w:rPr>
          <w:rFonts w:ascii="Calibri" w:eastAsia="Times New Roman" w:hAnsi="Calibri" w:cs="Calibri"/>
          <w:color w:val="212121"/>
          <w:lang w:eastAsia="en-GB"/>
        </w:rPr>
        <w:t xml:space="preserve">we </w:t>
      </w:r>
      <w:r w:rsidR="00222CCE" w:rsidRPr="26F64964">
        <w:rPr>
          <w:rFonts w:ascii="Calibri" w:eastAsia="Times New Roman" w:hAnsi="Calibri" w:cs="Calibri"/>
          <w:color w:val="212121"/>
          <w:lang w:eastAsia="en-GB"/>
        </w:rPr>
        <w:t xml:space="preserve">will explore the </w:t>
      </w:r>
      <w:r w:rsidR="00222CCE" w:rsidRPr="00D33C9F">
        <w:rPr>
          <w:rFonts w:ascii="Calibri" w:eastAsia="Times New Roman" w:hAnsi="Calibri" w:cs="Calibri"/>
          <w:highlight w:val="white"/>
          <w:lang w:eastAsia="en-GB"/>
        </w:rPr>
        <w:t>answers to the</w:t>
      </w:r>
      <w:r w:rsidR="00472CB1" w:rsidRPr="00D33C9F">
        <w:rPr>
          <w:rFonts w:ascii="Calibri" w:eastAsia="Times New Roman" w:hAnsi="Calibri" w:cs="Calibri"/>
          <w:highlight w:val="white"/>
          <w:lang w:eastAsia="en-GB"/>
        </w:rPr>
        <w:t xml:space="preserve"> </w:t>
      </w:r>
      <w:r w:rsidR="00A50EEB" w:rsidRPr="00D33C9F">
        <w:rPr>
          <w:rFonts w:ascii="Calibri" w:eastAsia="Times New Roman" w:hAnsi="Calibri" w:cs="Calibri"/>
          <w:highlight w:val="white"/>
          <w:lang w:eastAsia="en-GB"/>
        </w:rPr>
        <w:t>following research questions:</w:t>
      </w:r>
    </w:p>
    <w:p w14:paraId="20DA8960" w14:textId="0AA9A848" w:rsidR="00771FC0" w:rsidRPr="00D33C9F" w:rsidRDefault="00FA1369" w:rsidP="006C513D">
      <w:pPr>
        <w:pStyle w:val="ListParagraph"/>
        <w:numPr>
          <w:ilvl w:val="0"/>
          <w:numId w:val="21"/>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How do digital health tools support or inhibit health outcomes among transplant patients?</w:t>
      </w:r>
    </w:p>
    <w:p w14:paraId="5F07AA1D" w14:textId="77777777" w:rsidR="00CD7075" w:rsidRPr="00D33C9F" w:rsidRDefault="006A408B" w:rsidP="00CD7075">
      <w:p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E</w:t>
      </w:r>
      <w:r w:rsidR="002436B5" w:rsidRPr="00D33C9F">
        <w:rPr>
          <w:rFonts w:ascii="Calibri" w:eastAsia="Times New Roman" w:hAnsi="Calibri" w:cs="Calibri"/>
          <w:lang w:val="en-GB" w:eastAsia="en-GB"/>
        </w:rPr>
        <w:t xml:space="preserve">xpected Outcome: </w:t>
      </w:r>
    </w:p>
    <w:p w14:paraId="50C44955" w14:textId="17E758F8" w:rsidR="00CD7075" w:rsidRPr="00D33C9F" w:rsidRDefault="002436B5" w:rsidP="0022646B">
      <w:pPr>
        <w:pStyle w:val="ListParagraph"/>
        <w:numPr>
          <w:ilvl w:val="0"/>
          <w:numId w:val="37"/>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Identify digital health tools used in transplant </w:t>
      </w:r>
      <w:r w:rsidR="00CD7075" w:rsidRPr="00D33C9F">
        <w:rPr>
          <w:rFonts w:ascii="Calibri" w:eastAsia="Times New Roman" w:hAnsi="Calibri" w:cs="Calibri"/>
          <w:lang w:val="en-GB" w:eastAsia="en-GB"/>
        </w:rPr>
        <w:t>care.</w:t>
      </w:r>
    </w:p>
    <w:p w14:paraId="0355E28C" w14:textId="5A23C53B" w:rsidR="00CD7075" w:rsidRPr="00D33C9F" w:rsidRDefault="00CD7075" w:rsidP="0022646B">
      <w:pPr>
        <w:pStyle w:val="ListParagraph"/>
        <w:numPr>
          <w:ilvl w:val="0"/>
          <w:numId w:val="37"/>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E</w:t>
      </w:r>
      <w:r w:rsidR="005D4F9D" w:rsidRPr="00D33C9F">
        <w:rPr>
          <w:rFonts w:ascii="Calibri" w:eastAsia="Times New Roman" w:hAnsi="Calibri" w:cs="Calibri"/>
          <w:lang w:val="en-GB" w:eastAsia="en-GB"/>
        </w:rPr>
        <w:t xml:space="preserve">valuate the impact of digital health tools on various health </w:t>
      </w:r>
      <w:r w:rsidRPr="00D33C9F">
        <w:rPr>
          <w:rFonts w:ascii="Calibri" w:eastAsia="Times New Roman" w:hAnsi="Calibri" w:cs="Calibri"/>
          <w:lang w:val="en-GB" w:eastAsia="en-GB"/>
        </w:rPr>
        <w:t>outcomes.</w:t>
      </w:r>
    </w:p>
    <w:p w14:paraId="04DFC543" w14:textId="585FD414" w:rsidR="002436B5" w:rsidRPr="00D33C9F" w:rsidRDefault="00CD7075" w:rsidP="0022646B">
      <w:pPr>
        <w:pStyle w:val="ListParagraph"/>
        <w:numPr>
          <w:ilvl w:val="0"/>
          <w:numId w:val="37"/>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Determine factors contributing to the effectiveness or ineffectiveness of digital health tools in improving health outcomes among transplant patients. </w:t>
      </w:r>
    </w:p>
    <w:p w14:paraId="1060ADE0" w14:textId="4621BC28" w:rsidR="00A50EEB" w:rsidRPr="00D33C9F" w:rsidRDefault="00A50EEB" w:rsidP="002A2F3D">
      <w:pPr>
        <w:numPr>
          <w:ilvl w:val="0"/>
          <w:numId w:val="21"/>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What are the predominant barriers hindering widespread adoption of digital health tools among different user groups (e.g., patients, </w:t>
      </w:r>
      <w:r w:rsidR="004C2691" w:rsidRPr="00D33C9F">
        <w:rPr>
          <w:rFonts w:ascii="Calibri" w:eastAsia="Times New Roman" w:hAnsi="Calibri" w:cs="Calibri"/>
          <w:lang w:val="en-GB" w:eastAsia="en-GB"/>
        </w:rPr>
        <w:t xml:space="preserve">and </w:t>
      </w:r>
      <w:r w:rsidRPr="00D33C9F">
        <w:rPr>
          <w:rFonts w:ascii="Calibri" w:eastAsia="Times New Roman" w:hAnsi="Calibri" w:cs="Calibri"/>
          <w:lang w:val="en-GB" w:eastAsia="en-GB"/>
        </w:rPr>
        <w:t>healthcare providers)?</w:t>
      </w:r>
    </w:p>
    <w:p w14:paraId="1879AA1B" w14:textId="52F2C8FD" w:rsidR="00CD7075" w:rsidRPr="00D33C9F" w:rsidRDefault="00CD7075" w:rsidP="00CD7075">
      <w:p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Expected Outcome:</w:t>
      </w:r>
    </w:p>
    <w:p w14:paraId="1D0428B7" w14:textId="493615B9" w:rsidR="00CD7075" w:rsidRPr="00D33C9F" w:rsidRDefault="00D37A7D" w:rsidP="00CD7075">
      <w:pPr>
        <w:pStyle w:val="ListParagraph"/>
        <w:numPr>
          <w:ilvl w:val="0"/>
          <w:numId w:val="34"/>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Identify barriers to adoption of digital health tools among transplant patients, healthcare providers and other stakeholder</w:t>
      </w:r>
      <w:r w:rsidR="00A41CA0" w:rsidRPr="00D33C9F">
        <w:rPr>
          <w:rFonts w:ascii="Calibri" w:eastAsia="Times New Roman" w:hAnsi="Calibri" w:cs="Calibri"/>
          <w:lang w:val="en-GB" w:eastAsia="en-GB"/>
        </w:rPr>
        <w:t>s.</w:t>
      </w:r>
    </w:p>
    <w:p w14:paraId="4F33F93D" w14:textId="389B2ECF" w:rsidR="00A41CA0" w:rsidRPr="00D33C9F" w:rsidRDefault="00A41CA0" w:rsidP="00E5536D">
      <w:pPr>
        <w:pStyle w:val="ListParagraph"/>
        <w:numPr>
          <w:ilvl w:val="0"/>
          <w:numId w:val="34"/>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Examine the influence of factors such as usability, accessibility, cost, privacy concerns and organisational culture on adoption </w:t>
      </w:r>
      <w:r w:rsidR="00E5536D" w:rsidRPr="00D33C9F">
        <w:rPr>
          <w:rFonts w:ascii="Calibri" w:eastAsia="Times New Roman" w:hAnsi="Calibri" w:cs="Calibri"/>
          <w:lang w:val="en-GB" w:eastAsia="en-GB"/>
        </w:rPr>
        <w:t>barriers.</w:t>
      </w:r>
    </w:p>
    <w:p w14:paraId="7841CDD9" w14:textId="0B3AD2A2" w:rsidR="002D21C5" w:rsidRPr="00D33C9F" w:rsidRDefault="00FC29C6" w:rsidP="002D21C5">
      <w:pPr>
        <w:numPr>
          <w:ilvl w:val="0"/>
          <w:numId w:val="21"/>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What are </w:t>
      </w:r>
      <w:r w:rsidR="004427F3" w:rsidRPr="00D33C9F">
        <w:rPr>
          <w:rFonts w:ascii="Calibri" w:eastAsia="Times New Roman" w:hAnsi="Calibri" w:cs="Calibri"/>
          <w:lang w:val="en-GB" w:eastAsia="en-GB"/>
        </w:rPr>
        <w:t xml:space="preserve">the </w:t>
      </w:r>
      <w:r w:rsidRPr="00D33C9F">
        <w:rPr>
          <w:rFonts w:ascii="Calibri" w:eastAsia="Times New Roman" w:hAnsi="Calibri" w:cs="Calibri"/>
          <w:lang w:val="en-GB" w:eastAsia="en-GB"/>
        </w:rPr>
        <w:t xml:space="preserve">key considerations for the development of </w:t>
      </w:r>
      <w:r w:rsidR="002A16D8" w:rsidRPr="00D33C9F">
        <w:rPr>
          <w:rFonts w:ascii="Calibri" w:eastAsia="Times New Roman" w:hAnsi="Calibri" w:cs="Calibri"/>
          <w:lang w:val="en-GB" w:eastAsia="en-GB"/>
        </w:rPr>
        <w:t>eHealth</w:t>
      </w:r>
      <w:r w:rsidRPr="00D33C9F">
        <w:rPr>
          <w:rFonts w:ascii="Calibri" w:eastAsia="Times New Roman" w:hAnsi="Calibri" w:cs="Calibri"/>
          <w:lang w:val="en-GB" w:eastAsia="en-GB"/>
        </w:rPr>
        <w:t xml:space="preserve"> intervention</w:t>
      </w:r>
      <w:r w:rsidR="008C1D21" w:rsidRPr="00D33C9F">
        <w:rPr>
          <w:rFonts w:ascii="Calibri" w:eastAsia="Times New Roman" w:hAnsi="Calibri" w:cs="Calibri"/>
          <w:lang w:val="en-GB" w:eastAsia="en-GB"/>
        </w:rPr>
        <w:t>s</w:t>
      </w:r>
      <w:r w:rsidR="002104B0" w:rsidRPr="00D33C9F">
        <w:rPr>
          <w:rFonts w:ascii="Calibri" w:eastAsia="Times New Roman" w:hAnsi="Calibri" w:cs="Calibri"/>
          <w:lang w:val="en-GB" w:eastAsia="en-GB"/>
        </w:rPr>
        <w:t xml:space="preserve"> for transplant patients</w:t>
      </w:r>
      <w:r w:rsidR="008C1D21" w:rsidRPr="00D33C9F">
        <w:rPr>
          <w:rFonts w:ascii="Calibri" w:eastAsia="Times New Roman" w:hAnsi="Calibri" w:cs="Calibri"/>
          <w:lang w:val="en-GB" w:eastAsia="en-GB"/>
        </w:rPr>
        <w:t>?</w:t>
      </w:r>
      <w:r w:rsidR="002D21C5" w:rsidRPr="00D33C9F">
        <w:rPr>
          <w:rFonts w:ascii="Calibri" w:eastAsia="Times New Roman" w:hAnsi="Calibri" w:cs="Calibri"/>
          <w:lang w:val="en-GB" w:eastAsia="en-GB"/>
        </w:rPr>
        <w:t xml:space="preserve"> </w:t>
      </w:r>
    </w:p>
    <w:p w14:paraId="0FD8D1A5" w14:textId="69550318" w:rsidR="00E5536D" w:rsidRPr="00D33C9F" w:rsidRDefault="00E5536D" w:rsidP="00E5536D">
      <w:p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Expected Outcome:</w:t>
      </w:r>
    </w:p>
    <w:p w14:paraId="196D718A" w14:textId="2592A42A" w:rsidR="00E5536D" w:rsidRPr="00D33C9F" w:rsidRDefault="00E5536D" w:rsidP="00E5536D">
      <w:pPr>
        <w:pStyle w:val="ListParagraph"/>
        <w:numPr>
          <w:ilvl w:val="0"/>
          <w:numId w:val="34"/>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Identify key considerations for the design, development and implementation of eHealth interventions tailored to the needs of transplant patients. </w:t>
      </w:r>
    </w:p>
    <w:p w14:paraId="696EB849" w14:textId="6ADDE700" w:rsidR="003231D9" w:rsidRPr="00D33C9F" w:rsidRDefault="003231D9" w:rsidP="00E5536D">
      <w:pPr>
        <w:pStyle w:val="ListParagraph"/>
        <w:numPr>
          <w:ilvl w:val="0"/>
          <w:numId w:val="34"/>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Identify best practices for </w:t>
      </w:r>
      <w:r w:rsidR="00454542" w:rsidRPr="00D33C9F">
        <w:rPr>
          <w:rFonts w:ascii="Calibri" w:eastAsia="Times New Roman" w:hAnsi="Calibri" w:cs="Calibri"/>
          <w:lang w:val="en-GB" w:eastAsia="en-GB"/>
        </w:rPr>
        <w:t xml:space="preserve">developing eHealth interventions for transplant </w:t>
      </w:r>
      <w:r w:rsidR="002E6396" w:rsidRPr="00D33C9F">
        <w:rPr>
          <w:rFonts w:ascii="Calibri" w:eastAsia="Times New Roman" w:hAnsi="Calibri" w:cs="Calibri"/>
          <w:lang w:val="en-GB" w:eastAsia="en-GB"/>
        </w:rPr>
        <w:t>patients.</w:t>
      </w:r>
    </w:p>
    <w:p w14:paraId="2B49FC9D" w14:textId="0D9BAC1C" w:rsidR="00A50EEB" w:rsidRPr="00D33C9F" w:rsidRDefault="00630309" w:rsidP="002D21C5">
      <w:pPr>
        <w:numPr>
          <w:ilvl w:val="0"/>
          <w:numId w:val="21"/>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Who</w:t>
      </w:r>
      <w:r w:rsidR="002D21C5" w:rsidRPr="00D33C9F">
        <w:rPr>
          <w:rFonts w:ascii="Calibri" w:eastAsia="Times New Roman" w:hAnsi="Calibri" w:cs="Calibri"/>
          <w:lang w:val="en-GB" w:eastAsia="en-GB"/>
        </w:rPr>
        <w:t xml:space="preserve"> are the different </w:t>
      </w:r>
      <w:r w:rsidR="0083454D" w:rsidRPr="00D33C9F">
        <w:rPr>
          <w:rFonts w:ascii="Calibri" w:eastAsia="Times New Roman" w:hAnsi="Calibri" w:cs="Calibri"/>
          <w:lang w:val="en-GB" w:eastAsia="en-GB"/>
        </w:rPr>
        <w:t>groups</w:t>
      </w:r>
      <w:r w:rsidR="002D21C5" w:rsidRPr="00D33C9F">
        <w:rPr>
          <w:rFonts w:ascii="Calibri" w:eastAsia="Times New Roman" w:hAnsi="Calibri" w:cs="Calibri"/>
          <w:lang w:val="en-GB" w:eastAsia="en-GB"/>
        </w:rPr>
        <w:t xml:space="preserve"> of users for e</w:t>
      </w:r>
      <w:r w:rsidR="00FC29C6" w:rsidRPr="00D33C9F">
        <w:rPr>
          <w:rFonts w:ascii="Calibri" w:eastAsia="Times New Roman" w:hAnsi="Calibri" w:cs="Calibri"/>
          <w:lang w:val="en-GB" w:eastAsia="en-GB"/>
        </w:rPr>
        <w:t>H</w:t>
      </w:r>
      <w:r w:rsidR="002D21C5" w:rsidRPr="00D33C9F">
        <w:rPr>
          <w:rFonts w:ascii="Calibri" w:eastAsia="Times New Roman" w:hAnsi="Calibri" w:cs="Calibri"/>
          <w:lang w:val="en-GB" w:eastAsia="en-GB"/>
        </w:rPr>
        <w:t>ealth devices?</w:t>
      </w:r>
    </w:p>
    <w:p w14:paraId="3D67CEE8" w14:textId="771E8CFE" w:rsidR="00E666BA" w:rsidRPr="00D33C9F" w:rsidRDefault="00E666BA" w:rsidP="00E666BA">
      <w:p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Expected Outcome:</w:t>
      </w:r>
    </w:p>
    <w:p w14:paraId="15D77EF0" w14:textId="18C6BE95" w:rsidR="00E666BA" w:rsidRPr="00D33C9F" w:rsidRDefault="00E666BA" w:rsidP="00E666BA">
      <w:pPr>
        <w:pStyle w:val="ListParagraph"/>
        <w:numPr>
          <w:ilvl w:val="0"/>
          <w:numId w:val="34"/>
        </w:numPr>
        <w:spacing w:line="240" w:lineRule="auto"/>
        <w:jc w:val="both"/>
        <w:rPr>
          <w:rFonts w:ascii="Calibri" w:eastAsia="Times New Roman" w:hAnsi="Calibri" w:cs="Calibri"/>
          <w:lang w:val="en-GB" w:eastAsia="en-GB"/>
        </w:rPr>
      </w:pPr>
      <w:r w:rsidRPr="00D33C9F">
        <w:rPr>
          <w:rFonts w:ascii="Calibri" w:eastAsia="Times New Roman" w:hAnsi="Calibri" w:cs="Calibri"/>
          <w:lang w:val="en-GB" w:eastAsia="en-GB"/>
        </w:rPr>
        <w:t xml:space="preserve">Identify the </w:t>
      </w:r>
      <w:r w:rsidR="00525B5F" w:rsidRPr="00D33C9F">
        <w:rPr>
          <w:rFonts w:ascii="Calibri" w:eastAsia="Times New Roman" w:hAnsi="Calibri" w:cs="Calibri"/>
          <w:lang w:val="en-GB" w:eastAsia="en-GB"/>
        </w:rPr>
        <w:t>diverse groups of users for eHealth devices in the context of transplant care</w:t>
      </w:r>
      <w:r w:rsidR="00D45327" w:rsidRPr="00D33C9F">
        <w:rPr>
          <w:rFonts w:ascii="Calibri" w:eastAsia="Times New Roman" w:hAnsi="Calibri" w:cs="Calibri"/>
          <w:lang w:val="en-GB" w:eastAsia="en-GB"/>
        </w:rPr>
        <w:t>.</w:t>
      </w:r>
    </w:p>
    <w:p w14:paraId="25B32F29" w14:textId="65149B0F" w:rsidR="00AF4D76" w:rsidRPr="00D33C9F" w:rsidRDefault="00A50EEB" w:rsidP="006C513D">
      <w:pPr>
        <w:spacing w:line="360" w:lineRule="auto"/>
        <w:jc w:val="both"/>
        <w:rPr>
          <w:rFonts w:ascii="Calibri" w:eastAsia="Times New Roman" w:hAnsi="Calibri" w:cs="Calibri"/>
          <w:lang w:eastAsia="en-GB"/>
        </w:rPr>
      </w:pPr>
      <w:r w:rsidRPr="00D33C9F">
        <w:rPr>
          <w:rFonts w:ascii="Calibri" w:eastAsia="Times New Roman" w:hAnsi="Calibri" w:cs="Calibri"/>
          <w:highlight w:val="white"/>
          <w:lang w:eastAsia="en-GB"/>
        </w:rPr>
        <w:t>The rest of the dissertation</w:t>
      </w:r>
      <w:r w:rsidRPr="00D33C9F">
        <w:rPr>
          <w:rFonts w:ascii="Calibri" w:eastAsia="Times New Roman" w:hAnsi="Calibri" w:cs="Calibri"/>
          <w:lang w:eastAsia="en-GB"/>
        </w:rPr>
        <w:t xml:space="preserve"> is organi</w:t>
      </w:r>
      <w:r w:rsidR="008C1D21" w:rsidRPr="00D33C9F">
        <w:rPr>
          <w:rFonts w:ascii="Calibri" w:eastAsia="Times New Roman" w:hAnsi="Calibri" w:cs="Calibri"/>
          <w:lang w:eastAsia="en-GB"/>
        </w:rPr>
        <w:t>z</w:t>
      </w:r>
      <w:r w:rsidRPr="00D33C9F">
        <w:rPr>
          <w:rFonts w:ascii="Calibri" w:eastAsia="Times New Roman" w:hAnsi="Calibri" w:cs="Calibri"/>
          <w:lang w:eastAsia="en-GB"/>
        </w:rPr>
        <w:t xml:space="preserve">ed </w:t>
      </w:r>
      <w:r w:rsidRPr="00D33C9F">
        <w:rPr>
          <w:rFonts w:ascii="Calibri" w:eastAsia="Times New Roman" w:hAnsi="Calibri" w:cs="Calibri"/>
          <w:highlight w:val="white"/>
          <w:lang w:eastAsia="en-GB"/>
        </w:rPr>
        <w:t xml:space="preserve">into </w:t>
      </w:r>
      <w:r w:rsidR="008C1D21" w:rsidRPr="00D33C9F">
        <w:rPr>
          <w:rFonts w:ascii="Calibri" w:eastAsia="Times New Roman" w:hAnsi="Calibri" w:cs="Calibri"/>
          <w:highlight w:val="white"/>
          <w:lang w:eastAsia="en-GB"/>
        </w:rPr>
        <w:t>five</w:t>
      </w:r>
      <w:r w:rsidRPr="00D33C9F">
        <w:rPr>
          <w:rFonts w:ascii="Calibri" w:eastAsia="Times New Roman" w:hAnsi="Calibri" w:cs="Calibri"/>
          <w:highlight w:val="white"/>
          <w:lang w:eastAsia="en-GB"/>
        </w:rPr>
        <w:t xml:space="preserve"> chapters. Chapter 2 presents the</w:t>
      </w:r>
      <w:r w:rsidRPr="00D33C9F">
        <w:rPr>
          <w:rFonts w:ascii="Calibri" w:eastAsia="Times New Roman" w:hAnsi="Calibri" w:cs="Calibri"/>
          <w:lang w:eastAsia="en-GB"/>
        </w:rPr>
        <w:t xml:space="preserve"> literature review</w:t>
      </w:r>
      <w:r w:rsidR="00613ADB" w:rsidRPr="00D33C9F">
        <w:rPr>
          <w:rFonts w:ascii="Calibri" w:eastAsia="Times New Roman" w:hAnsi="Calibri" w:cs="Calibri"/>
          <w:lang w:eastAsia="en-GB"/>
        </w:rPr>
        <w:t xml:space="preserve"> on digital health in </w:t>
      </w:r>
      <w:r w:rsidR="004427F3" w:rsidRPr="00D33C9F">
        <w:rPr>
          <w:rFonts w:ascii="Calibri" w:eastAsia="Times New Roman" w:hAnsi="Calibri" w:cs="Calibri"/>
          <w:lang w:eastAsia="en-GB"/>
        </w:rPr>
        <w:t xml:space="preserve">the </w:t>
      </w:r>
      <w:r w:rsidR="00613ADB" w:rsidRPr="00D33C9F">
        <w:rPr>
          <w:rFonts w:ascii="Calibri" w:eastAsia="Times New Roman" w:hAnsi="Calibri" w:cs="Calibri"/>
          <w:lang w:eastAsia="en-GB"/>
        </w:rPr>
        <w:t>transplantation context;</w:t>
      </w:r>
      <w:r w:rsidRPr="00D33C9F">
        <w:rPr>
          <w:rFonts w:ascii="Calibri" w:eastAsia="Times New Roman" w:hAnsi="Calibri" w:cs="Calibri"/>
          <w:lang w:eastAsia="en-GB"/>
        </w:rPr>
        <w:t xml:space="preserve"> </w:t>
      </w:r>
      <w:r w:rsidRPr="00D33C9F">
        <w:rPr>
          <w:rFonts w:ascii="Calibri" w:eastAsia="Times New Roman" w:hAnsi="Calibri" w:cs="Calibri"/>
          <w:highlight w:val="white"/>
          <w:lang w:eastAsia="en-GB"/>
        </w:rPr>
        <w:t>Chapter 3 discusses</w:t>
      </w:r>
      <w:r w:rsidRPr="00D33C9F">
        <w:rPr>
          <w:rFonts w:ascii="Calibri" w:eastAsia="Times New Roman" w:hAnsi="Calibri" w:cs="Calibri"/>
          <w:lang w:eastAsia="en-GB"/>
        </w:rPr>
        <w:t xml:space="preserve"> the </w:t>
      </w:r>
      <w:r w:rsidR="00613ADB" w:rsidRPr="00D33C9F">
        <w:rPr>
          <w:rFonts w:ascii="Calibri" w:eastAsia="Times New Roman" w:hAnsi="Calibri" w:cs="Calibri"/>
          <w:lang w:eastAsia="en-GB"/>
        </w:rPr>
        <w:t xml:space="preserve">applied </w:t>
      </w:r>
      <w:r w:rsidRPr="00D33C9F">
        <w:rPr>
          <w:rFonts w:ascii="Calibri" w:eastAsia="Times New Roman" w:hAnsi="Calibri" w:cs="Calibri"/>
          <w:lang w:eastAsia="en-GB"/>
        </w:rPr>
        <w:t>methodology</w:t>
      </w:r>
      <w:r w:rsidR="00613ADB" w:rsidRPr="00D33C9F">
        <w:rPr>
          <w:rFonts w:ascii="Calibri" w:eastAsia="Times New Roman" w:hAnsi="Calibri" w:cs="Calibri"/>
          <w:lang w:eastAsia="en-GB"/>
        </w:rPr>
        <w:t xml:space="preserve"> of the systematic literature review;</w:t>
      </w:r>
      <w:r w:rsidRPr="00D33C9F">
        <w:rPr>
          <w:rFonts w:ascii="Calibri" w:eastAsia="Times New Roman" w:hAnsi="Calibri" w:cs="Calibri"/>
          <w:lang w:eastAsia="en-GB"/>
        </w:rPr>
        <w:t xml:space="preserve"> </w:t>
      </w:r>
      <w:r w:rsidRPr="00D33C9F">
        <w:rPr>
          <w:rFonts w:ascii="Calibri" w:eastAsia="Times New Roman" w:hAnsi="Calibri" w:cs="Calibri"/>
          <w:highlight w:val="white"/>
          <w:lang w:eastAsia="en-GB"/>
        </w:rPr>
        <w:t>Chapter 4 elaborates on</w:t>
      </w:r>
      <w:r w:rsidRPr="00D33C9F">
        <w:rPr>
          <w:rFonts w:ascii="Calibri" w:eastAsia="Times New Roman" w:hAnsi="Calibri" w:cs="Calibri"/>
          <w:lang w:eastAsia="en-GB"/>
        </w:rPr>
        <w:t xml:space="preserve"> </w:t>
      </w:r>
      <w:r w:rsidRPr="00D33C9F">
        <w:rPr>
          <w:rFonts w:ascii="Calibri" w:eastAsia="Times New Roman" w:hAnsi="Calibri" w:cs="Calibri"/>
          <w:highlight w:val="white"/>
          <w:lang w:eastAsia="en-GB"/>
        </w:rPr>
        <w:t>the results of the findings</w:t>
      </w:r>
      <w:r w:rsidRPr="00D33C9F">
        <w:rPr>
          <w:rFonts w:ascii="Calibri" w:eastAsia="Times New Roman" w:hAnsi="Calibri" w:cs="Calibri"/>
          <w:lang w:eastAsia="en-GB"/>
        </w:rPr>
        <w:t xml:space="preserve">. Lastly Chapter 5 delves into a discussion of the findings, </w:t>
      </w:r>
      <w:r w:rsidRPr="00D33C9F">
        <w:rPr>
          <w:rFonts w:ascii="Calibri" w:eastAsia="Times New Roman" w:hAnsi="Calibri" w:cs="Calibri"/>
          <w:highlight w:val="white"/>
          <w:lang w:eastAsia="en-GB"/>
        </w:rPr>
        <w:t>conclusions</w:t>
      </w:r>
      <w:r w:rsidRPr="00D33C9F">
        <w:rPr>
          <w:rFonts w:ascii="Calibri" w:eastAsia="Times New Roman" w:hAnsi="Calibri" w:cs="Calibri"/>
          <w:lang w:eastAsia="en-GB"/>
        </w:rPr>
        <w:t xml:space="preserve">, contributions and limitations of </w:t>
      </w:r>
      <w:r w:rsidRPr="00D33C9F">
        <w:rPr>
          <w:rFonts w:ascii="Calibri" w:eastAsia="Times New Roman" w:hAnsi="Calibri" w:cs="Calibri"/>
          <w:highlight w:val="white"/>
          <w:lang w:eastAsia="en-GB"/>
        </w:rPr>
        <w:t>this study.</w:t>
      </w:r>
      <w:r w:rsidRPr="00D33C9F">
        <w:rPr>
          <w:rFonts w:ascii="Calibri" w:eastAsia="Times New Roman" w:hAnsi="Calibri" w:cs="Calibri"/>
          <w:lang w:eastAsia="en-GB"/>
        </w:rPr>
        <w:t xml:space="preserve"> </w:t>
      </w:r>
    </w:p>
    <w:p w14:paraId="36C9A7FF" w14:textId="77777777" w:rsidR="000065FA" w:rsidRDefault="000065FA" w:rsidP="006C513D">
      <w:pPr>
        <w:spacing w:line="360" w:lineRule="auto"/>
        <w:jc w:val="both"/>
        <w:rPr>
          <w:rFonts w:ascii="Calibri" w:eastAsia="Times New Roman" w:hAnsi="Calibri" w:cs="Calibri"/>
          <w:color w:val="212121"/>
          <w:lang w:eastAsia="en-GB"/>
        </w:rPr>
      </w:pPr>
    </w:p>
    <w:p w14:paraId="55D0902C" w14:textId="77777777" w:rsidR="003D1FEC" w:rsidRDefault="003D1FEC" w:rsidP="006C513D">
      <w:pPr>
        <w:spacing w:line="360" w:lineRule="auto"/>
        <w:jc w:val="both"/>
        <w:rPr>
          <w:rFonts w:ascii="Calibri" w:eastAsia="Times New Roman" w:hAnsi="Calibri" w:cs="Calibri"/>
          <w:color w:val="212121"/>
          <w:lang w:eastAsia="en-GB"/>
        </w:rPr>
      </w:pPr>
    </w:p>
    <w:p w14:paraId="56680C64" w14:textId="77777777" w:rsidR="005F2EE1" w:rsidRDefault="005F2EE1" w:rsidP="006C513D">
      <w:pPr>
        <w:spacing w:line="360" w:lineRule="auto"/>
        <w:jc w:val="both"/>
        <w:rPr>
          <w:rFonts w:ascii="Calibri" w:eastAsia="Times New Roman" w:hAnsi="Calibri" w:cs="Calibri"/>
          <w:color w:val="212121"/>
          <w:lang w:eastAsia="en-GB"/>
        </w:rPr>
      </w:pPr>
    </w:p>
    <w:p w14:paraId="38FF6587" w14:textId="77777777" w:rsidR="00F63F23" w:rsidRPr="00596A18" w:rsidRDefault="00F63F23" w:rsidP="00F63F23">
      <w:pPr>
        <w:pStyle w:val="Heading1"/>
        <w:rPr>
          <w:rFonts w:eastAsia="Times New Roman"/>
          <w:lang w:eastAsia="en-GB"/>
        </w:rPr>
      </w:pPr>
      <w:bookmarkStart w:id="7" w:name="_Toc166853978"/>
      <w:r>
        <w:rPr>
          <w:rFonts w:eastAsia="Times New Roman"/>
          <w:lang w:eastAsia="en-GB"/>
        </w:rPr>
        <w:lastRenderedPageBreak/>
        <w:t xml:space="preserve">Chapter 2: </w:t>
      </w:r>
      <w:r w:rsidRPr="00596A18">
        <w:rPr>
          <w:rFonts w:eastAsia="Times New Roman"/>
          <w:lang w:eastAsia="en-GB"/>
        </w:rPr>
        <w:t>Literature Review</w:t>
      </w:r>
      <w:bookmarkEnd w:id="7"/>
    </w:p>
    <w:p w14:paraId="38E6CA74" w14:textId="77777777" w:rsidR="00F63F23" w:rsidRPr="005229A6" w:rsidRDefault="00F63F23" w:rsidP="00F63F23">
      <w:pPr>
        <w:pStyle w:val="Heading2"/>
        <w:jc w:val="left"/>
        <w:rPr>
          <w:rFonts w:eastAsia="Times New Roman"/>
          <w:lang w:val="en-GB" w:eastAsia="en-GB"/>
        </w:rPr>
      </w:pPr>
      <w:bookmarkStart w:id="8" w:name="_Toc166853979"/>
      <w:r>
        <w:rPr>
          <w:rFonts w:eastAsia="Times New Roman"/>
          <w:lang w:val="en-GB" w:eastAsia="en-GB"/>
        </w:rPr>
        <w:t>2.1 Digital Health Devices in Healthcare</w:t>
      </w:r>
      <w:bookmarkEnd w:id="8"/>
    </w:p>
    <w:p w14:paraId="08F198E3" w14:textId="5D0C93D2" w:rsidR="00F63F23" w:rsidRPr="00F656D2" w:rsidRDefault="00F63F23" w:rsidP="26F64964">
      <w:pPr>
        <w:pStyle w:val="NormalWeb"/>
        <w:spacing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 xml:space="preserve">Technology has </w:t>
      </w:r>
      <w:r w:rsidR="00A109DB" w:rsidRPr="26F64964">
        <w:rPr>
          <w:rFonts w:asciiTheme="minorHAnsi" w:hAnsiTheme="minorHAnsi" w:cstheme="minorBidi"/>
          <w:sz w:val="22"/>
          <w:szCs w:val="22"/>
          <w:lang w:val="en-US"/>
        </w:rPr>
        <w:t>revolutionized</w:t>
      </w:r>
      <w:r w:rsidRPr="26F64964">
        <w:rPr>
          <w:rFonts w:asciiTheme="minorHAnsi" w:hAnsiTheme="minorHAnsi" w:cstheme="minorBidi"/>
          <w:sz w:val="22"/>
          <w:szCs w:val="22"/>
          <w:lang w:val="en-US"/>
        </w:rPr>
        <w:t xml:space="preserve"> the way the health care system operates by providing information technology that facilitates the processing and management of patient records, </w:t>
      </w:r>
      <w:r w:rsidRPr="26F64964">
        <w:rPr>
          <w:rFonts w:asciiTheme="minorHAnsi" w:hAnsiTheme="minorHAnsi" w:cstheme="minorBidi"/>
          <w:sz w:val="22"/>
          <w:szCs w:val="22"/>
          <w:highlight w:val="white"/>
          <w:lang w:val="en-US"/>
        </w:rPr>
        <w:t>health information websites, online</w:t>
      </w:r>
      <w:r w:rsidRPr="26F64964">
        <w:rPr>
          <w:rFonts w:asciiTheme="minorHAnsi" w:hAnsiTheme="minorHAnsi" w:cstheme="minorBidi"/>
          <w:sz w:val="22"/>
          <w:szCs w:val="22"/>
          <w:lang w:val="en-US"/>
        </w:rPr>
        <w:t xml:space="preserve"> clinical support, and mobile health </w:t>
      </w:r>
      <w:r w:rsidRPr="26F64964">
        <w:rPr>
          <w:rFonts w:asciiTheme="minorHAnsi" w:hAnsiTheme="minorHAnsi" w:cstheme="minorBidi"/>
          <w:sz w:val="22"/>
          <w:szCs w:val="22"/>
          <w:highlight w:val="white"/>
          <w:lang w:val="en-US"/>
        </w:rPr>
        <w:t>communication devices</w:t>
      </w:r>
      <w:r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highlight w:val="white"/>
          <w:lang w:val="en-US"/>
        </w:rPr>
        <w:t>Boogerd, Arts, Engelen, &amp; van De Belt, 2015</w:t>
      </w:r>
      <w:r w:rsidRPr="26F64964">
        <w:rPr>
          <w:rFonts w:asciiTheme="minorHAnsi" w:hAnsiTheme="minorHAnsi" w:cstheme="minorBidi"/>
          <w:sz w:val="22"/>
          <w:szCs w:val="22"/>
          <w:lang w:val="en-US"/>
        </w:rPr>
        <w:t>). Overall, i</w:t>
      </w:r>
      <w:r w:rsidR="004427F3" w:rsidRPr="26F64964">
        <w:rPr>
          <w:rFonts w:asciiTheme="minorHAnsi" w:hAnsiTheme="minorHAnsi" w:cstheme="minorBidi"/>
          <w:sz w:val="22"/>
          <w:szCs w:val="22"/>
          <w:lang w:val="en-US"/>
        </w:rPr>
        <w:t>t improves and increases</w:t>
      </w:r>
      <w:r w:rsidRPr="26F64964">
        <w:rPr>
          <w:rFonts w:asciiTheme="minorHAnsi" w:hAnsiTheme="minorHAnsi" w:cstheme="minorBidi"/>
          <w:sz w:val="22"/>
          <w:szCs w:val="22"/>
          <w:lang w:val="en-US"/>
        </w:rPr>
        <w:t xml:space="preserve"> the efficiency of healthcare services (Boogerd et al., 2015). The technology used and implemented within the health sector is referred to as </w:t>
      </w:r>
      <w:r w:rsidR="00EC5A1B"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eHealth</w:t>
      </w:r>
      <w:r w:rsidR="00EC5A1B"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which describes the use of technology, electronics, and the internet to deliver health services (Boogerd et al., 2015). However, the term eHealth can be seen as broad, as it covers a multitude of health services delivered using technology and the internet, such as the use of websites, applications, telephone, </w:t>
      </w:r>
      <w:r w:rsidRPr="26F64964">
        <w:rPr>
          <w:rFonts w:asciiTheme="minorHAnsi" w:hAnsiTheme="minorHAnsi" w:cstheme="minorBidi"/>
          <w:sz w:val="22"/>
          <w:szCs w:val="22"/>
          <w:highlight w:val="white"/>
          <w:lang w:val="en-US"/>
        </w:rPr>
        <w:t>mobile</w:t>
      </w:r>
      <w:r w:rsidR="00FE5452" w:rsidRPr="26F64964">
        <w:rPr>
          <w:rFonts w:asciiTheme="minorHAnsi" w:hAnsiTheme="minorHAnsi" w:cstheme="minorBidi"/>
          <w:sz w:val="22"/>
          <w:szCs w:val="22"/>
          <w:highlight w:val="white"/>
          <w:lang w:val="en-US"/>
        </w:rPr>
        <w:t>,</w:t>
      </w:r>
      <w:r w:rsidRPr="26F64964">
        <w:rPr>
          <w:rFonts w:asciiTheme="minorHAnsi" w:hAnsiTheme="minorHAnsi" w:cstheme="minorBidi"/>
          <w:sz w:val="22"/>
          <w:szCs w:val="22"/>
          <w:highlight w:val="white"/>
          <w:lang w:val="en-US"/>
        </w:rPr>
        <w:t xml:space="preserve"> and online</w:t>
      </w:r>
      <w:r w:rsidRPr="26F64964">
        <w:rPr>
          <w:rFonts w:asciiTheme="minorHAnsi" w:hAnsiTheme="minorHAnsi" w:cstheme="minorBidi"/>
          <w:sz w:val="22"/>
          <w:szCs w:val="22"/>
          <w:lang w:val="en-US"/>
        </w:rPr>
        <w:t xml:space="preserve"> forums to the process of collecting real-time data using wearables (</w:t>
      </w:r>
      <w:proofErr w:type="spellStart"/>
      <w:r w:rsidRPr="26F64964">
        <w:rPr>
          <w:rFonts w:asciiTheme="minorHAnsi" w:hAnsiTheme="minorHAnsi" w:cstheme="minorBidi"/>
          <w:sz w:val="22"/>
          <w:szCs w:val="22"/>
          <w:lang w:val="en-US"/>
        </w:rPr>
        <w:t>Eysenbach</w:t>
      </w:r>
      <w:proofErr w:type="spellEnd"/>
      <w:r w:rsidRPr="26F64964">
        <w:rPr>
          <w:rFonts w:asciiTheme="minorHAnsi" w:hAnsiTheme="minorHAnsi" w:cstheme="minorBidi"/>
          <w:sz w:val="22"/>
          <w:szCs w:val="22"/>
          <w:lang w:val="en-US"/>
        </w:rPr>
        <w:t xml:space="preserve">, 2001). </w:t>
      </w:r>
    </w:p>
    <w:p w14:paraId="378300A7" w14:textId="79F3F16E" w:rsidR="00F63F23" w:rsidRPr="00F656D2" w:rsidRDefault="00F63F23" w:rsidP="26F64964">
      <w:pPr>
        <w:pStyle w:val="NormalWeb"/>
        <w:spacing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 xml:space="preserve">An example of eHealth </w:t>
      </w:r>
      <w:r w:rsidR="00A955F5" w:rsidRPr="26F64964">
        <w:rPr>
          <w:rFonts w:asciiTheme="minorHAnsi" w:hAnsiTheme="minorHAnsi" w:cstheme="minorBidi"/>
          <w:sz w:val="22"/>
          <w:szCs w:val="22"/>
          <w:lang w:val="en-US"/>
        </w:rPr>
        <w:t>i</w:t>
      </w:r>
      <w:r w:rsidRPr="26F64964">
        <w:rPr>
          <w:rFonts w:asciiTheme="minorHAnsi" w:hAnsiTheme="minorHAnsi" w:cstheme="minorBidi"/>
          <w:sz w:val="22"/>
          <w:szCs w:val="22"/>
          <w:lang w:val="en-US"/>
        </w:rPr>
        <w:t>s the use of telemedicine/telehealth. The term</w:t>
      </w:r>
      <w:r w:rsidR="00FE5452" w:rsidRPr="26F64964">
        <w:rPr>
          <w:rFonts w:asciiTheme="minorHAnsi" w:hAnsiTheme="minorHAnsi" w:cstheme="minorBidi"/>
          <w:sz w:val="22"/>
          <w:szCs w:val="22"/>
          <w:lang w:val="en-US"/>
        </w:rPr>
        <w:t>s</w:t>
      </w:r>
      <w:r w:rsidRPr="26F64964">
        <w:rPr>
          <w:rFonts w:asciiTheme="minorHAnsi" w:hAnsiTheme="minorHAnsi" w:cstheme="minorBidi"/>
          <w:sz w:val="22"/>
          <w:szCs w:val="22"/>
          <w:lang w:val="en-US"/>
        </w:rPr>
        <w:t xml:space="preserve"> 'telemedicine' and</w:t>
      </w:r>
      <w:r w:rsidR="00DD40D6"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lang w:val="en-US"/>
        </w:rPr>
        <w:t>'telehealt</w:t>
      </w:r>
      <w:r w:rsidR="00A955F5" w:rsidRPr="26F64964">
        <w:rPr>
          <w:rFonts w:asciiTheme="minorHAnsi" w:hAnsiTheme="minorHAnsi" w:cstheme="minorBidi"/>
          <w:sz w:val="22"/>
          <w:szCs w:val="22"/>
          <w:lang w:val="en-US"/>
        </w:rPr>
        <w:t>h</w:t>
      </w:r>
      <w:r w:rsidR="00EC5A1B"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refer to the delivery method of remote clinical services over electronic audio and visual means such as video conferencing and phone appointments (Duarte-Rojo, Brown, Bloomer, Duarte, Grubbs &amp; Hernaez, 2022; </w:t>
      </w:r>
      <w:r w:rsidRPr="26F64964">
        <w:rPr>
          <w:rFonts w:asciiTheme="minorHAnsi" w:hAnsiTheme="minorHAnsi" w:cstheme="minorBidi"/>
          <w:sz w:val="22"/>
          <w:szCs w:val="22"/>
          <w:highlight w:val="white"/>
          <w:lang w:val="en-US"/>
        </w:rPr>
        <w:t>Forbes, Rybacki, Johnson,</w:t>
      </w:r>
      <w:r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highlight w:val="white"/>
          <w:lang w:val="en-US"/>
        </w:rPr>
        <w:t>Hannah-Gillis, Shaffer &amp; Hale, 2018</w:t>
      </w:r>
      <w:r w:rsidRPr="26F64964">
        <w:rPr>
          <w:rFonts w:asciiTheme="minorHAnsi" w:hAnsiTheme="minorHAnsi" w:cstheme="minorBidi"/>
          <w:sz w:val="22"/>
          <w:szCs w:val="22"/>
          <w:lang w:val="en-US"/>
        </w:rPr>
        <w:t>). The use of telemedicine gained movement and traction during COVID</w:t>
      </w:r>
      <w:r w:rsidR="00FE5452" w:rsidRPr="26F64964">
        <w:rPr>
          <w:rFonts w:asciiTheme="minorHAnsi" w:hAnsiTheme="minorHAnsi" w:cstheme="minorBidi"/>
          <w:sz w:val="22"/>
          <w:szCs w:val="22"/>
          <w:lang w:val="en-US"/>
        </w:rPr>
        <w:t>-19</w:t>
      </w:r>
      <w:r w:rsidRPr="26F64964">
        <w:rPr>
          <w:rFonts w:asciiTheme="minorHAnsi" w:hAnsiTheme="minorHAnsi" w:cstheme="minorBidi"/>
          <w:sz w:val="22"/>
          <w:szCs w:val="22"/>
          <w:lang w:val="en-US"/>
        </w:rPr>
        <w:t xml:space="preserve"> 2019, when social distancing was mandatory</w:t>
      </w:r>
      <w:r w:rsidR="00FE5452"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which complicated and restricted the delivery of in-person clinical services and care (</w:t>
      </w:r>
      <w:r w:rsidRPr="6A640EE8">
        <w:rPr>
          <w:rFonts w:asciiTheme="minorHAnsi" w:hAnsiTheme="minorHAnsi" w:cstheme="minorBidi"/>
          <w:sz w:val="22"/>
          <w:szCs w:val="22"/>
          <w:highlight w:val="white"/>
          <w:lang w:val="en-US"/>
        </w:rPr>
        <w:t>Chang, Sritharan, Schmitt, Patel, Crew &amp;</w:t>
      </w:r>
      <w:r w:rsidRPr="6A640EE8">
        <w:rPr>
          <w:rFonts w:asciiTheme="minorHAnsi" w:hAnsiTheme="minorHAnsi" w:cstheme="minorBidi"/>
          <w:sz w:val="22"/>
          <w:szCs w:val="22"/>
          <w:lang w:val="en-US"/>
        </w:rPr>
        <w:t xml:space="preserve"> </w:t>
      </w:r>
      <w:proofErr w:type="spellStart"/>
      <w:r w:rsidRPr="6A640EE8">
        <w:rPr>
          <w:rFonts w:asciiTheme="minorHAnsi" w:hAnsiTheme="minorHAnsi" w:cstheme="minorBidi"/>
          <w:sz w:val="22"/>
          <w:szCs w:val="22"/>
          <w:highlight w:val="white"/>
          <w:lang w:val="en-US"/>
        </w:rPr>
        <w:t>Tsapepas</w:t>
      </w:r>
      <w:proofErr w:type="spellEnd"/>
      <w:r w:rsidRPr="6A640EE8">
        <w:rPr>
          <w:rFonts w:asciiTheme="minorHAnsi" w:hAnsiTheme="minorHAnsi" w:cstheme="minorBidi"/>
          <w:sz w:val="22"/>
          <w:szCs w:val="22"/>
          <w:highlight w:val="white"/>
          <w:lang w:val="en-US"/>
        </w:rPr>
        <w:t>, 2021</w:t>
      </w:r>
      <w:r w:rsidRPr="26F64964">
        <w:rPr>
          <w:rFonts w:asciiTheme="minorHAnsi" w:hAnsiTheme="minorHAnsi" w:cstheme="minorBidi"/>
          <w:sz w:val="22"/>
          <w:szCs w:val="22"/>
          <w:lang w:val="en-US"/>
        </w:rPr>
        <w:t>). A study carried out by Park and colleagues (2021) demonstrate</w:t>
      </w:r>
      <w:r w:rsidR="00057904" w:rsidRPr="26F64964">
        <w:rPr>
          <w:rFonts w:asciiTheme="minorHAnsi" w:hAnsiTheme="minorHAnsi" w:cstheme="minorBidi"/>
          <w:sz w:val="22"/>
          <w:szCs w:val="22"/>
          <w:lang w:val="en-US"/>
        </w:rPr>
        <w:t>s</w:t>
      </w:r>
      <w:r w:rsidRPr="26F64964">
        <w:rPr>
          <w:rFonts w:asciiTheme="minorHAnsi" w:hAnsiTheme="minorHAnsi" w:cstheme="minorBidi"/>
          <w:sz w:val="22"/>
          <w:szCs w:val="22"/>
          <w:lang w:val="en-US"/>
        </w:rPr>
        <w:t xml:space="preserve"> how the development and implementation of telemedicine improved and removed barriers to providing services and care to patients remotely. Such as consultations being carried out over the phone and </w:t>
      </w:r>
      <w:r w:rsidR="00057904" w:rsidRPr="26F64964">
        <w:rPr>
          <w:rFonts w:asciiTheme="minorHAnsi" w:hAnsiTheme="minorHAnsi" w:cstheme="minorBidi"/>
          <w:sz w:val="22"/>
          <w:szCs w:val="22"/>
          <w:lang w:val="en-US"/>
        </w:rPr>
        <w:t xml:space="preserve">Zoom </w:t>
      </w:r>
      <w:r w:rsidRPr="26F64964">
        <w:rPr>
          <w:rFonts w:asciiTheme="minorHAnsi" w:hAnsiTheme="minorHAnsi" w:cstheme="minorBidi"/>
          <w:sz w:val="22"/>
          <w:szCs w:val="22"/>
          <w:lang w:val="en-US"/>
        </w:rPr>
        <w:t>meetings, as well as monitoring patient symptoms. Another study highlights the cost-savings, increased patient satisfaction</w:t>
      </w:r>
      <w:r w:rsidR="00057904"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and efficiency of clinical services associated with the use of telehealth (</w:t>
      </w:r>
      <w:proofErr w:type="spellStart"/>
      <w:r w:rsidRPr="6A640EE8">
        <w:rPr>
          <w:rFonts w:asciiTheme="minorHAnsi" w:hAnsiTheme="minorHAnsi" w:cstheme="minorBidi"/>
          <w:sz w:val="22"/>
          <w:szCs w:val="22"/>
          <w:highlight w:val="white"/>
          <w:lang w:val="en-US"/>
        </w:rPr>
        <w:t>Huuskes</w:t>
      </w:r>
      <w:proofErr w:type="spellEnd"/>
      <w:r w:rsidRPr="6A640EE8">
        <w:rPr>
          <w:rFonts w:asciiTheme="minorHAnsi" w:hAnsiTheme="minorHAnsi" w:cstheme="minorBidi"/>
          <w:sz w:val="22"/>
          <w:szCs w:val="22"/>
          <w:highlight w:val="white"/>
          <w:lang w:val="en-US"/>
        </w:rPr>
        <w:t xml:space="preserve">, Scholes-Robertson, Guha, Baumgart, Wong, </w:t>
      </w:r>
      <w:proofErr w:type="spellStart"/>
      <w:r w:rsidRPr="6A640EE8">
        <w:rPr>
          <w:rFonts w:asciiTheme="minorHAnsi" w:hAnsiTheme="minorHAnsi" w:cstheme="minorBidi"/>
          <w:sz w:val="22"/>
          <w:szCs w:val="22"/>
          <w:highlight w:val="white"/>
          <w:lang w:val="en-US"/>
        </w:rPr>
        <w:t>Kanellis</w:t>
      </w:r>
      <w:proofErr w:type="spellEnd"/>
      <w:r w:rsidRPr="6A640EE8">
        <w:rPr>
          <w:rFonts w:asciiTheme="minorHAnsi" w:hAnsiTheme="minorHAnsi" w:cstheme="minorBidi"/>
          <w:sz w:val="22"/>
          <w:szCs w:val="22"/>
          <w:highlight w:val="white"/>
          <w:lang w:val="en-US"/>
        </w:rPr>
        <w:t xml:space="preserve">, Chadban, Barraclough, </w:t>
      </w:r>
      <w:proofErr w:type="spellStart"/>
      <w:r w:rsidRPr="6A640EE8">
        <w:rPr>
          <w:rFonts w:asciiTheme="minorHAnsi" w:hAnsiTheme="minorHAnsi" w:cstheme="minorBidi"/>
          <w:sz w:val="22"/>
          <w:szCs w:val="22"/>
          <w:highlight w:val="white"/>
          <w:lang w:val="en-US"/>
        </w:rPr>
        <w:t>Viecelli</w:t>
      </w:r>
      <w:proofErr w:type="spellEnd"/>
      <w:r w:rsidRPr="6A640EE8">
        <w:rPr>
          <w:rFonts w:asciiTheme="minorHAnsi" w:hAnsiTheme="minorHAnsi" w:cstheme="minorBidi"/>
          <w:sz w:val="22"/>
          <w:szCs w:val="22"/>
          <w:highlight w:val="white"/>
          <w:lang w:val="en-US"/>
        </w:rPr>
        <w:t>, Hawley, Kerr, Coates, Amir &amp; Tong,</w:t>
      </w:r>
      <w:r w:rsidRPr="26F64964">
        <w:rPr>
          <w:rFonts w:asciiTheme="minorHAnsi" w:hAnsiTheme="minorHAnsi" w:cstheme="minorBidi"/>
          <w:sz w:val="22"/>
          <w:szCs w:val="22"/>
          <w:lang w:val="en-US"/>
        </w:rPr>
        <w:t xml:space="preserve"> 2011).  </w:t>
      </w:r>
    </w:p>
    <w:p w14:paraId="37BCC562" w14:textId="45E3E2C1" w:rsidR="00F63F23" w:rsidRPr="00F656D2" w:rsidRDefault="00F63F23" w:rsidP="26F64964">
      <w:pPr>
        <w:pStyle w:val="NormalWeb"/>
        <w:spacing w:line="360" w:lineRule="auto"/>
        <w:jc w:val="both"/>
        <w:rPr>
          <w:rFonts w:asciiTheme="minorHAnsi" w:hAnsiTheme="minorHAnsi" w:cstheme="minorBidi"/>
          <w:color w:val="7030A0"/>
          <w:sz w:val="22"/>
          <w:szCs w:val="22"/>
          <w:lang w:val="en-US"/>
        </w:rPr>
      </w:pPr>
      <w:r w:rsidRPr="26F64964">
        <w:rPr>
          <w:rFonts w:asciiTheme="minorHAnsi" w:hAnsiTheme="minorHAnsi" w:cstheme="minorBidi"/>
          <w:sz w:val="22"/>
          <w:szCs w:val="22"/>
          <w:lang w:val="en-US"/>
        </w:rPr>
        <w:t xml:space="preserve">COVID-19 exacerbated the shift to digital transformation and </w:t>
      </w:r>
      <w:r w:rsidR="00057904" w:rsidRPr="26F64964">
        <w:rPr>
          <w:rFonts w:asciiTheme="minorHAnsi" w:hAnsiTheme="minorHAnsi" w:cstheme="minorBidi"/>
          <w:sz w:val="22"/>
          <w:szCs w:val="22"/>
          <w:lang w:val="en-US"/>
        </w:rPr>
        <w:t xml:space="preserve">the </w:t>
      </w:r>
      <w:r w:rsidRPr="26F64964">
        <w:rPr>
          <w:rFonts w:asciiTheme="minorHAnsi" w:hAnsiTheme="minorHAnsi" w:cstheme="minorBidi"/>
          <w:sz w:val="22"/>
          <w:szCs w:val="22"/>
          <w:lang w:val="en-US"/>
        </w:rPr>
        <w:t xml:space="preserve">use of telehealth globally. Telehealth rapidly grew in Europe (Halim, 2023), </w:t>
      </w:r>
      <w:r w:rsidRPr="26F64964">
        <w:rPr>
          <w:rFonts w:asciiTheme="minorHAnsi" w:hAnsiTheme="minorHAnsi" w:cstheme="minorBidi"/>
          <w:sz w:val="22"/>
          <w:szCs w:val="22"/>
          <w:highlight w:val="white"/>
          <w:lang w:val="en-US"/>
        </w:rPr>
        <w:t>with a 1000</w:t>
      </w:r>
      <w:r w:rsidRPr="26F64964">
        <w:rPr>
          <w:rFonts w:asciiTheme="minorHAnsi" w:hAnsiTheme="minorHAnsi" w:cstheme="minorBidi"/>
          <w:sz w:val="22"/>
          <w:szCs w:val="22"/>
          <w:lang w:val="en-US"/>
        </w:rPr>
        <w:t xml:space="preserve"> percent increase </w:t>
      </w:r>
      <w:r w:rsidRPr="26F64964">
        <w:rPr>
          <w:rFonts w:asciiTheme="minorHAnsi" w:hAnsiTheme="minorHAnsi" w:cstheme="minorBidi"/>
          <w:sz w:val="22"/>
          <w:szCs w:val="22"/>
          <w:highlight w:val="white"/>
          <w:lang w:val="en-US"/>
        </w:rPr>
        <w:t>in Scotland</w:t>
      </w:r>
      <w:r w:rsidRPr="26F64964">
        <w:rPr>
          <w:rFonts w:asciiTheme="minorHAnsi" w:hAnsiTheme="minorHAnsi" w:cstheme="minorBidi"/>
          <w:sz w:val="22"/>
          <w:szCs w:val="22"/>
          <w:lang w:val="en-US"/>
        </w:rPr>
        <w:t xml:space="preserve"> within </w:t>
      </w:r>
      <w:r w:rsidRPr="26F64964">
        <w:rPr>
          <w:rFonts w:asciiTheme="minorHAnsi" w:hAnsiTheme="minorHAnsi" w:cstheme="minorBidi"/>
          <w:sz w:val="22"/>
          <w:szCs w:val="22"/>
          <w:highlight w:val="white"/>
          <w:lang w:val="en-US"/>
        </w:rPr>
        <w:t>a two-week period</w:t>
      </w:r>
      <w:r w:rsidRPr="26F64964">
        <w:rPr>
          <w:rFonts w:asciiTheme="minorHAnsi" w:hAnsiTheme="minorHAnsi" w:cstheme="minorBidi"/>
          <w:sz w:val="22"/>
          <w:szCs w:val="22"/>
          <w:lang w:val="en-US"/>
        </w:rPr>
        <w:t xml:space="preserve"> in March (</w:t>
      </w:r>
      <w:r w:rsidRPr="26F64964">
        <w:rPr>
          <w:rFonts w:asciiTheme="minorHAnsi" w:hAnsiTheme="minorHAnsi" w:cstheme="minorBidi"/>
          <w:sz w:val="22"/>
          <w:szCs w:val="22"/>
          <w:highlight w:val="white"/>
          <w:lang w:val="en-US"/>
        </w:rPr>
        <w:t>Thomas, Haydon, Mehrotra, Caffery,</w:t>
      </w:r>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highlight w:val="white"/>
          <w:lang w:val="en-US"/>
        </w:rPr>
        <w:t>Snoswell</w:t>
      </w:r>
      <w:proofErr w:type="spellEnd"/>
      <w:r w:rsidRPr="26F64964">
        <w:rPr>
          <w:rFonts w:asciiTheme="minorHAnsi" w:hAnsiTheme="minorHAnsi" w:cstheme="minorBidi"/>
          <w:sz w:val="22"/>
          <w:szCs w:val="22"/>
          <w:highlight w:val="white"/>
          <w:lang w:val="en-US"/>
        </w:rPr>
        <w:t>, Banbury &amp; Smith, 2022</w:t>
      </w:r>
      <w:r w:rsidRPr="26F64964">
        <w:rPr>
          <w:rFonts w:asciiTheme="minorHAnsi" w:hAnsiTheme="minorHAnsi" w:cstheme="minorBidi"/>
          <w:sz w:val="22"/>
          <w:szCs w:val="22"/>
          <w:lang w:val="en-US"/>
        </w:rPr>
        <w:t>), Australia</w:t>
      </w:r>
      <w:r w:rsidR="00EC5A1B"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s videoconference consultations jumped from 0.2% to 35%</w:t>
      </w:r>
      <w:r w:rsidR="00057904"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and New Zealand</w:t>
      </w:r>
      <w:r w:rsidR="00EC5A1B"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s virtual consultations jumped from 30% to 79% within the first two weeks of Alert Level 4 lockdown with a five-fold increase in consultations over the phone (</w:t>
      </w:r>
      <w:r w:rsidRPr="26F64964">
        <w:rPr>
          <w:rFonts w:asciiTheme="minorHAnsi" w:hAnsiTheme="minorHAnsi" w:cstheme="minorBidi"/>
          <w:sz w:val="22"/>
          <w:szCs w:val="22"/>
          <w:highlight w:val="white"/>
          <w:lang w:val="en-US"/>
        </w:rPr>
        <w:t>Wilson, Currie, Bidwell</w:t>
      </w:r>
      <w:r w:rsidRPr="26F64964">
        <w:rPr>
          <w:rFonts w:asciiTheme="minorHAnsi" w:hAnsiTheme="minorHAnsi" w:cstheme="minorBidi"/>
          <w:sz w:val="22"/>
          <w:szCs w:val="22"/>
          <w:lang w:val="en-US"/>
        </w:rPr>
        <w:t xml:space="preserve">, Saaed, </w:t>
      </w:r>
      <w:r w:rsidRPr="26F64964">
        <w:rPr>
          <w:rFonts w:asciiTheme="minorHAnsi" w:hAnsiTheme="minorHAnsi" w:cstheme="minorBidi"/>
          <w:sz w:val="22"/>
          <w:szCs w:val="22"/>
          <w:highlight w:val="white"/>
          <w:lang w:val="en-US"/>
        </w:rPr>
        <w:t>Dowell, Halim, Toop,</w:t>
      </w:r>
      <w:r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highlight w:val="white"/>
          <w:lang w:val="en-US"/>
        </w:rPr>
        <w:t>Richardson, Savage, Hudson, 2021). This</w:t>
      </w:r>
      <w:r w:rsidRPr="26F64964">
        <w:rPr>
          <w:rFonts w:asciiTheme="minorHAnsi" w:hAnsiTheme="minorHAnsi" w:cstheme="minorBidi"/>
          <w:sz w:val="22"/>
          <w:szCs w:val="22"/>
          <w:lang w:val="en-US"/>
        </w:rPr>
        <w:t xml:space="preserve"> has led to large </w:t>
      </w:r>
      <w:r w:rsidRPr="26F64964">
        <w:rPr>
          <w:rFonts w:asciiTheme="minorHAnsi" w:hAnsiTheme="minorHAnsi" w:cstheme="minorBidi"/>
          <w:sz w:val="22"/>
          <w:szCs w:val="22"/>
          <w:lang w:val="en-US"/>
        </w:rPr>
        <w:lastRenderedPageBreak/>
        <w:t xml:space="preserve">investments and growth within the telehealth industry, with the market being </w:t>
      </w:r>
      <w:r w:rsidRPr="26F64964">
        <w:rPr>
          <w:rFonts w:asciiTheme="minorHAnsi" w:hAnsiTheme="minorHAnsi" w:cstheme="minorBidi"/>
          <w:sz w:val="22"/>
          <w:szCs w:val="22"/>
          <w:highlight w:val="white"/>
          <w:lang w:val="en-US"/>
        </w:rPr>
        <w:t>valued at $83.5 billion</w:t>
      </w:r>
      <w:r w:rsidRPr="26F64964">
        <w:rPr>
          <w:rFonts w:asciiTheme="minorHAnsi" w:hAnsiTheme="minorHAnsi" w:cstheme="minorBidi"/>
          <w:sz w:val="22"/>
          <w:szCs w:val="22"/>
          <w:lang w:val="en-US"/>
        </w:rPr>
        <w:t xml:space="preserve"> in 2022 and </w:t>
      </w:r>
      <w:r w:rsidRPr="26F64964">
        <w:rPr>
          <w:rFonts w:asciiTheme="minorHAnsi" w:hAnsiTheme="minorHAnsi" w:cstheme="minorBidi"/>
          <w:sz w:val="22"/>
          <w:szCs w:val="22"/>
          <w:highlight w:val="white"/>
          <w:lang w:val="en-US"/>
        </w:rPr>
        <w:t>projected to</w:t>
      </w:r>
      <w:r w:rsidRPr="26F64964">
        <w:rPr>
          <w:rFonts w:asciiTheme="minorHAnsi" w:hAnsiTheme="minorHAnsi" w:cstheme="minorBidi"/>
          <w:sz w:val="22"/>
          <w:szCs w:val="22"/>
          <w:lang w:val="en-US"/>
        </w:rPr>
        <w:t xml:space="preserve"> grow </w:t>
      </w:r>
      <w:r w:rsidRPr="26F64964">
        <w:rPr>
          <w:rFonts w:asciiTheme="minorHAnsi" w:hAnsiTheme="minorHAnsi" w:cstheme="minorBidi"/>
          <w:sz w:val="22"/>
          <w:szCs w:val="22"/>
          <w:highlight w:val="white"/>
          <w:lang w:val="en-US"/>
        </w:rPr>
        <w:t>at a compound annual growth rate of 24</w:t>
      </w:r>
      <w:r w:rsidRPr="26F64964">
        <w:rPr>
          <w:rFonts w:asciiTheme="minorHAnsi" w:hAnsiTheme="minorHAnsi" w:cstheme="minorBidi"/>
          <w:sz w:val="22"/>
          <w:szCs w:val="22"/>
          <w:lang w:val="en-US"/>
        </w:rPr>
        <w:t xml:space="preserve"> percent </w:t>
      </w:r>
      <w:r w:rsidRPr="26F64964">
        <w:rPr>
          <w:rFonts w:asciiTheme="minorHAnsi" w:hAnsiTheme="minorHAnsi" w:cstheme="minorBidi"/>
          <w:sz w:val="22"/>
          <w:szCs w:val="22"/>
          <w:highlight w:val="white"/>
          <w:lang w:val="en-US"/>
        </w:rPr>
        <w:t>from 2023 to 2030</w:t>
      </w:r>
      <w:r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highlight w:val="white"/>
          <w:lang w:val="en-US"/>
        </w:rPr>
        <w:t>(Grand View Research, n.d</w:t>
      </w:r>
      <w:r w:rsidRPr="26F64964">
        <w:rPr>
          <w:rFonts w:asciiTheme="minorHAnsi" w:hAnsiTheme="minorHAnsi" w:cstheme="minorBidi"/>
          <w:sz w:val="22"/>
          <w:szCs w:val="22"/>
          <w:lang w:val="en-US"/>
        </w:rPr>
        <w:t xml:space="preserve">.). For example, </w:t>
      </w:r>
      <w:proofErr w:type="spellStart"/>
      <w:r w:rsidRPr="6A640EE8">
        <w:rPr>
          <w:rFonts w:asciiTheme="minorHAnsi" w:hAnsiTheme="minorHAnsi" w:cstheme="minorBidi"/>
          <w:sz w:val="22"/>
          <w:szCs w:val="22"/>
          <w:highlight w:val="white"/>
          <w:lang w:val="en-US"/>
        </w:rPr>
        <w:t>Deboni</w:t>
      </w:r>
      <w:proofErr w:type="spellEnd"/>
      <w:r w:rsidRPr="6A640EE8">
        <w:rPr>
          <w:rFonts w:asciiTheme="minorHAnsi" w:hAnsiTheme="minorHAnsi" w:cstheme="minorBidi"/>
          <w:sz w:val="22"/>
          <w:szCs w:val="22"/>
          <w:highlight w:val="white"/>
          <w:lang w:val="en-US"/>
        </w:rPr>
        <w:t xml:space="preserve"> and colleagues (2020)</w:t>
      </w:r>
      <w:r w:rsidR="00057904" w:rsidRPr="26F64964">
        <w:rPr>
          <w:rFonts w:asciiTheme="minorHAnsi" w:hAnsiTheme="minorHAnsi" w:cstheme="minorBidi"/>
          <w:sz w:val="22"/>
          <w:szCs w:val="22"/>
          <w:lang w:val="en-US"/>
        </w:rPr>
        <w:t xml:space="preserve"> report that </w:t>
      </w:r>
      <w:r w:rsidR="00057904" w:rsidRPr="26F64964">
        <w:rPr>
          <w:rFonts w:asciiTheme="minorHAnsi" w:hAnsiTheme="minorHAnsi" w:cstheme="minorBidi"/>
          <w:sz w:val="22"/>
          <w:szCs w:val="22"/>
          <w:highlight w:val="white"/>
          <w:lang w:val="en-US"/>
        </w:rPr>
        <w:t>the use of telehealth during the pandemic</w:t>
      </w:r>
      <w:r w:rsidR="00057904" w:rsidRPr="26F64964">
        <w:rPr>
          <w:rFonts w:asciiTheme="minorHAnsi" w:hAnsiTheme="minorHAnsi" w:cstheme="minorBidi"/>
          <w:sz w:val="22"/>
          <w:szCs w:val="22"/>
          <w:lang w:val="en-US"/>
        </w:rPr>
        <w:t xml:space="preserve"> for transplant patients helped reduce risk for both patients and medical professionals and increased</w:t>
      </w:r>
      <w:r w:rsidRPr="26F64964">
        <w:rPr>
          <w:rFonts w:asciiTheme="minorHAnsi" w:hAnsiTheme="minorHAnsi" w:cstheme="minorBidi"/>
          <w:sz w:val="22"/>
          <w:szCs w:val="22"/>
          <w:lang w:val="en-US"/>
        </w:rPr>
        <w:t xml:space="preserve"> acceptance among patients. In another study, the role of telehealth during the pandemic was providing pre-transplant and post-transplant care as well as </w:t>
      </w:r>
      <w:r w:rsidRPr="26F64964">
        <w:rPr>
          <w:rFonts w:asciiTheme="minorHAnsi" w:hAnsiTheme="minorHAnsi" w:cstheme="minorBidi"/>
          <w:sz w:val="22"/>
          <w:szCs w:val="22"/>
          <w:highlight w:val="white"/>
          <w:lang w:val="en-US"/>
        </w:rPr>
        <w:t>medication teaching</w:t>
      </w:r>
      <w:r w:rsidRPr="26F64964">
        <w:rPr>
          <w:rFonts w:asciiTheme="minorHAnsi" w:hAnsiTheme="minorHAnsi" w:cstheme="minorBidi"/>
          <w:sz w:val="22"/>
          <w:szCs w:val="22"/>
          <w:lang w:val="en-US"/>
        </w:rPr>
        <w:t xml:space="preserve"> (</w:t>
      </w:r>
      <w:r w:rsidRPr="6A640EE8">
        <w:rPr>
          <w:rFonts w:asciiTheme="minorHAnsi" w:hAnsiTheme="minorHAnsi" w:cstheme="minorBidi"/>
          <w:sz w:val="22"/>
          <w:szCs w:val="22"/>
          <w:highlight w:val="white"/>
          <w:lang w:val="en-US"/>
        </w:rPr>
        <w:t>Khalil,</w:t>
      </w:r>
      <w:r w:rsidRPr="6A640EE8">
        <w:rPr>
          <w:rFonts w:asciiTheme="minorHAnsi" w:hAnsiTheme="minorHAnsi" w:cstheme="minorBidi"/>
          <w:sz w:val="22"/>
          <w:szCs w:val="22"/>
          <w:lang w:val="en-US"/>
        </w:rPr>
        <w:t xml:space="preserve"> </w:t>
      </w:r>
      <w:proofErr w:type="spellStart"/>
      <w:r w:rsidRPr="6A640EE8">
        <w:rPr>
          <w:rFonts w:asciiTheme="minorHAnsi" w:hAnsiTheme="minorHAnsi" w:cstheme="minorBidi"/>
          <w:sz w:val="22"/>
          <w:szCs w:val="22"/>
          <w:highlight w:val="white"/>
          <w:lang w:val="en-US"/>
        </w:rPr>
        <w:t>Tsapepas</w:t>
      </w:r>
      <w:proofErr w:type="spellEnd"/>
      <w:r w:rsidRPr="6A640EE8">
        <w:rPr>
          <w:rFonts w:asciiTheme="minorHAnsi" w:hAnsiTheme="minorHAnsi" w:cstheme="minorBidi"/>
          <w:sz w:val="22"/>
          <w:szCs w:val="22"/>
          <w:highlight w:val="white"/>
          <w:lang w:val="en-US"/>
        </w:rPr>
        <w:t xml:space="preserve"> &amp; West-</w:t>
      </w:r>
      <w:proofErr w:type="spellStart"/>
      <w:r w:rsidRPr="6A640EE8">
        <w:rPr>
          <w:rFonts w:asciiTheme="minorHAnsi" w:hAnsiTheme="minorHAnsi" w:cstheme="minorBidi"/>
          <w:sz w:val="22"/>
          <w:szCs w:val="22"/>
          <w:highlight w:val="white"/>
          <w:lang w:val="en-US"/>
        </w:rPr>
        <w:t>Thielke</w:t>
      </w:r>
      <w:proofErr w:type="spellEnd"/>
      <w:r w:rsidRPr="6A640EE8">
        <w:rPr>
          <w:rFonts w:asciiTheme="minorHAnsi" w:hAnsiTheme="minorHAnsi" w:cstheme="minorBidi"/>
          <w:sz w:val="22"/>
          <w:szCs w:val="22"/>
          <w:highlight w:val="white"/>
          <w:lang w:val="en-US"/>
        </w:rPr>
        <w:t>, 2022</w:t>
      </w:r>
      <w:r w:rsidRPr="26F64964">
        <w:rPr>
          <w:rFonts w:asciiTheme="minorHAnsi" w:hAnsiTheme="minorHAnsi" w:cstheme="minorBidi"/>
          <w:sz w:val="22"/>
          <w:szCs w:val="22"/>
          <w:lang w:val="en-US"/>
        </w:rPr>
        <w:t xml:space="preserve">). </w:t>
      </w:r>
    </w:p>
    <w:p w14:paraId="5FED1BB6" w14:textId="560EDCDB" w:rsidR="00F63F23" w:rsidRPr="00F656D2" w:rsidRDefault="00F63F23" w:rsidP="26F64964">
      <w:pPr>
        <w:pStyle w:val="NormalWeb"/>
        <w:spacing w:before="0" w:beforeAutospacing="0" w:after="0" w:afterAutospacing="0"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 xml:space="preserve">Another example of eHealth is </w:t>
      </w:r>
      <w:r w:rsidRPr="26F64964">
        <w:rPr>
          <w:rFonts w:asciiTheme="minorHAnsi" w:hAnsiTheme="minorHAnsi" w:cstheme="minorBidi"/>
          <w:sz w:val="22"/>
          <w:szCs w:val="22"/>
          <w:highlight w:val="white"/>
          <w:lang w:val="en-US"/>
        </w:rPr>
        <w:t>the development and use of</w:t>
      </w:r>
      <w:r w:rsidRPr="26F64964">
        <w:rPr>
          <w:rFonts w:asciiTheme="minorHAnsi" w:hAnsiTheme="minorHAnsi" w:cstheme="minorBidi"/>
          <w:sz w:val="22"/>
          <w:szCs w:val="22"/>
          <w:lang w:val="en-US"/>
        </w:rPr>
        <w:t xml:space="preserve"> a mobile health application (called mHealth). Given the growing accessibility and penetration of mobile technology, this has changed the way health care can be delivered. Computers, tablets, mobiles, and other wireless devices all play a role in shaping mHealth (Martin, 2012). mHealth </w:t>
      </w:r>
      <w:r w:rsidRPr="26F64964">
        <w:rPr>
          <w:rFonts w:asciiTheme="minorHAnsi" w:hAnsiTheme="minorHAnsi" w:cstheme="minorBidi"/>
          <w:sz w:val="22"/>
          <w:szCs w:val="22"/>
          <w:highlight w:val="white"/>
          <w:lang w:val="en-US"/>
        </w:rPr>
        <w:t>devices and applications</w:t>
      </w:r>
      <w:r w:rsidRPr="26F64964">
        <w:rPr>
          <w:rFonts w:asciiTheme="minorHAnsi" w:hAnsiTheme="minorHAnsi" w:cstheme="minorBidi"/>
          <w:sz w:val="22"/>
          <w:szCs w:val="22"/>
          <w:lang w:val="en-US"/>
        </w:rPr>
        <w:t xml:space="preserve"> are being used </w:t>
      </w:r>
      <w:r w:rsidRPr="26F64964">
        <w:rPr>
          <w:rFonts w:asciiTheme="minorHAnsi" w:hAnsiTheme="minorHAnsi" w:cstheme="minorBidi"/>
          <w:sz w:val="22"/>
          <w:szCs w:val="22"/>
          <w:highlight w:val="white"/>
          <w:lang w:val="en-US"/>
        </w:rPr>
        <w:t>at the patient level</w:t>
      </w:r>
      <w:r w:rsidRPr="26F64964">
        <w:rPr>
          <w:rFonts w:asciiTheme="minorHAnsi" w:hAnsiTheme="minorHAnsi" w:cstheme="minorBidi"/>
          <w:sz w:val="22"/>
          <w:szCs w:val="22"/>
          <w:lang w:val="en-US"/>
        </w:rPr>
        <w:t xml:space="preserve"> to deliver </w:t>
      </w:r>
      <w:r w:rsidR="007C2C84" w:rsidRPr="26F64964">
        <w:rPr>
          <w:rFonts w:asciiTheme="minorHAnsi" w:hAnsiTheme="minorHAnsi" w:cstheme="minorBidi"/>
          <w:sz w:val="22"/>
          <w:szCs w:val="22"/>
          <w:lang w:val="en-US"/>
        </w:rPr>
        <w:t>patient-</w:t>
      </w:r>
      <w:r w:rsidRPr="26F64964">
        <w:rPr>
          <w:rFonts w:asciiTheme="minorHAnsi" w:hAnsiTheme="minorHAnsi" w:cstheme="minorBidi"/>
          <w:sz w:val="22"/>
          <w:szCs w:val="22"/>
          <w:lang w:val="en-US"/>
        </w:rPr>
        <w:t>centered care using data supplied by patients, creating what is known as Patient Health Information (PHI) (</w:t>
      </w:r>
      <w:proofErr w:type="spellStart"/>
      <w:r w:rsidRPr="26F64964">
        <w:rPr>
          <w:rFonts w:asciiTheme="minorHAnsi" w:hAnsiTheme="minorHAnsi" w:cstheme="minorBidi"/>
          <w:sz w:val="22"/>
          <w:szCs w:val="22"/>
          <w:lang w:val="en-US"/>
        </w:rPr>
        <w:t>Paglialonga</w:t>
      </w:r>
      <w:proofErr w:type="spellEnd"/>
      <w:r w:rsidRPr="26F64964">
        <w:rPr>
          <w:rFonts w:asciiTheme="minorHAnsi" w:hAnsiTheme="minorHAnsi" w:cstheme="minorBidi"/>
          <w:sz w:val="22"/>
          <w:szCs w:val="22"/>
          <w:lang w:val="en-US"/>
        </w:rPr>
        <w:t xml:space="preserve">, Patel, Pinto, </w:t>
      </w:r>
      <w:proofErr w:type="spellStart"/>
      <w:r w:rsidRPr="26F64964">
        <w:rPr>
          <w:rFonts w:asciiTheme="minorHAnsi" w:hAnsiTheme="minorHAnsi" w:cstheme="minorBidi"/>
          <w:sz w:val="22"/>
          <w:szCs w:val="22"/>
          <w:lang w:val="en-US"/>
        </w:rPr>
        <w:t>Mugambi</w:t>
      </w:r>
      <w:proofErr w:type="spellEnd"/>
      <w:r w:rsidRPr="26F64964">
        <w:rPr>
          <w:rFonts w:asciiTheme="minorHAnsi" w:hAnsiTheme="minorHAnsi" w:cstheme="minorBidi"/>
          <w:sz w:val="22"/>
          <w:szCs w:val="22"/>
          <w:lang w:val="en-US"/>
        </w:rPr>
        <w:t xml:space="preserve"> &amp; Keshavjee, 2019; Martin, 2012). mHealth presents a low-cost option for facilitating communication between patients and providers, as well as </w:t>
      </w:r>
      <w:r w:rsidRPr="26F64964">
        <w:rPr>
          <w:rFonts w:asciiTheme="minorHAnsi" w:hAnsiTheme="minorHAnsi" w:cstheme="minorBidi"/>
          <w:sz w:val="22"/>
          <w:szCs w:val="22"/>
          <w:highlight w:val="white"/>
          <w:lang w:val="en-US"/>
        </w:rPr>
        <w:t>the sharing of data between healthcare</w:t>
      </w:r>
      <w:r w:rsidRPr="26F64964">
        <w:rPr>
          <w:rFonts w:asciiTheme="minorHAnsi" w:hAnsiTheme="minorHAnsi" w:cstheme="minorBidi"/>
          <w:sz w:val="22"/>
          <w:szCs w:val="22"/>
          <w:lang w:val="en-US"/>
        </w:rPr>
        <w:t xml:space="preserve"> facilities (Martin, 2012; </w:t>
      </w:r>
      <w:r w:rsidRPr="26F64964">
        <w:rPr>
          <w:rFonts w:asciiTheme="minorHAnsi" w:hAnsiTheme="minorHAnsi" w:cstheme="minorBidi"/>
          <w:sz w:val="22"/>
          <w:szCs w:val="22"/>
          <w:highlight w:val="white"/>
          <w:lang w:val="en-US"/>
        </w:rPr>
        <w:t>Rowland, Fitzgerald, Holme, Powell &amp; McGregor, 2020</w:t>
      </w:r>
      <w:r w:rsidRPr="26F64964">
        <w:rPr>
          <w:rFonts w:asciiTheme="minorHAnsi" w:hAnsiTheme="minorHAnsi" w:cstheme="minorBidi"/>
          <w:sz w:val="22"/>
          <w:szCs w:val="22"/>
          <w:lang w:val="en-US"/>
        </w:rPr>
        <w:t>). A recent study investigated the acceptability and feasibility of a home-based urinalysis kit using a mHealth app, and the study revealed high patient and clinic satisfaction (</w:t>
      </w:r>
      <w:proofErr w:type="spellStart"/>
      <w:r w:rsidRPr="6A640EE8">
        <w:rPr>
          <w:rFonts w:asciiTheme="minorHAnsi" w:hAnsiTheme="minorHAnsi" w:cstheme="minorBidi"/>
          <w:sz w:val="22"/>
          <w:szCs w:val="22"/>
          <w:highlight w:val="white"/>
          <w:lang w:val="en-US"/>
        </w:rPr>
        <w:t>Erez</w:t>
      </w:r>
      <w:proofErr w:type="spellEnd"/>
      <w:r w:rsidRPr="6A640EE8">
        <w:rPr>
          <w:rFonts w:asciiTheme="minorHAnsi" w:hAnsiTheme="minorHAnsi" w:cstheme="minorBidi"/>
          <w:sz w:val="22"/>
          <w:szCs w:val="22"/>
          <w:highlight w:val="white"/>
          <w:lang w:val="en-US"/>
        </w:rPr>
        <w:t xml:space="preserve">, </w:t>
      </w:r>
      <w:proofErr w:type="spellStart"/>
      <w:r w:rsidRPr="6A640EE8">
        <w:rPr>
          <w:rFonts w:asciiTheme="minorHAnsi" w:hAnsiTheme="minorHAnsi" w:cstheme="minorBidi"/>
          <w:sz w:val="22"/>
          <w:szCs w:val="22"/>
          <w:highlight w:val="white"/>
          <w:lang w:val="en-US"/>
        </w:rPr>
        <w:t>Derwick</w:t>
      </w:r>
      <w:proofErr w:type="spellEnd"/>
      <w:r w:rsidRPr="6A640EE8">
        <w:rPr>
          <w:rFonts w:asciiTheme="minorHAnsi" w:hAnsiTheme="minorHAnsi" w:cstheme="minorBidi"/>
          <w:sz w:val="22"/>
          <w:szCs w:val="22"/>
          <w:highlight w:val="white"/>
          <w:lang w:val="en-US"/>
        </w:rPr>
        <w:t xml:space="preserve">, Furth, </w:t>
      </w:r>
      <w:proofErr w:type="spellStart"/>
      <w:r w:rsidRPr="6A640EE8">
        <w:rPr>
          <w:rFonts w:asciiTheme="minorHAnsi" w:hAnsiTheme="minorHAnsi" w:cstheme="minorBidi"/>
          <w:sz w:val="22"/>
          <w:szCs w:val="22"/>
          <w:highlight w:val="white"/>
          <w:lang w:val="en-US"/>
        </w:rPr>
        <w:t>Ballester</w:t>
      </w:r>
      <w:proofErr w:type="spellEnd"/>
      <w:r w:rsidRPr="6A640EE8">
        <w:rPr>
          <w:rFonts w:asciiTheme="minorHAnsi" w:hAnsiTheme="minorHAnsi" w:cstheme="minorBidi"/>
          <w:sz w:val="22"/>
          <w:szCs w:val="22"/>
          <w:highlight w:val="white"/>
          <w:lang w:val="en-US"/>
        </w:rPr>
        <w:t xml:space="preserve">, </w:t>
      </w:r>
      <w:proofErr w:type="spellStart"/>
      <w:r w:rsidRPr="6A640EE8">
        <w:rPr>
          <w:rFonts w:asciiTheme="minorHAnsi" w:hAnsiTheme="minorHAnsi" w:cstheme="minorBidi"/>
          <w:sz w:val="22"/>
          <w:szCs w:val="22"/>
          <w:highlight w:val="white"/>
          <w:lang w:val="en-US"/>
        </w:rPr>
        <w:t>Omuemu</w:t>
      </w:r>
      <w:proofErr w:type="spellEnd"/>
      <w:r w:rsidRPr="6A640EE8">
        <w:rPr>
          <w:rFonts w:asciiTheme="minorHAnsi" w:hAnsiTheme="minorHAnsi" w:cstheme="minorBidi"/>
          <w:sz w:val="22"/>
          <w:szCs w:val="22"/>
          <w:highlight w:val="white"/>
          <w:lang w:val="en-US"/>
        </w:rPr>
        <w:t xml:space="preserve">, </w:t>
      </w:r>
      <w:proofErr w:type="spellStart"/>
      <w:r w:rsidRPr="6A640EE8">
        <w:rPr>
          <w:rFonts w:asciiTheme="minorHAnsi" w:hAnsiTheme="minorHAnsi" w:cstheme="minorBidi"/>
          <w:sz w:val="22"/>
          <w:szCs w:val="22"/>
          <w:highlight w:val="white"/>
          <w:lang w:val="en-US"/>
        </w:rPr>
        <w:t>Adiri</w:t>
      </w:r>
      <w:proofErr w:type="spellEnd"/>
      <w:r w:rsidRPr="6A640EE8">
        <w:rPr>
          <w:rFonts w:asciiTheme="minorHAnsi" w:hAnsiTheme="minorHAnsi" w:cstheme="minorBidi"/>
          <w:sz w:val="22"/>
          <w:szCs w:val="22"/>
          <w:highlight w:val="white"/>
          <w:lang w:val="en-US"/>
        </w:rPr>
        <w:t xml:space="preserve">, Mink &amp; </w:t>
      </w:r>
      <w:proofErr w:type="spellStart"/>
      <w:r w:rsidRPr="6A640EE8">
        <w:rPr>
          <w:rFonts w:asciiTheme="minorHAnsi" w:hAnsiTheme="minorHAnsi" w:cstheme="minorBidi"/>
          <w:sz w:val="22"/>
          <w:szCs w:val="22"/>
          <w:highlight w:val="white"/>
          <w:lang w:val="en-US"/>
        </w:rPr>
        <w:t>Denburg</w:t>
      </w:r>
      <w:proofErr w:type="spellEnd"/>
      <w:r w:rsidRPr="6A640EE8">
        <w:rPr>
          <w:rFonts w:asciiTheme="minorHAnsi" w:hAnsiTheme="minorHAnsi" w:cstheme="minorBidi"/>
          <w:sz w:val="22"/>
          <w:szCs w:val="22"/>
          <w:highlight w:val="white"/>
          <w:lang w:val="en-US"/>
        </w:rPr>
        <w:t>, 2023</w:t>
      </w:r>
      <w:r w:rsidRPr="26F64964">
        <w:rPr>
          <w:rFonts w:asciiTheme="minorHAnsi" w:hAnsiTheme="minorHAnsi" w:cstheme="minorBidi"/>
          <w:sz w:val="22"/>
          <w:szCs w:val="22"/>
          <w:lang w:val="en-US"/>
        </w:rPr>
        <w:t xml:space="preserve">). More research has demonstrated the benefits </w:t>
      </w:r>
      <w:r w:rsidRPr="26F64964">
        <w:rPr>
          <w:rFonts w:asciiTheme="minorHAnsi" w:hAnsiTheme="minorHAnsi" w:cstheme="minorBidi"/>
          <w:sz w:val="22"/>
          <w:szCs w:val="22"/>
          <w:highlight w:val="white"/>
          <w:lang w:val="en-US"/>
        </w:rPr>
        <w:t>of mobile health applications for</w:t>
      </w:r>
      <w:r w:rsidRPr="26F64964">
        <w:rPr>
          <w:rFonts w:asciiTheme="minorHAnsi" w:hAnsiTheme="minorHAnsi" w:cstheme="minorBidi"/>
          <w:sz w:val="22"/>
          <w:szCs w:val="22"/>
          <w:lang w:val="en-US"/>
        </w:rPr>
        <w:t xml:space="preserve"> patients, caregivers</w:t>
      </w:r>
      <w:r w:rsidR="007C2C84"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and </w:t>
      </w:r>
      <w:r w:rsidR="007C2C84" w:rsidRPr="26F64964">
        <w:rPr>
          <w:rFonts w:asciiTheme="minorHAnsi" w:hAnsiTheme="minorHAnsi" w:cstheme="minorBidi"/>
          <w:sz w:val="22"/>
          <w:szCs w:val="22"/>
          <w:lang w:val="en-US"/>
        </w:rPr>
        <w:t xml:space="preserve">families </w:t>
      </w:r>
      <w:r w:rsidRPr="26F64964">
        <w:rPr>
          <w:rFonts w:asciiTheme="minorHAnsi" w:hAnsiTheme="minorHAnsi" w:cstheme="minorBidi"/>
          <w:sz w:val="22"/>
          <w:szCs w:val="22"/>
          <w:lang w:val="en-US"/>
        </w:rPr>
        <w:t xml:space="preserve">of patients and clinics (e.g., </w:t>
      </w:r>
      <w:r w:rsidRPr="6A640EE8">
        <w:rPr>
          <w:rFonts w:asciiTheme="minorHAnsi" w:hAnsiTheme="minorHAnsi" w:cstheme="minorBidi"/>
          <w:sz w:val="22"/>
          <w:szCs w:val="22"/>
          <w:highlight w:val="white"/>
          <w:lang w:val="en-US"/>
        </w:rPr>
        <w:t xml:space="preserve">Adib, Das, Ahamed &amp; </w:t>
      </w:r>
      <w:proofErr w:type="spellStart"/>
      <w:r w:rsidRPr="6A640EE8">
        <w:rPr>
          <w:rFonts w:asciiTheme="minorHAnsi" w:hAnsiTheme="minorHAnsi" w:cstheme="minorBidi"/>
          <w:sz w:val="22"/>
          <w:szCs w:val="22"/>
          <w:highlight w:val="white"/>
          <w:lang w:val="en-US"/>
        </w:rPr>
        <w:t>Lerret</w:t>
      </w:r>
      <w:proofErr w:type="spellEnd"/>
      <w:r w:rsidRPr="6A640EE8">
        <w:rPr>
          <w:rFonts w:asciiTheme="minorHAnsi" w:hAnsiTheme="minorHAnsi" w:cstheme="minorBidi"/>
          <w:sz w:val="22"/>
          <w:szCs w:val="22"/>
          <w:highlight w:val="white"/>
          <w:lang w:val="en-US"/>
        </w:rPr>
        <w:t>, 2022</w:t>
      </w:r>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Skeens</w:t>
      </w:r>
      <w:proofErr w:type="spellEnd"/>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Sezgin</w:t>
      </w:r>
      <w:proofErr w:type="spellEnd"/>
      <w:r w:rsidRPr="26F64964">
        <w:rPr>
          <w:rFonts w:asciiTheme="minorHAnsi" w:hAnsiTheme="minorHAnsi" w:cstheme="minorBidi"/>
          <w:sz w:val="22"/>
          <w:szCs w:val="22"/>
          <w:lang w:val="en-US"/>
        </w:rPr>
        <w:t xml:space="preserve">, Stevens, </w:t>
      </w:r>
      <w:proofErr w:type="spellStart"/>
      <w:r w:rsidRPr="26F64964">
        <w:rPr>
          <w:rFonts w:asciiTheme="minorHAnsi" w:hAnsiTheme="minorHAnsi" w:cstheme="minorBidi"/>
          <w:sz w:val="22"/>
          <w:szCs w:val="22"/>
          <w:lang w:val="en-US"/>
        </w:rPr>
        <w:t>Landier</w:t>
      </w:r>
      <w:proofErr w:type="spellEnd"/>
      <w:r w:rsidRPr="26F64964">
        <w:rPr>
          <w:rFonts w:asciiTheme="minorHAnsi" w:hAnsiTheme="minorHAnsi" w:cstheme="minorBidi"/>
          <w:sz w:val="22"/>
          <w:szCs w:val="22"/>
          <w:lang w:val="en-US"/>
        </w:rPr>
        <w:t>, Pai &amp; Gerhardt, 2022). Such as improved medication adherence, increased access to providers and clinical help, and improved patient outcomes (</w:t>
      </w:r>
      <w:r w:rsidRPr="6A640EE8">
        <w:rPr>
          <w:rFonts w:asciiTheme="minorHAnsi" w:hAnsiTheme="minorHAnsi" w:cstheme="minorBidi"/>
          <w:sz w:val="22"/>
          <w:szCs w:val="22"/>
          <w:highlight w:val="white"/>
          <w:lang w:val="en-US"/>
        </w:rPr>
        <w:t>Adib et al., 2022</w:t>
      </w:r>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Hamine</w:t>
      </w:r>
      <w:proofErr w:type="spellEnd"/>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Gerth-Guyette</w:t>
      </w:r>
      <w:proofErr w:type="spellEnd"/>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Faulx</w:t>
      </w:r>
      <w:proofErr w:type="spellEnd"/>
      <w:r w:rsidRPr="26F64964">
        <w:rPr>
          <w:rFonts w:asciiTheme="minorHAnsi" w:hAnsiTheme="minorHAnsi" w:cstheme="minorBidi"/>
          <w:sz w:val="22"/>
          <w:szCs w:val="22"/>
          <w:lang w:val="en-US"/>
        </w:rPr>
        <w:t>, Green &amp; Ginsburg (2015); Messner, Probst, O</w:t>
      </w:r>
      <w:r w:rsidR="00EC5A1B"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Rourke, Stoyanov &amp; Baumeister, 2019; </w:t>
      </w:r>
      <w:r w:rsidRPr="6A640EE8">
        <w:rPr>
          <w:rFonts w:asciiTheme="minorHAnsi" w:hAnsiTheme="minorHAnsi" w:cstheme="minorBidi"/>
          <w:sz w:val="22"/>
          <w:szCs w:val="22"/>
          <w:highlight w:val="white"/>
          <w:lang w:val="en-US"/>
        </w:rPr>
        <w:t>Skeens et al., 2022</w:t>
      </w:r>
      <w:r w:rsidRPr="26F64964">
        <w:rPr>
          <w:rFonts w:asciiTheme="minorHAnsi" w:hAnsiTheme="minorHAnsi" w:cstheme="minorBidi"/>
          <w:sz w:val="22"/>
          <w:szCs w:val="22"/>
          <w:lang w:val="en-US"/>
        </w:rPr>
        <w:t xml:space="preserve">). Messner et al. (2019) have explored the benefits of mHealth applications in transplantation, such as improved </w:t>
      </w:r>
      <w:r w:rsidRPr="26F64964">
        <w:rPr>
          <w:rFonts w:asciiTheme="minorHAnsi" w:hAnsiTheme="minorHAnsi" w:cstheme="minorBidi"/>
          <w:sz w:val="22"/>
          <w:szCs w:val="22"/>
          <w:highlight w:val="white"/>
          <w:lang w:val="en-US"/>
        </w:rPr>
        <w:t>facilitation of information, patient empowerment</w:t>
      </w:r>
      <w:r w:rsidR="007C2C84" w:rsidRPr="26F64964">
        <w:rPr>
          <w:rFonts w:asciiTheme="minorHAnsi" w:hAnsiTheme="minorHAnsi" w:cstheme="minorBidi"/>
          <w:sz w:val="22"/>
          <w:szCs w:val="22"/>
          <w:highlight w:val="white"/>
          <w:lang w:val="en-US"/>
        </w:rPr>
        <w:t>,</w:t>
      </w:r>
      <w:r w:rsidRPr="26F64964">
        <w:rPr>
          <w:rFonts w:asciiTheme="minorHAnsi" w:hAnsiTheme="minorHAnsi" w:cstheme="minorBidi"/>
          <w:sz w:val="22"/>
          <w:szCs w:val="22"/>
          <w:highlight w:val="white"/>
          <w:lang w:val="en-US"/>
        </w:rPr>
        <w:t xml:space="preserve"> and</w:t>
      </w:r>
      <w:r w:rsidRPr="26F64964">
        <w:rPr>
          <w:rFonts w:asciiTheme="minorHAnsi" w:hAnsiTheme="minorHAnsi" w:cstheme="minorBidi"/>
          <w:sz w:val="22"/>
          <w:szCs w:val="22"/>
          <w:lang w:val="en-US"/>
        </w:rPr>
        <w:t xml:space="preserve"> increased access for </w:t>
      </w:r>
      <w:r w:rsidRPr="26F64964">
        <w:rPr>
          <w:rFonts w:asciiTheme="minorHAnsi" w:hAnsiTheme="minorHAnsi" w:cstheme="minorBidi"/>
          <w:sz w:val="22"/>
          <w:szCs w:val="22"/>
          <w:highlight w:val="white"/>
          <w:lang w:val="en-US"/>
        </w:rPr>
        <w:t>undersupplied population groups</w:t>
      </w:r>
      <w:r w:rsidRPr="26F64964">
        <w:rPr>
          <w:rFonts w:asciiTheme="minorHAnsi" w:hAnsiTheme="minorHAnsi" w:cstheme="minorBidi"/>
          <w:sz w:val="22"/>
          <w:szCs w:val="22"/>
          <w:lang w:val="en-US"/>
        </w:rPr>
        <w:t xml:space="preserve">. In another study, researchers investigated how </w:t>
      </w:r>
      <w:proofErr w:type="spellStart"/>
      <w:r w:rsidRPr="26F64964">
        <w:rPr>
          <w:rFonts w:asciiTheme="minorHAnsi" w:hAnsiTheme="minorHAnsi" w:cstheme="minorBidi"/>
          <w:sz w:val="22"/>
          <w:szCs w:val="22"/>
          <w:lang w:val="en-US"/>
        </w:rPr>
        <w:t>mhealth</w:t>
      </w:r>
      <w:proofErr w:type="spellEnd"/>
      <w:r w:rsidRPr="26F64964">
        <w:rPr>
          <w:rFonts w:asciiTheme="minorHAnsi" w:hAnsiTheme="minorHAnsi" w:cstheme="minorBidi"/>
          <w:sz w:val="22"/>
          <w:szCs w:val="22"/>
          <w:lang w:val="en-US"/>
        </w:rPr>
        <w:t xml:space="preserve"> applications are used for medical adherence and found that short message services were </w:t>
      </w:r>
      <w:proofErr w:type="gramStart"/>
      <w:r w:rsidRPr="26F64964">
        <w:rPr>
          <w:rFonts w:asciiTheme="minorHAnsi" w:hAnsiTheme="minorHAnsi" w:cstheme="minorBidi"/>
          <w:sz w:val="22"/>
          <w:szCs w:val="22"/>
          <w:lang w:val="en-US"/>
        </w:rPr>
        <w:t>most commonly used</w:t>
      </w:r>
      <w:proofErr w:type="gramEnd"/>
      <w:r w:rsidRPr="26F64964">
        <w:rPr>
          <w:rFonts w:asciiTheme="minorHAnsi" w:hAnsiTheme="minorHAnsi" w:cstheme="minorBidi"/>
          <w:sz w:val="22"/>
          <w:szCs w:val="22"/>
          <w:lang w:val="en-US"/>
        </w:rPr>
        <w:t xml:space="preserve"> (</w:t>
      </w:r>
      <w:r w:rsidRPr="6A640EE8">
        <w:rPr>
          <w:rFonts w:asciiTheme="minorHAnsi" w:hAnsiTheme="minorHAnsi" w:cstheme="minorBidi"/>
          <w:sz w:val="22"/>
          <w:szCs w:val="22"/>
          <w:highlight w:val="white"/>
          <w:lang w:val="en-US"/>
        </w:rPr>
        <w:t>Hamine et al., 2015</w:t>
      </w:r>
      <w:r w:rsidRPr="26F64964">
        <w:rPr>
          <w:rFonts w:asciiTheme="minorHAnsi" w:hAnsiTheme="minorHAnsi" w:cstheme="minorBidi"/>
          <w:sz w:val="22"/>
          <w:szCs w:val="22"/>
          <w:lang w:val="en-US"/>
        </w:rPr>
        <w:t xml:space="preserve">). This study also found that </w:t>
      </w:r>
      <w:r w:rsidRPr="26F64964">
        <w:rPr>
          <w:rFonts w:asciiTheme="minorHAnsi" w:hAnsiTheme="minorHAnsi" w:cstheme="minorBidi"/>
          <w:sz w:val="22"/>
          <w:szCs w:val="22"/>
          <w:highlight w:val="white"/>
          <w:lang w:val="en-US"/>
        </w:rPr>
        <w:t>the usability, feasibility</w:t>
      </w:r>
      <w:r w:rsidRPr="26F64964">
        <w:rPr>
          <w:rFonts w:asciiTheme="minorHAnsi" w:hAnsiTheme="minorHAnsi" w:cstheme="minorBidi"/>
          <w:sz w:val="22"/>
          <w:szCs w:val="22"/>
          <w:lang w:val="en-US"/>
        </w:rPr>
        <w:t xml:space="preserve">, and acceptability of </w:t>
      </w:r>
      <w:r w:rsidRPr="26F64964">
        <w:rPr>
          <w:rFonts w:asciiTheme="minorHAnsi" w:hAnsiTheme="minorHAnsi" w:cstheme="minorBidi"/>
          <w:sz w:val="22"/>
          <w:szCs w:val="22"/>
          <w:highlight w:val="white"/>
          <w:lang w:val="en-US"/>
        </w:rPr>
        <w:t>patient preferences for</w:t>
      </w:r>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mhealth</w:t>
      </w:r>
      <w:proofErr w:type="spellEnd"/>
      <w:r w:rsidRPr="26F64964">
        <w:rPr>
          <w:rFonts w:asciiTheme="minorHAnsi" w:hAnsiTheme="minorHAnsi" w:cstheme="minorBidi"/>
          <w:sz w:val="22"/>
          <w:szCs w:val="22"/>
          <w:lang w:val="en-US"/>
        </w:rPr>
        <w:t xml:space="preserve"> application</w:t>
      </w:r>
      <w:r w:rsidR="00BF226D" w:rsidRPr="26F64964">
        <w:rPr>
          <w:rFonts w:asciiTheme="minorHAnsi" w:hAnsiTheme="minorHAnsi" w:cstheme="minorBidi"/>
          <w:sz w:val="22"/>
          <w:szCs w:val="22"/>
          <w:lang w:val="en-US"/>
        </w:rPr>
        <w:t>s</w:t>
      </w:r>
      <w:r w:rsidRPr="26F64964">
        <w:rPr>
          <w:rFonts w:asciiTheme="minorHAnsi" w:hAnsiTheme="minorHAnsi" w:cstheme="minorBidi"/>
          <w:sz w:val="22"/>
          <w:szCs w:val="22"/>
          <w:lang w:val="en-US"/>
        </w:rPr>
        <w:t xml:space="preserve"> for medical adherence was generally high. </w:t>
      </w:r>
    </w:p>
    <w:p w14:paraId="264D1087" w14:textId="77777777" w:rsidR="00F63F23" w:rsidRPr="00F656D2" w:rsidRDefault="00F63F23" w:rsidP="00F63F23">
      <w:pPr>
        <w:pStyle w:val="NormalWeb"/>
        <w:spacing w:before="0" w:beforeAutospacing="0" w:after="0" w:afterAutospacing="0" w:line="360" w:lineRule="auto"/>
        <w:jc w:val="both"/>
        <w:rPr>
          <w:rFonts w:asciiTheme="minorHAnsi" w:hAnsiTheme="minorHAnsi" w:cstheme="minorHAnsi"/>
          <w:sz w:val="22"/>
          <w:szCs w:val="22"/>
          <w:lang w:val="en-US"/>
        </w:rPr>
      </w:pPr>
      <w:r w:rsidRPr="00F656D2">
        <w:rPr>
          <w:rFonts w:asciiTheme="minorHAnsi" w:hAnsiTheme="minorHAnsi" w:cstheme="minorHAnsi"/>
          <w:sz w:val="22"/>
          <w:szCs w:val="22"/>
          <w:lang w:val="en-US"/>
        </w:rPr>
        <w:t> </w:t>
      </w:r>
    </w:p>
    <w:p w14:paraId="41AB5B41" w14:textId="208E3B0B" w:rsidR="00F63F23" w:rsidRPr="00F656D2" w:rsidRDefault="00F63F23" w:rsidP="26F64964">
      <w:pPr>
        <w:pStyle w:val="NormalWeb"/>
        <w:spacing w:before="0" w:beforeAutospacing="0" w:after="0" w:afterAutospacing="0"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 xml:space="preserve">Another form of eHealth commonly used is Electronic Health Records (EHR). Electronic health records refer to the systematic collection of electronically stored medical information and </w:t>
      </w:r>
      <w:r w:rsidR="00BF226D" w:rsidRPr="26F64964">
        <w:rPr>
          <w:rFonts w:asciiTheme="minorHAnsi" w:hAnsiTheme="minorHAnsi" w:cstheme="minorBidi"/>
          <w:sz w:val="22"/>
          <w:szCs w:val="22"/>
          <w:lang w:val="en-US"/>
        </w:rPr>
        <w:t xml:space="preserve">the </w:t>
      </w:r>
      <w:r w:rsidRPr="26F64964">
        <w:rPr>
          <w:rFonts w:asciiTheme="minorHAnsi" w:hAnsiTheme="minorHAnsi" w:cstheme="minorBidi"/>
          <w:sz w:val="22"/>
          <w:szCs w:val="22"/>
          <w:lang w:val="en-US"/>
        </w:rPr>
        <w:t xml:space="preserve">history of patients (Kruse, Stein, Thomas &amp; Kaur, 2018). Previous studies have shown the </w:t>
      </w:r>
      <w:r w:rsidRPr="26F64964">
        <w:rPr>
          <w:rFonts w:asciiTheme="minorHAnsi" w:hAnsiTheme="minorHAnsi" w:cstheme="minorBidi"/>
          <w:sz w:val="22"/>
          <w:szCs w:val="22"/>
          <w:lang w:val="en-US"/>
        </w:rPr>
        <w:lastRenderedPageBreak/>
        <w:t xml:space="preserve">benefits of electronic health records, such as </w:t>
      </w:r>
      <w:r w:rsidRPr="26F64964">
        <w:rPr>
          <w:rFonts w:asciiTheme="minorHAnsi" w:hAnsiTheme="minorHAnsi" w:cstheme="minorBidi"/>
          <w:sz w:val="22"/>
          <w:szCs w:val="22"/>
          <w:highlight w:val="white"/>
          <w:lang w:val="en-US"/>
        </w:rPr>
        <w:t>increased productivity/efficiency, increased quality of data and care, and</w:t>
      </w:r>
      <w:r w:rsidRPr="26F64964">
        <w:rPr>
          <w:rFonts w:asciiTheme="minorHAnsi" w:hAnsiTheme="minorHAnsi" w:cstheme="minorBidi"/>
          <w:sz w:val="22"/>
          <w:szCs w:val="22"/>
          <w:lang w:val="en-US"/>
        </w:rPr>
        <w:t xml:space="preserve"> improved </w:t>
      </w:r>
      <w:r w:rsidRPr="26F64964">
        <w:rPr>
          <w:rFonts w:asciiTheme="minorHAnsi" w:hAnsiTheme="minorHAnsi" w:cstheme="minorBidi"/>
          <w:sz w:val="22"/>
          <w:szCs w:val="22"/>
          <w:highlight w:val="white"/>
          <w:lang w:val="en-US"/>
        </w:rPr>
        <w:t>data management</w:t>
      </w:r>
      <w:r w:rsidRPr="26F64964">
        <w:rPr>
          <w:rFonts w:asciiTheme="minorHAnsi" w:hAnsiTheme="minorHAnsi" w:cstheme="minorBidi"/>
          <w:sz w:val="22"/>
          <w:szCs w:val="22"/>
          <w:lang w:val="en-US"/>
        </w:rPr>
        <w:t xml:space="preserve"> (e.g., Baumann, Baker &amp; </w:t>
      </w:r>
      <w:proofErr w:type="spellStart"/>
      <w:r w:rsidRPr="26F64964">
        <w:rPr>
          <w:rFonts w:asciiTheme="minorHAnsi" w:hAnsiTheme="minorHAnsi" w:cstheme="minorBidi"/>
          <w:sz w:val="22"/>
          <w:szCs w:val="22"/>
          <w:lang w:val="en-US"/>
        </w:rPr>
        <w:t>Elshaug</w:t>
      </w:r>
      <w:proofErr w:type="spellEnd"/>
      <w:r w:rsidRPr="26F64964">
        <w:rPr>
          <w:rFonts w:asciiTheme="minorHAnsi" w:hAnsiTheme="minorHAnsi" w:cstheme="minorBidi"/>
          <w:sz w:val="22"/>
          <w:szCs w:val="22"/>
          <w:lang w:val="en-US"/>
        </w:rPr>
        <w:t xml:space="preserve">, 2018; </w:t>
      </w:r>
      <w:proofErr w:type="spellStart"/>
      <w:r w:rsidRPr="26F64964">
        <w:rPr>
          <w:rFonts w:asciiTheme="minorHAnsi" w:hAnsiTheme="minorHAnsi" w:cstheme="minorBidi"/>
          <w:sz w:val="22"/>
          <w:szCs w:val="22"/>
          <w:lang w:val="en-US"/>
        </w:rPr>
        <w:t>Campnella</w:t>
      </w:r>
      <w:proofErr w:type="spellEnd"/>
      <w:r w:rsidRPr="26F64964">
        <w:rPr>
          <w:rFonts w:asciiTheme="minorHAnsi" w:hAnsiTheme="minorHAnsi" w:cstheme="minorBidi"/>
          <w:sz w:val="22"/>
          <w:szCs w:val="22"/>
          <w:lang w:val="en-US"/>
        </w:rPr>
        <w:t xml:space="preserve">, Lovato, </w:t>
      </w:r>
      <w:proofErr w:type="spellStart"/>
      <w:r w:rsidRPr="26F64964">
        <w:rPr>
          <w:rFonts w:asciiTheme="minorHAnsi" w:hAnsiTheme="minorHAnsi" w:cstheme="minorBidi"/>
          <w:sz w:val="22"/>
          <w:szCs w:val="22"/>
          <w:lang w:val="en-US"/>
        </w:rPr>
        <w:t>Marone</w:t>
      </w:r>
      <w:proofErr w:type="spellEnd"/>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Fallacara</w:t>
      </w:r>
      <w:proofErr w:type="spellEnd"/>
      <w:r w:rsidRPr="26F64964">
        <w:rPr>
          <w:rFonts w:asciiTheme="minorHAnsi" w:hAnsiTheme="minorHAnsi" w:cstheme="minorBidi"/>
          <w:sz w:val="22"/>
          <w:szCs w:val="22"/>
          <w:lang w:val="en-US"/>
        </w:rPr>
        <w:t xml:space="preserve">, Mancuso, Ricciardi &amp; </w:t>
      </w:r>
      <w:proofErr w:type="spellStart"/>
      <w:r w:rsidRPr="26F64964">
        <w:rPr>
          <w:rFonts w:asciiTheme="minorHAnsi" w:hAnsiTheme="minorHAnsi" w:cstheme="minorBidi"/>
          <w:sz w:val="22"/>
          <w:szCs w:val="22"/>
          <w:lang w:val="en-US"/>
        </w:rPr>
        <w:t>Specchia</w:t>
      </w:r>
      <w:proofErr w:type="spellEnd"/>
      <w:r w:rsidRPr="26F64964">
        <w:rPr>
          <w:rFonts w:asciiTheme="minorHAnsi" w:hAnsiTheme="minorHAnsi" w:cstheme="minorBidi"/>
          <w:sz w:val="22"/>
          <w:szCs w:val="22"/>
          <w:lang w:val="en-US"/>
        </w:rPr>
        <w:t xml:space="preserve">, 2016; Kruse et al., 2018). A study carried out by Satterfield, </w:t>
      </w:r>
      <w:proofErr w:type="spellStart"/>
      <w:r w:rsidRPr="26F64964">
        <w:rPr>
          <w:rFonts w:asciiTheme="minorHAnsi" w:hAnsiTheme="minorHAnsi" w:cstheme="minorBidi"/>
          <w:sz w:val="22"/>
          <w:szCs w:val="22"/>
          <w:lang w:val="en-US"/>
        </w:rPr>
        <w:t>Dikilitas</w:t>
      </w:r>
      <w:proofErr w:type="spellEnd"/>
      <w:r w:rsidRPr="26F64964">
        <w:rPr>
          <w:rFonts w:asciiTheme="minorHAnsi" w:hAnsiTheme="minorHAnsi" w:cstheme="minorBidi"/>
          <w:sz w:val="22"/>
          <w:szCs w:val="22"/>
          <w:lang w:val="en-US"/>
        </w:rPr>
        <w:t xml:space="preserve">, and </w:t>
      </w:r>
      <w:proofErr w:type="spellStart"/>
      <w:r w:rsidRPr="26F64964">
        <w:rPr>
          <w:rFonts w:asciiTheme="minorHAnsi" w:hAnsiTheme="minorHAnsi" w:cstheme="minorBidi"/>
          <w:sz w:val="22"/>
          <w:szCs w:val="22"/>
          <w:lang w:val="en-US"/>
        </w:rPr>
        <w:t>Kullo</w:t>
      </w:r>
      <w:proofErr w:type="spellEnd"/>
      <w:r w:rsidRPr="26F64964">
        <w:rPr>
          <w:rFonts w:asciiTheme="minorHAnsi" w:hAnsiTheme="minorHAnsi" w:cstheme="minorBidi"/>
          <w:sz w:val="22"/>
          <w:szCs w:val="22"/>
          <w:lang w:val="en-US"/>
        </w:rPr>
        <w:t xml:space="preserve"> (2021) identified how EHR helped address the COVID-19 pandemic</w:t>
      </w:r>
      <w:r w:rsidR="00BF226D" w:rsidRPr="26F64964">
        <w:rPr>
          <w:rFonts w:asciiTheme="minorHAnsi" w:hAnsiTheme="minorHAnsi" w:cstheme="minorBidi"/>
          <w:sz w:val="22"/>
          <w:szCs w:val="22"/>
          <w:lang w:val="en-US"/>
        </w:rPr>
        <w:t xml:space="preserve"> f</w:t>
      </w:r>
      <w:r w:rsidRPr="26F64964">
        <w:rPr>
          <w:rFonts w:asciiTheme="minorHAnsi" w:hAnsiTheme="minorHAnsi" w:cstheme="minorBidi"/>
          <w:sz w:val="22"/>
          <w:szCs w:val="22"/>
          <w:lang w:val="en-US"/>
        </w:rPr>
        <w:t xml:space="preserve">rom using EHR for contact tracing and disease surveillance to real-time monitoring, risk stratification, and identifying genetic susceptibility variants (Satterfield et al., 2021). </w:t>
      </w:r>
    </w:p>
    <w:p w14:paraId="366AAC6C" w14:textId="77777777" w:rsidR="00915545" w:rsidRPr="00F656D2" w:rsidRDefault="00915545" w:rsidP="00F63F23">
      <w:pPr>
        <w:pStyle w:val="NormalWeb"/>
        <w:spacing w:before="0" w:beforeAutospacing="0" w:after="0" w:afterAutospacing="0" w:line="360" w:lineRule="auto"/>
        <w:jc w:val="both"/>
        <w:rPr>
          <w:rFonts w:asciiTheme="minorHAnsi" w:hAnsiTheme="minorHAnsi" w:cstheme="minorHAnsi"/>
          <w:sz w:val="22"/>
          <w:szCs w:val="22"/>
          <w:lang w:val="en-US"/>
        </w:rPr>
      </w:pPr>
    </w:p>
    <w:p w14:paraId="43E3BCE6" w14:textId="4E6765DB" w:rsidR="00F63F23" w:rsidRPr="00F656D2" w:rsidRDefault="00F63F23" w:rsidP="26F64964">
      <w:pPr>
        <w:pStyle w:val="NormalWeb"/>
        <w:spacing w:before="0" w:beforeAutospacing="0" w:after="0" w:afterAutospacing="0"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 xml:space="preserve">Overall, eHealth has been used in different parts of healthcare, such as helping with diagnosis and treatment decisions, medication adherence, and monitoring symptoms and illnesses (Alvarez-Perea, Dimov, Popescu &amp; </w:t>
      </w:r>
      <w:proofErr w:type="spellStart"/>
      <w:r w:rsidRPr="26F64964">
        <w:rPr>
          <w:rFonts w:asciiTheme="minorHAnsi" w:hAnsiTheme="minorHAnsi" w:cstheme="minorBidi"/>
          <w:sz w:val="22"/>
          <w:szCs w:val="22"/>
          <w:lang w:val="en-US"/>
        </w:rPr>
        <w:t>Zubeldia</w:t>
      </w:r>
      <w:proofErr w:type="spellEnd"/>
      <w:r w:rsidRPr="26F64964">
        <w:rPr>
          <w:rFonts w:asciiTheme="minorHAnsi" w:hAnsiTheme="minorHAnsi" w:cstheme="minorBidi"/>
          <w:sz w:val="22"/>
          <w:szCs w:val="22"/>
          <w:lang w:val="en-US"/>
        </w:rPr>
        <w:t xml:space="preserve">, 2021; </w:t>
      </w:r>
      <w:proofErr w:type="spellStart"/>
      <w:r w:rsidRPr="26F64964">
        <w:rPr>
          <w:rFonts w:asciiTheme="minorHAnsi" w:hAnsiTheme="minorHAnsi" w:cstheme="minorBidi"/>
          <w:sz w:val="22"/>
          <w:szCs w:val="22"/>
          <w:lang w:val="en-US"/>
        </w:rPr>
        <w:t>Stefanicka-Wojtas</w:t>
      </w:r>
      <w:proofErr w:type="spellEnd"/>
      <w:r w:rsidRPr="26F64964">
        <w:rPr>
          <w:rFonts w:asciiTheme="minorHAnsi" w:hAnsiTheme="minorHAnsi" w:cstheme="minorBidi"/>
          <w:sz w:val="22"/>
          <w:szCs w:val="22"/>
          <w:lang w:val="en-US"/>
        </w:rPr>
        <w:t xml:space="preserve"> &amp; </w:t>
      </w:r>
      <w:proofErr w:type="spellStart"/>
      <w:r w:rsidRPr="26F64964">
        <w:rPr>
          <w:rFonts w:asciiTheme="minorHAnsi" w:hAnsiTheme="minorHAnsi" w:cstheme="minorBidi"/>
          <w:sz w:val="22"/>
          <w:szCs w:val="22"/>
          <w:lang w:val="en-US"/>
        </w:rPr>
        <w:t>Kurpas</w:t>
      </w:r>
      <w:proofErr w:type="spellEnd"/>
      <w:r w:rsidRPr="26F64964">
        <w:rPr>
          <w:rFonts w:asciiTheme="minorHAnsi" w:hAnsiTheme="minorHAnsi" w:cstheme="minorBidi"/>
          <w:sz w:val="22"/>
          <w:szCs w:val="22"/>
          <w:lang w:val="en-US"/>
        </w:rPr>
        <w:t xml:space="preserve">, 2022). </w:t>
      </w:r>
      <w:proofErr w:type="spellStart"/>
      <w:r w:rsidRPr="26F64964">
        <w:rPr>
          <w:rFonts w:asciiTheme="minorHAnsi" w:hAnsiTheme="minorHAnsi" w:cstheme="minorBidi"/>
          <w:sz w:val="22"/>
          <w:szCs w:val="22"/>
          <w:lang w:val="en-US"/>
        </w:rPr>
        <w:t>Triberti</w:t>
      </w:r>
      <w:proofErr w:type="spellEnd"/>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Savioni</w:t>
      </w:r>
      <w:proofErr w:type="spellEnd"/>
      <w:r w:rsidRPr="26F64964">
        <w:rPr>
          <w:rFonts w:asciiTheme="minorHAnsi" w:hAnsiTheme="minorHAnsi" w:cstheme="minorBidi"/>
          <w:sz w:val="22"/>
          <w:szCs w:val="22"/>
          <w:lang w:val="en-US"/>
        </w:rPr>
        <w:t xml:space="preserve">, </w:t>
      </w:r>
      <w:proofErr w:type="spellStart"/>
      <w:r w:rsidRPr="26F64964">
        <w:rPr>
          <w:rFonts w:asciiTheme="minorHAnsi" w:hAnsiTheme="minorHAnsi" w:cstheme="minorBidi"/>
          <w:sz w:val="22"/>
          <w:szCs w:val="22"/>
          <w:lang w:val="en-US"/>
        </w:rPr>
        <w:t>Sebri</w:t>
      </w:r>
      <w:proofErr w:type="spellEnd"/>
      <w:r w:rsidR="00C56D4C" w:rsidRPr="26F64964">
        <w:rPr>
          <w:rFonts w:asciiTheme="minorHAnsi" w:hAnsiTheme="minorHAnsi" w:cstheme="minorBidi"/>
          <w:sz w:val="22"/>
          <w:szCs w:val="22"/>
          <w:lang w:val="en-US"/>
        </w:rPr>
        <w:t>,</w:t>
      </w:r>
      <w:r w:rsidRPr="26F64964">
        <w:rPr>
          <w:rFonts w:asciiTheme="minorHAnsi" w:hAnsiTheme="minorHAnsi" w:cstheme="minorBidi"/>
          <w:sz w:val="22"/>
          <w:szCs w:val="22"/>
          <w:lang w:val="en-US"/>
        </w:rPr>
        <w:t xml:space="preserve"> and </w:t>
      </w:r>
      <w:proofErr w:type="spellStart"/>
      <w:r w:rsidRPr="26F64964">
        <w:rPr>
          <w:rFonts w:asciiTheme="minorHAnsi" w:hAnsiTheme="minorHAnsi" w:cstheme="minorBidi"/>
          <w:sz w:val="22"/>
          <w:szCs w:val="22"/>
          <w:lang w:val="en-US"/>
        </w:rPr>
        <w:t>Pravettoni</w:t>
      </w:r>
      <w:proofErr w:type="spellEnd"/>
      <w:r w:rsidRPr="26F64964">
        <w:rPr>
          <w:rFonts w:asciiTheme="minorHAnsi" w:hAnsiTheme="minorHAnsi" w:cstheme="minorBidi"/>
          <w:sz w:val="22"/>
          <w:szCs w:val="22"/>
          <w:lang w:val="en-US"/>
        </w:rPr>
        <w:t xml:space="preserve"> (2019) explored how eHealth has been used </w:t>
      </w:r>
      <w:r w:rsidRPr="26F64964">
        <w:rPr>
          <w:rFonts w:asciiTheme="minorHAnsi" w:hAnsiTheme="minorHAnsi" w:cstheme="minorBidi"/>
          <w:sz w:val="22"/>
          <w:szCs w:val="22"/>
          <w:highlight w:val="white"/>
          <w:lang w:val="en-US"/>
        </w:rPr>
        <w:t>to improve the quality of life for</w:t>
      </w:r>
      <w:r w:rsidRPr="26F64964">
        <w:rPr>
          <w:rFonts w:asciiTheme="minorHAnsi" w:hAnsiTheme="minorHAnsi" w:cstheme="minorBidi"/>
          <w:sz w:val="22"/>
          <w:szCs w:val="22"/>
          <w:lang w:val="en-US"/>
        </w:rPr>
        <w:t xml:space="preserve"> breast cancer patients. This study identified the most effective use of eHealth to improve patients’ quality of life by employing the use of multi-component online services that </w:t>
      </w:r>
      <w:r w:rsidRPr="26F64964">
        <w:rPr>
          <w:rFonts w:asciiTheme="minorHAnsi" w:hAnsiTheme="minorHAnsi" w:cstheme="minorBidi"/>
          <w:sz w:val="22"/>
          <w:szCs w:val="22"/>
          <w:highlight w:val="white"/>
          <w:lang w:val="en-US"/>
        </w:rPr>
        <w:t>target multiple</w:t>
      </w:r>
      <w:r w:rsidRPr="26F64964">
        <w:rPr>
          <w:rFonts w:asciiTheme="minorHAnsi" w:hAnsiTheme="minorHAnsi" w:cstheme="minorBidi"/>
          <w:sz w:val="22"/>
          <w:szCs w:val="22"/>
          <w:lang w:val="en-US"/>
        </w:rPr>
        <w:t xml:space="preserve"> areas of </w:t>
      </w:r>
      <w:r w:rsidRPr="26F64964">
        <w:rPr>
          <w:rFonts w:asciiTheme="minorHAnsi" w:hAnsiTheme="minorHAnsi" w:cstheme="minorBidi"/>
          <w:sz w:val="22"/>
          <w:szCs w:val="22"/>
          <w:highlight w:val="white"/>
          <w:lang w:val="en-US"/>
        </w:rPr>
        <w:t>quality of life, such as</w:t>
      </w:r>
      <w:r w:rsidRPr="26F64964">
        <w:rPr>
          <w:rFonts w:asciiTheme="minorHAnsi" w:hAnsiTheme="minorHAnsi" w:cstheme="minorBidi"/>
          <w:sz w:val="22"/>
          <w:szCs w:val="22"/>
          <w:lang w:val="en-US"/>
        </w:rPr>
        <w:t xml:space="preserve"> emotions and coping, </w:t>
      </w:r>
      <w:r w:rsidRPr="26F64964">
        <w:rPr>
          <w:rFonts w:asciiTheme="minorHAnsi" w:hAnsiTheme="minorHAnsi" w:cstheme="minorBidi"/>
          <w:sz w:val="22"/>
          <w:szCs w:val="22"/>
          <w:highlight w:val="white"/>
          <w:lang w:val="en-US"/>
        </w:rPr>
        <w:t>social support, and self-efficacy in health</w:t>
      </w:r>
      <w:r w:rsidRPr="26F64964">
        <w:rPr>
          <w:rFonts w:asciiTheme="minorHAnsi" w:hAnsiTheme="minorHAnsi" w:cstheme="minorBidi"/>
          <w:sz w:val="22"/>
          <w:szCs w:val="22"/>
          <w:lang w:val="en-US"/>
        </w:rPr>
        <w:t xml:space="preserve"> management. Similarly, eHealth has been shown to help prevent diabetes in individuals by intervening and encouraging a healthier lifestyle through mobile phones and web applications (Joiner, Nam &amp; Whittemore, 2017). This study highlights the delivery of the diabetes prevention program using eHealth interventions such as web-based applications, text messages, mobile phone applications, and telehealth video conferencing, which had an impact in reducing excess body weight and preventing type two diabetes (Joiner et al., 2017). Overall, eHealth has also </w:t>
      </w:r>
      <w:r w:rsidRPr="26F64964">
        <w:rPr>
          <w:rFonts w:asciiTheme="minorHAnsi" w:hAnsiTheme="minorHAnsi" w:cstheme="minorBidi"/>
          <w:sz w:val="22"/>
          <w:szCs w:val="22"/>
          <w:highlight w:val="white"/>
          <w:lang w:val="en-US"/>
        </w:rPr>
        <w:t>been shown to play</w:t>
      </w:r>
      <w:r w:rsidRPr="26F64964">
        <w:rPr>
          <w:rFonts w:asciiTheme="minorHAnsi" w:hAnsiTheme="minorHAnsi" w:cstheme="minorBidi"/>
          <w:sz w:val="22"/>
          <w:szCs w:val="22"/>
          <w:lang w:val="en-US"/>
        </w:rPr>
        <w:t xml:space="preserve"> an essential role in several healthcare contexts such as transplants (Abasi, Yazdani, </w:t>
      </w:r>
      <w:proofErr w:type="spellStart"/>
      <w:r w:rsidRPr="26F64964">
        <w:rPr>
          <w:rFonts w:asciiTheme="minorHAnsi" w:hAnsiTheme="minorHAnsi" w:cstheme="minorBidi"/>
          <w:sz w:val="22"/>
          <w:szCs w:val="22"/>
          <w:lang w:val="en-US"/>
        </w:rPr>
        <w:t>Kiani</w:t>
      </w:r>
      <w:proofErr w:type="spellEnd"/>
      <w:r w:rsidRPr="26F64964">
        <w:rPr>
          <w:rFonts w:asciiTheme="minorHAnsi" w:hAnsiTheme="minorHAnsi" w:cstheme="minorBidi"/>
          <w:sz w:val="22"/>
          <w:szCs w:val="22"/>
          <w:lang w:val="en-US"/>
        </w:rPr>
        <w:t xml:space="preserve"> &amp; </w:t>
      </w:r>
      <w:proofErr w:type="spellStart"/>
      <w:r w:rsidRPr="26F64964">
        <w:rPr>
          <w:rFonts w:asciiTheme="minorHAnsi" w:hAnsiTheme="minorHAnsi" w:cstheme="minorBidi"/>
          <w:sz w:val="22"/>
          <w:szCs w:val="22"/>
          <w:lang w:val="en-US"/>
        </w:rPr>
        <w:t>Mahmoudzadeh-Sagheb</w:t>
      </w:r>
      <w:proofErr w:type="spellEnd"/>
      <w:r w:rsidRPr="26F64964">
        <w:rPr>
          <w:rFonts w:asciiTheme="minorHAnsi" w:hAnsiTheme="minorHAnsi" w:cstheme="minorBidi"/>
          <w:sz w:val="22"/>
          <w:szCs w:val="22"/>
          <w:lang w:val="en-US"/>
        </w:rPr>
        <w:t xml:space="preserve">, 2021; </w:t>
      </w:r>
      <w:proofErr w:type="spellStart"/>
      <w:r w:rsidRPr="26F64964">
        <w:rPr>
          <w:rFonts w:asciiTheme="minorHAnsi" w:hAnsiTheme="minorHAnsi" w:cstheme="minorBidi"/>
          <w:sz w:val="22"/>
          <w:szCs w:val="22"/>
          <w:lang w:val="en-US"/>
        </w:rPr>
        <w:t>Savikko</w:t>
      </w:r>
      <w:proofErr w:type="spellEnd"/>
      <w:r w:rsidRPr="26F64964">
        <w:rPr>
          <w:rFonts w:asciiTheme="minorHAnsi" w:hAnsiTheme="minorHAnsi" w:cstheme="minorBidi"/>
          <w:sz w:val="22"/>
          <w:szCs w:val="22"/>
          <w:lang w:val="en-US"/>
        </w:rPr>
        <w:t xml:space="preserve"> &amp; </w:t>
      </w:r>
      <w:proofErr w:type="spellStart"/>
      <w:r w:rsidRPr="26F64964">
        <w:rPr>
          <w:rFonts w:asciiTheme="minorHAnsi" w:hAnsiTheme="minorHAnsi" w:cstheme="minorBidi"/>
          <w:sz w:val="22"/>
          <w:szCs w:val="22"/>
          <w:lang w:val="en-US"/>
        </w:rPr>
        <w:t>Rauta</w:t>
      </w:r>
      <w:proofErr w:type="spellEnd"/>
      <w:r w:rsidRPr="26F64964">
        <w:rPr>
          <w:rFonts w:asciiTheme="minorHAnsi" w:hAnsiTheme="minorHAnsi" w:cstheme="minorBidi"/>
          <w:sz w:val="22"/>
          <w:szCs w:val="22"/>
          <w:lang w:val="en-US"/>
        </w:rPr>
        <w:t xml:space="preserve">, 2019; Sharma, </w:t>
      </w:r>
      <w:proofErr w:type="spellStart"/>
      <w:r w:rsidRPr="26F64964">
        <w:rPr>
          <w:rFonts w:asciiTheme="minorHAnsi" w:hAnsiTheme="minorHAnsi" w:cstheme="minorBidi"/>
          <w:sz w:val="22"/>
          <w:szCs w:val="22"/>
          <w:lang w:val="en-US"/>
        </w:rPr>
        <w:t>Piscoran</w:t>
      </w:r>
      <w:proofErr w:type="spellEnd"/>
      <w:r w:rsidRPr="26F64964">
        <w:rPr>
          <w:rFonts w:asciiTheme="minorHAnsi" w:hAnsiTheme="minorHAnsi" w:cstheme="minorBidi"/>
          <w:sz w:val="22"/>
          <w:szCs w:val="22"/>
          <w:lang w:val="en-US"/>
        </w:rPr>
        <w:t xml:space="preserve">, Summers, </w:t>
      </w:r>
      <w:proofErr w:type="spellStart"/>
      <w:r w:rsidRPr="26F64964">
        <w:rPr>
          <w:rFonts w:asciiTheme="minorHAnsi" w:hAnsiTheme="minorHAnsi" w:cstheme="minorBidi"/>
          <w:sz w:val="22"/>
          <w:szCs w:val="22"/>
          <w:lang w:val="en-US"/>
        </w:rPr>
        <w:t>Woywodt</w:t>
      </w:r>
      <w:proofErr w:type="spellEnd"/>
      <w:r w:rsidRPr="26F64964">
        <w:rPr>
          <w:rFonts w:asciiTheme="minorHAnsi" w:hAnsiTheme="minorHAnsi" w:cstheme="minorBidi"/>
          <w:sz w:val="22"/>
          <w:szCs w:val="22"/>
          <w:lang w:val="en-US"/>
        </w:rPr>
        <w:t>, van der Veer, Ainsworth &amp; Augustine, 2021; Yadav &amp; Singh, 2021).</w:t>
      </w:r>
    </w:p>
    <w:p w14:paraId="12D299CD" w14:textId="4C38B6A5" w:rsidR="00F63F23" w:rsidRPr="004107D8" w:rsidRDefault="00F63F23" w:rsidP="00F63F23">
      <w:pPr>
        <w:pStyle w:val="Heading2"/>
        <w:jc w:val="left"/>
        <w:rPr>
          <w:rFonts w:eastAsia="Times New Roman"/>
          <w:color w:val="7030A0"/>
          <w:lang w:val="en-GB" w:eastAsia="en-GB"/>
        </w:rPr>
      </w:pPr>
      <w:bookmarkStart w:id="9" w:name="_Toc166853980"/>
      <w:r>
        <w:rPr>
          <w:rFonts w:eastAsia="Times New Roman"/>
          <w:lang w:val="en-GB" w:eastAsia="en-GB"/>
        </w:rPr>
        <w:t>2.2 Role of Digital Health (</w:t>
      </w:r>
      <w:r w:rsidR="005F322D">
        <w:rPr>
          <w:rFonts w:eastAsia="Times New Roman"/>
          <w:lang w:val="en-GB" w:eastAsia="en-GB"/>
        </w:rPr>
        <w:t>e</w:t>
      </w:r>
      <w:r>
        <w:rPr>
          <w:rFonts w:eastAsia="Times New Roman"/>
          <w:lang w:val="en-GB" w:eastAsia="en-GB"/>
        </w:rPr>
        <w:t>Health) in Transplant</w:t>
      </w:r>
      <w:r w:rsidRPr="00B86928">
        <w:t xml:space="preserve"> context</w:t>
      </w:r>
      <w:bookmarkEnd w:id="9"/>
    </w:p>
    <w:p w14:paraId="34630392" w14:textId="431D6625" w:rsidR="00F63F23" w:rsidRPr="00F656D2" w:rsidRDefault="00F63F23" w:rsidP="26F64964">
      <w:pPr>
        <w:pStyle w:val="NormalWeb"/>
        <w:spacing w:line="360" w:lineRule="auto"/>
        <w:jc w:val="both"/>
        <w:rPr>
          <w:rFonts w:asciiTheme="minorHAnsi" w:hAnsiTheme="minorHAnsi" w:cstheme="minorBidi"/>
          <w:color w:val="212121"/>
          <w:sz w:val="22"/>
          <w:szCs w:val="22"/>
          <w:lang w:val="en-GB"/>
        </w:rPr>
      </w:pPr>
      <w:r w:rsidRPr="26F64964">
        <w:rPr>
          <w:rFonts w:asciiTheme="minorHAnsi" w:hAnsiTheme="minorHAnsi" w:cstheme="minorBidi"/>
          <w:color w:val="212121"/>
          <w:sz w:val="22"/>
          <w:szCs w:val="22"/>
          <w:lang w:val="en-GB"/>
        </w:rPr>
        <w:t xml:space="preserve">Diseases and pre-existing medical issues drive individuals to seek organ transplants to address their medical issues </w:t>
      </w:r>
      <w:r w:rsidRPr="26F64964">
        <w:rPr>
          <w:rFonts w:asciiTheme="minorHAnsi" w:hAnsiTheme="minorHAnsi" w:cstheme="minorBidi"/>
          <w:color w:val="212121"/>
          <w:sz w:val="22"/>
          <w:szCs w:val="22"/>
          <w:lang w:val="en-US"/>
        </w:rPr>
        <w:t>(Linden, 2009)</w:t>
      </w:r>
      <w:r w:rsidRPr="26F64964">
        <w:rPr>
          <w:rFonts w:asciiTheme="minorHAnsi" w:hAnsiTheme="minorHAnsi" w:cstheme="minorBidi"/>
          <w:color w:val="212121"/>
          <w:sz w:val="22"/>
          <w:szCs w:val="22"/>
          <w:lang w:val="en-GB"/>
        </w:rPr>
        <w:t xml:space="preserve">. Solid organ transplantation offers individuals life-saving treatment for illnesses considered terminal and impairments affecting a patient's quality of life (Black, </w:t>
      </w:r>
      <w:proofErr w:type="spellStart"/>
      <w:r w:rsidRPr="26F64964">
        <w:rPr>
          <w:rFonts w:asciiTheme="minorHAnsi" w:hAnsiTheme="minorHAnsi" w:cstheme="minorBidi"/>
          <w:color w:val="212121"/>
          <w:sz w:val="22"/>
          <w:szCs w:val="22"/>
          <w:lang w:val="en-GB"/>
        </w:rPr>
        <w:t>Termanini</w:t>
      </w:r>
      <w:proofErr w:type="spellEnd"/>
      <w:r w:rsidRPr="26F64964">
        <w:rPr>
          <w:rFonts w:asciiTheme="minorHAnsi" w:hAnsiTheme="minorHAnsi" w:cstheme="minorBidi"/>
          <w:color w:val="212121"/>
          <w:sz w:val="22"/>
          <w:szCs w:val="22"/>
          <w:lang w:val="en-GB"/>
        </w:rPr>
        <w:t xml:space="preserve">, Aguirre, Hawksworth &amp; Sosin, 2018). Unfortunately, </w:t>
      </w:r>
      <w:r w:rsidRPr="26F64964">
        <w:rPr>
          <w:rFonts w:asciiTheme="minorHAnsi" w:hAnsiTheme="minorHAnsi" w:cstheme="minorBidi"/>
          <w:color w:val="212121"/>
          <w:sz w:val="22"/>
          <w:szCs w:val="22"/>
          <w:highlight w:val="white"/>
          <w:lang w:val="en-GB"/>
        </w:rPr>
        <w:t>there is a shortage of organ donors</w:t>
      </w:r>
      <w:r w:rsidRPr="26F64964">
        <w:rPr>
          <w:rFonts w:asciiTheme="minorHAnsi" w:hAnsiTheme="minorHAnsi" w:cstheme="minorBidi"/>
          <w:color w:val="212121"/>
          <w:sz w:val="22"/>
          <w:szCs w:val="22"/>
          <w:lang w:val="en-GB"/>
        </w:rPr>
        <w:t xml:space="preserve"> across the globe, with supply failing to keep up with demands </w:t>
      </w:r>
      <w:r w:rsidRPr="26F64964">
        <w:rPr>
          <w:rFonts w:asciiTheme="minorHAnsi" w:hAnsiTheme="minorHAnsi" w:cstheme="minorBidi"/>
          <w:color w:val="212121"/>
          <w:sz w:val="22"/>
          <w:szCs w:val="22"/>
          <w:lang w:val="en-US"/>
        </w:rPr>
        <w:t>(</w:t>
      </w:r>
      <w:proofErr w:type="spellStart"/>
      <w:r w:rsidRPr="26F64964">
        <w:rPr>
          <w:rFonts w:asciiTheme="minorHAnsi" w:hAnsiTheme="minorHAnsi" w:cstheme="minorBidi"/>
          <w:color w:val="212121"/>
          <w:sz w:val="22"/>
          <w:szCs w:val="22"/>
          <w:lang w:val="en-US"/>
        </w:rPr>
        <w:t>Kabbur</w:t>
      </w:r>
      <w:proofErr w:type="spellEnd"/>
      <w:r w:rsidRPr="26F64964">
        <w:rPr>
          <w:rFonts w:asciiTheme="minorHAnsi" w:hAnsiTheme="minorHAnsi" w:cstheme="minorBidi"/>
          <w:color w:val="212121"/>
          <w:sz w:val="22"/>
          <w:szCs w:val="22"/>
          <w:lang w:val="en-US"/>
        </w:rPr>
        <w:t>, 2016)</w:t>
      </w:r>
      <w:r w:rsidRPr="26F64964">
        <w:rPr>
          <w:rFonts w:asciiTheme="minorHAnsi" w:hAnsiTheme="minorHAnsi" w:cstheme="minorBidi"/>
          <w:color w:val="212121"/>
          <w:sz w:val="22"/>
          <w:szCs w:val="22"/>
          <w:lang w:val="en-GB"/>
        </w:rPr>
        <w:t xml:space="preserve">. For example, currently, in New Zealand, there is a long waiting list of patients seeking donors, which often pushes individuals to travel overseas for organ transplants </w:t>
      </w:r>
      <w:r w:rsidRPr="26F64964">
        <w:rPr>
          <w:rFonts w:asciiTheme="minorHAnsi" w:hAnsiTheme="minorHAnsi" w:cstheme="minorBidi"/>
          <w:color w:val="212121"/>
          <w:sz w:val="22"/>
          <w:szCs w:val="22"/>
          <w:lang w:val="en-US"/>
        </w:rPr>
        <w:t>(Malpas, 2018)</w:t>
      </w:r>
      <w:r w:rsidRPr="26F64964">
        <w:rPr>
          <w:rFonts w:asciiTheme="minorHAnsi" w:hAnsiTheme="minorHAnsi" w:cstheme="minorBidi"/>
          <w:color w:val="212121"/>
          <w:sz w:val="22"/>
          <w:szCs w:val="22"/>
          <w:lang w:val="en-GB"/>
        </w:rPr>
        <w:t>. The process of getting a transplantation can be a long and arduous process, which can consume time, money</w:t>
      </w:r>
      <w:r w:rsidR="00C56D4C" w:rsidRPr="26F64964">
        <w:rPr>
          <w:rFonts w:asciiTheme="minorHAnsi" w:hAnsiTheme="minorHAnsi" w:cstheme="minorBidi"/>
          <w:color w:val="212121"/>
          <w:sz w:val="22"/>
          <w:szCs w:val="22"/>
          <w:lang w:val="en-GB"/>
        </w:rPr>
        <w:t>,</w:t>
      </w:r>
      <w:r w:rsidRPr="26F64964">
        <w:rPr>
          <w:rFonts w:asciiTheme="minorHAnsi" w:hAnsiTheme="minorHAnsi" w:cstheme="minorBidi"/>
          <w:color w:val="212121"/>
          <w:sz w:val="22"/>
          <w:szCs w:val="22"/>
          <w:lang w:val="en-GB"/>
        </w:rPr>
        <w:t xml:space="preserve"> </w:t>
      </w:r>
      <w:r w:rsidRPr="26F64964">
        <w:rPr>
          <w:rFonts w:asciiTheme="minorHAnsi" w:hAnsiTheme="minorHAnsi" w:cstheme="minorBidi"/>
          <w:color w:val="212121"/>
          <w:sz w:val="22"/>
          <w:szCs w:val="22"/>
          <w:lang w:val="en-GB"/>
        </w:rPr>
        <w:lastRenderedPageBreak/>
        <w:t>and resources for both patients and providers (</w:t>
      </w:r>
      <w:proofErr w:type="spellStart"/>
      <w:r w:rsidRPr="26F64964">
        <w:rPr>
          <w:rFonts w:asciiTheme="minorHAnsi" w:hAnsiTheme="minorHAnsi" w:cstheme="minorBidi"/>
          <w:color w:val="212121"/>
          <w:sz w:val="22"/>
          <w:szCs w:val="22"/>
          <w:highlight w:val="white"/>
          <w:lang w:val="en-GB"/>
        </w:rPr>
        <w:t>Vanholder</w:t>
      </w:r>
      <w:proofErr w:type="spellEnd"/>
      <w:r w:rsidRPr="26F64964">
        <w:rPr>
          <w:rFonts w:asciiTheme="minorHAnsi" w:hAnsiTheme="minorHAnsi" w:cstheme="minorBidi"/>
          <w:color w:val="212121"/>
          <w:sz w:val="22"/>
          <w:szCs w:val="22"/>
          <w:highlight w:val="white"/>
          <w:lang w:val="en-GB"/>
        </w:rPr>
        <w:t xml:space="preserve">, </w:t>
      </w:r>
      <w:r w:rsidRPr="26F64964">
        <w:rPr>
          <w:rFonts w:asciiTheme="minorHAnsi" w:hAnsiTheme="minorHAnsi" w:cstheme="minorBidi"/>
          <w:color w:val="212121"/>
          <w:sz w:val="22"/>
          <w:szCs w:val="22"/>
          <w:highlight w:val="white"/>
        </w:rPr>
        <w:t>Domínguez-Gil,</w:t>
      </w:r>
      <w:r w:rsidRPr="26F64964">
        <w:rPr>
          <w:rFonts w:asciiTheme="minorHAnsi" w:hAnsiTheme="minorHAnsi" w:cstheme="minorBidi"/>
          <w:color w:val="212121"/>
          <w:sz w:val="22"/>
          <w:szCs w:val="22"/>
        </w:rPr>
        <w:t xml:space="preserve"> </w:t>
      </w:r>
      <w:r w:rsidRPr="26F64964">
        <w:rPr>
          <w:rFonts w:asciiTheme="minorHAnsi" w:hAnsiTheme="minorHAnsi" w:cstheme="minorBidi"/>
          <w:color w:val="212121"/>
          <w:sz w:val="22"/>
          <w:szCs w:val="22"/>
          <w:highlight w:val="white"/>
        </w:rPr>
        <w:t xml:space="preserve">Busic, Cortez-Pinto, Craig, Jager, </w:t>
      </w:r>
      <w:proofErr w:type="spellStart"/>
      <w:r w:rsidRPr="26F64964">
        <w:rPr>
          <w:rFonts w:asciiTheme="minorHAnsi" w:hAnsiTheme="minorHAnsi" w:cstheme="minorBidi"/>
          <w:color w:val="212121"/>
          <w:sz w:val="22"/>
          <w:szCs w:val="22"/>
          <w:highlight w:val="white"/>
        </w:rPr>
        <w:t>Mahillo</w:t>
      </w:r>
      <w:proofErr w:type="spellEnd"/>
      <w:r w:rsidRPr="26F64964">
        <w:rPr>
          <w:rFonts w:asciiTheme="minorHAnsi" w:hAnsiTheme="minorHAnsi" w:cstheme="minorBidi"/>
          <w:color w:val="212121"/>
          <w:sz w:val="22"/>
          <w:szCs w:val="22"/>
          <w:highlight w:val="white"/>
        </w:rPr>
        <w:t xml:space="preserve">, Stel, Valentin, Zoccali &amp; </w:t>
      </w:r>
      <w:proofErr w:type="spellStart"/>
      <w:r w:rsidRPr="26F64964">
        <w:rPr>
          <w:rFonts w:asciiTheme="minorHAnsi" w:hAnsiTheme="minorHAnsi" w:cstheme="minorBidi"/>
          <w:color w:val="212121"/>
          <w:sz w:val="22"/>
          <w:szCs w:val="22"/>
          <w:highlight w:val="white"/>
        </w:rPr>
        <w:t>Oniscu</w:t>
      </w:r>
      <w:proofErr w:type="spellEnd"/>
      <w:r w:rsidRPr="26F64964">
        <w:rPr>
          <w:rFonts w:asciiTheme="minorHAnsi" w:hAnsiTheme="minorHAnsi" w:cstheme="minorBidi"/>
          <w:color w:val="212121"/>
          <w:sz w:val="22"/>
          <w:szCs w:val="22"/>
          <w:highlight w:val="white"/>
        </w:rPr>
        <w:t>, 2021</w:t>
      </w:r>
      <w:r w:rsidRPr="26F64964">
        <w:rPr>
          <w:rFonts w:asciiTheme="minorHAnsi" w:hAnsiTheme="minorHAnsi" w:cstheme="minorBidi"/>
          <w:color w:val="212121"/>
          <w:sz w:val="22"/>
          <w:szCs w:val="22"/>
          <w:lang w:val="en-GB"/>
        </w:rPr>
        <w:t xml:space="preserve">). </w:t>
      </w:r>
      <w:r w:rsidRPr="26F64964">
        <w:rPr>
          <w:rFonts w:asciiTheme="minorHAnsi" w:hAnsiTheme="minorHAnsi" w:cstheme="minorBidi"/>
          <w:color w:val="212121"/>
          <w:sz w:val="22"/>
          <w:szCs w:val="22"/>
          <w:highlight w:val="white"/>
          <w:lang w:val="en-GB"/>
        </w:rPr>
        <w:t>Lack of knowledge about organ transplantation</w:t>
      </w:r>
      <w:r w:rsidRPr="26F64964">
        <w:rPr>
          <w:rFonts w:asciiTheme="minorHAnsi" w:hAnsiTheme="minorHAnsi" w:cstheme="minorBidi"/>
          <w:color w:val="212121"/>
          <w:sz w:val="22"/>
          <w:szCs w:val="22"/>
          <w:lang w:val="en-GB"/>
        </w:rPr>
        <w:t xml:space="preserve"> has been identified as a barrier (Hamid, Rogers, Chawla, Gill, </w:t>
      </w:r>
      <w:proofErr w:type="spellStart"/>
      <w:r w:rsidRPr="26F64964">
        <w:rPr>
          <w:rFonts w:asciiTheme="minorHAnsi" w:hAnsiTheme="minorHAnsi" w:cstheme="minorBidi"/>
          <w:color w:val="212121"/>
          <w:sz w:val="22"/>
          <w:szCs w:val="22"/>
          <w:lang w:val="en-GB"/>
        </w:rPr>
        <w:t>Macanovic</w:t>
      </w:r>
      <w:proofErr w:type="spellEnd"/>
      <w:r w:rsidRPr="26F64964">
        <w:rPr>
          <w:rFonts w:asciiTheme="minorHAnsi" w:hAnsiTheme="minorHAnsi" w:cstheme="minorBidi"/>
          <w:color w:val="212121"/>
          <w:sz w:val="22"/>
          <w:szCs w:val="22"/>
          <w:lang w:val="en-GB"/>
        </w:rPr>
        <w:t xml:space="preserve"> &amp; </w:t>
      </w:r>
      <w:proofErr w:type="spellStart"/>
      <w:r w:rsidRPr="26F64964">
        <w:rPr>
          <w:rFonts w:asciiTheme="minorHAnsi" w:hAnsiTheme="minorHAnsi" w:cstheme="minorBidi"/>
          <w:color w:val="212121"/>
          <w:sz w:val="22"/>
          <w:szCs w:val="22"/>
          <w:lang w:val="en-GB"/>
        </w:rPr>
        <w:t>Mucsi</w:t>
      </w:r>
      <w:proofErr w:type="spellEnd"/>
      <w:r w:rsidRPr="26F64964">
        <w:rPr>
          <w:rFonts w:asciiTheme="minorHAnsi" w:hAnsiTheme="minorHAnsi" w:cstheme="minorBidi"/>
          <w:color w:val="212121"/>
          <w:sz w:val="22"/>
          <w:szCs w:val="22"/>
          <w:lang w:val="en-GB"/>
        </w:rPr>
        <w:t xml:space="preserve">, 2022). </w:t>
      </w:r>
    </w:p>
    <w:p w14:paraId="558CD76C" w14:textId="0A219282" w:rsidR="00F63F23" w:rsidRPr="00F656D2" w:rsidRDefault="00F63F23" w:rsidP="26F64964">
      <w:pPr>
        <w:pStyle w:val="NormalWeb"/>
        <w:spacing w:line="360" w:lineRule="auto"/>
        <w:jc w:val="both"/>
        <w:rPr>
          <w:rFonts w:asciiTheme="minorHAnsi" w:hAnsiTheme="minorHAnsi" w:cstheme="minorBidi"/>
          <w:color w:val="212121"/>
          <w:sz w:val="22"/>
          <w:szCs w:val="22"/>
          <w:lang w:val="en-GB"/>
        </w:rPr>
      </w:pPr>
      <w:r w:rsidRPr="26F64964">
        <w:rPr>
          <w:rFonts w:asciiTheme="minorHAnsi" w:hAnsiTheme="minorHAnsi" w:cstheme="minorBidi"/>
          <w:color w:val="212121"/>
          <w:sz w:val="22"/>
          <w:szCs w:val="22"/>
          <w:lang w:val="en-GB"/>
        </w:rPr>
        <w:t xml:space="preserve">However, recent studies have demonstrated the positive impact </w:t>
      </w:r>
      <w:r w:rsidR="005F322D" w:rsidRPr="26F64964">
        <w:rPr>
          <w:rFonts w:asciiTheme="minorHAnsi" w:hAnsiTheme="minorHAnsi" w:cstheme="minorBidi"/>
          <w:color w:val="212121"/>
          <w:sz w:val="22"/>
          <w:szCs w:val="22"/>
          <w:lang w:val="en-GB"/>
        </w:rPr>
        <w:t>e</w:t>
      </w:r>
      <w:r w:rsidRPr="26F64964">
        <w:rPr>
          <w:rFonts w:asciiTheme="minorHAnsi" w:hAnsiTheme="minorHAnsi" w:cstheme="minorBidi"/>
          <w:color w:val="212121"/>
          <w:sz w:val="22"/>
          <w:szCs w:val="22"/>
          <w:lang w:val="en-GB"/>
        </w:rPr>
        <w:t xml:space="preserve">Health has on </w:t>
      </w:r>
      <w:r w:rsidR="00C56D4C" w:rsidRPr="26F64964">
        <w:rPr>
          <w:rFonts w:asciiTheme="minorHAnsi" w:hAnsiTheme="minorHAnsi" w:cstheme="minorBidi"/>
          <w:color w:val="212121"/>
          <w:sz w:val="22"/>
          <w:szCs w:val="22"/>
          <w:lang w:val="en-GB"/>
        </w:rPr>
        <w:t xml:space="preserve">the </w:t>
      </w:r>
      <w:r w:rsidRPr="26F64964">
        <w:rPr>
          <w:rFonts w:asciiTheme="minorHAnsi" w:hAnsiTheme="minorHAnsi" w:cstheme="minorBidi"/>
          <w:sz w:val="22"/>
          <w:szCs w:val="22"/>
          <w:lang w:val="en-GB"/>
        </w:rPr>
        <w:t xml:space="preserve">transplantation process. </w:t>
      </w:r>
      <w:r w:rsidRPr="26F64964">
        <w:rPr>
          <w:rFonts w:asciiTheme="minorHAnsi" w:hAnsiTheme="minorHAnsi" w:cstheme="minorBidi"/>
          <w:color w:val="212121"/>
          <w:sz w:val="22"/>
          <w:szCs w:val="22"/>
          <w:lang w:val="en-GB"/>
        </w:rPr>
        <w:t>eHealth has been shown to improve and support the processes and different phases of transplantation: pre-transplantation, during transplantation</w:t>
      </w:r>
      <w:r w:rsidR="00C56D4C" w:rsidRPr="26F64964">
        <w:rPr>
          <w:rFonts w:asciiTheme="minorHAnsi" w:hAnsiTheme="minorHAnsi" w:cstheme="minorBidi"/>
          <w:color w:val="212121"/>
          <w:sz w:val="22"/>
          <w:szCs w:val="22"/>
          <w:lang w:val="en-GB"/>
        </w:rPr>
        <w:t>,</w:t>
      </w:r>
      <w:r w:rsidRPr="26F64964">
        <w:rPr>
          <w:rFonts w:asciiTheme="minorHAnsi" w:hAnsiTheme="minorHAnsi" w:cstheme="minorBidi"/>
          <w:color w:val="212121"/>
          <w:sz w:val="22"/>
          <w:szCs w:val="22"/>
          <w:lang w:val="en-GB"/>
        </w:rPr>
        <w:t xml:space="preserve"> and </w:t>
      </w:r>
      <w:r w:rsidR="00C56D4C" w:rsidRPr="26F64964">
        <w:rPr>
          <w:rFonts w:asciiTheme="minorHAnsi" w:hAnsiTheme="minorHAnsi" w:cstheme="minorBidi"/>
          <w:color w:val="212121"/>
          <w:sz w:val="22"/>
          <w:szCs w:val="22"/>
          <w:lang w:val="en-GB"/>
        </w:rPr>
        <w:t>post-</w:t>
      </w:r>
      <w:r w:rsidRPr="26F64964">
        <w:rPr>
          <w:rFonts w:asciiTheme="minorHAnsi" w:hAnsiTheme="minorHAnsi" w:cstheme="minorBidi"/>
          <w:color w:val="212121"/>
          <w:sz w:val="22"/>
          <w:szCs w:val="22"/>
          <w:lang w:val="en-GB"/>
        </w:rPr>
        <w:t>transplantation (</w:t>
      </w:r>
      <w:proofErr w:type="spellStart"/>
      <w:r w:rsidRPr="26F64964">
        <w:rPr>
          <w:rFonts w:asciiTheme="minorHAnsi" w:hAnsiTheme="minorHAnsi" w:cstheme="minorBidi"/>
          <w:color w:val="212121"/>
          <w:sz w:val="22"/>
          <w:szCs w:val="22"/>
          <w:lang w:val="en-GB"/>
        </w:rPr>
        <w:t>Duettmann</w:t>
      </w:r>
      <w:proofErr w:type="spellEnd"/>
      <w:r w:rsidR="006057EC" w:rsidRPr="26F64964">
        <w:rPr>
          <w:rFonts w:asciiTheme="minorHAnsi" w:hAnsiTheme="minorHAnsi" w:cstheme="minorBidi"/>
          <w:color w:val="212121"/>
          <w:sz w:val="22"/>
          <w:szCs w:val="22"/>
          <w:lang w:val="en-GB"/>
        </w:rPr>
        <w:t xml:space="preserve"> et al.,</w:t>
      </w:r>
      <w:r w:rsidRPr="26F64964">
        <w:rPr>
          <w:rFonts w:asciiTheme="minorHAnsi" w:hAnsiTheme="minorHAnsi" w:cstheme="minorBidi"/>
          <w:color w:val="212121"/>
          <w:sz w:val="22"/>
          <w:szCs w:val="22"/>
          <w:lang w:val="en-GB"/>
        </w:rPr>
        <w:t xml:space="preserve"> 2021).   </w:t>
      </w:r>
    </w:p>
    <w:p w14:paraId="17312CD8" w14:textId="321D6E40" w:rsidR="00F63F23" w:rsidRPr="00F656D2" w:rsidRDefault="00F63F23" w:rsidP="26F64964">
      <w:pPr>
        <w:pStyle w:val="NormalWeb"/>
        <w:spacing w:line="360" w:lineRule="auto"/>
        <w:jc w:val="both"/>
        <w:rPr>
          <w:rFonts w:asciiTheme="minorHAnsi" w:hAnsiTheme="minorHAnsi" w:cstheme="minorBidi"/>
          <w:color w:val="212121"/>
          <w:sz w:val="22"/>
          <w:szCs w:val="22"/>
          <w:lang w:val="en-GB"/>
        </w:rPr>
      </w:pPr>
      <w:r w:rsidRPr="26F64964">
        <w:rPr>
          <w:rFonts w:asciiTheme="minorHAnsi" w:hAnsiTheme="minorHAnsi" w:cstheme="minorBidi"/>
          <w:color w:val="212121"/>
          <w:sz w:val="22"/>
          <w:szCs w:val="22"/>
          <w:lang w:val="en-GB"/>
        </w:rPr>
        <w:t>With the pre-transplantation process, eHealth has been used to improve organ donation, awareness</w:t>
      </w:r>
      <w:r w:rsidR="00C56D4C" w:rsidRPr="26F64964">
        <w:rPr>
          <w:rFonts w:asciiTheme="minorHAnsi" w:hAnsiTheme="minorHAnsi" w:cstheme="minorBidi"/>
          <w:color w:val="212121"/>
          <w:sz w:val="22"/>
          <w:szCs w:val="22"/>
          <w:lang w:val="en-GB"/>
        </w:rPr>
        <w:t>,</w:t>
      </w:r>
      <w:r w:rsidRPr="26F64964">
        <w:rPr>
          <w:rFonts w:asciiTheme="minorHAnsi" w:hAnsiTheme="minorHAnsi" w:cstheme="minorBidi"/>
          <w:color w:val="212121"/>
          <w:sz w:val="22"/>
          <w:szCs w:val="22"/>
          <w:lang w:val="en-GB"/>
        </w:rPr>
        <w:t xml:space="preserve"> and knowledge (</w:t>
      </w:r>
      <w:proofErr w:type="spellStart"/>
      <w:r w:rsidRPr="26F64964">
        <w:rPr>
          <w:rFonts w:asciiTheme="minorHAnsi" w:hAnsiTheme="minorHAnsi" w:cstheme="minorBidi"/>
          <w:color w:val="212121"/>
          <w:sz w:val="22"/>
          <w:szCs w:val="22"/>
          <w:lang w:val="en-GB"/>
        </w:rPr>
        <w:t>Duettmann</w:t>
      </w:r>
      <w:proofErr w:type="spellEnd"/>
      <w:r w:rsidRPr="26F64964">
        <w:rPr>
          <w:rFonts w:asciiTheme="minorHAnsi" w:hAnsiTheme="minorHAnsi" w:cstheme="minorBidi"/>
          <w:color w:val="212121"/>
          <w:sz w:val="22"/>
          <w:szCs w:val="22"/>
          <w:lang w:val="en-GB"/>
        </w:rPr>
        <w:t xml:space="preserve"> et al., 2021). For example, in Finland</w:t>
      </w:r>
      <w:r w:rsidR="00C56D4C" w:rsidRPr="26F64964">
        <w:rPr>
          <w:rFonts w:asciiTheme="minorHAnsi" w:hAnsiTheme="minorHAnsi" w:cstheme="minorBidi"/>
          <w:color w:val="212121"/>
          <w:sz w:val="22"/>
          <w:szCs w:val="22"/>
          <w:lang w:val="en-GB"/>
        </w:rPr>
        <w:t>,</w:t>
      </w:r>
      <w:r w:rsidRPr="26F64964">
        <w:rPr>
          <w:rFonts w:asciiTheme="minorHAnsi" w:hAnsiTheme="minorHAnsi" w:cstheme="minorBidi"/>
          <w:color w:val="212121"/>
          <w:sz w:val="22"/>
          <w:szCs w:val="22"/>
          <w:lang w:val="en-GB"/>
        </w:rPr>
        <w:t xml:space="preserve"> a web portal educates the public and patients on transplantation, kidney donations and kidney diseases (Ortiz &amp; </w:t>
      </w:r>
      <w:proofErr w:type="spellStart"/>
      <w:r w:rsidRPr="26F64964">
        <w:rPr>
          <w:rFonts w:asciiTheme="minorHAnsi" w:hAnsiTheme="minorHAnsi" w:cstheme="minorBidi"/>
          <w:color w:val="212121"/>
          <w:sz w:val="22"/>
          <w:szCs w:val="22"/>
          <w:lang w:val="en-GB"/>
        </w:rPr>
        <w:t>Giunti</w:t>
      </w:r>
      <w:proofErr w:type="spellEnd"/>
      <w:r w:rsidRPr="26F64964">
        <w:rPr>
          <w:rFonts w:asciiTheme="minorHAnsi" w:hAnsiTheme="minorHAnsi" w:cstheme="minorBidi"/>
          <w:color w:val="212121"/>
          <w:sz w:val="22"/>
          <w:szCs w:val="22"/>
          <w:lang w:val="en-GB"/>
        </w:rPr>
        <w:t>, 2022). A study has shown an increase in self-referrals for kidney donations with the use of an interactive web-based application (Moore, Feurer, Zavala, Shaffer, Karp, Hoy &amp; Moore, 2013). Not only did self-referrals increase from 61 to 116 per month</w:t>
      </w:r>
      <w:r w:rsidR="00C56D4C" w:rsidRPr="26F64964">
        <w:rPr>
          <w:rFonts w:asciiTheme="minorHAnsi" w:hAnsiTheme="minorHAnsi" w:cstheme="minorBidi"/>
          <w:color w:val="212121"/>
          <w:sz w:val="22"/>
          <w:szCs w:val="22"/>
          <w:lang w:val="en-GB"/>
        </w:rPr>
        <w:t>,</w:t>
      </w:r>
      <w:r w:rsidRPr="26F64964">
        <w:rPr>
          <w:rFonts w:asciiTheme="minorHAnsi" w:hAnsiTheme="minorHAnsi" w:cstheme="minorBidi"/>
          <w:color w:val="212121"/>
          <w:sz w:val="22"/>
          <w:szCs w:val="22"/>
          <w:lang w:val="en-GB"/>
        </w:rPr>
        <w:t xml:space="preserve"> which has translated to more transplants</w:t>
      </w:r>
      <w:r w:rsidR="00C56D4C" w:rsidRPr="26F64964">
        <w:rPr>
          <w:rFonts w:asciiTheme="minorHAnsi" w:hAnsiTheme="minorHAnsi" w:cstheme="minorBidi"/>
          <w:color w:val="212121"/>
          <w:sz w:val="22"/>
          <w:szCs w:val="22"/>
          <w:lang w:val="en-GB"/>
        </w:rPr>
        <w:t>,</w:t>
      </w:r>
      <w:r w:rsidRPr="26F64964">
        <w:rPr>
          <w:rFonts w:asciiTheme="minorHAnsi" w:hAnsiTheme="minorHAnsi" w:cstheme="minorBidi"/>
          <w:color w:val="212121"/>
          <w:sz w:val="22"/>
          <w:szCs w:val="22"/>
          <w:lang w:val="en-GB"/>
        </w:rPr>
        <w:t xml:space="preserve"> but </w:t>
      </w:r>
      <w:r w:rsidRPr="26F64964">
        <w:rPr>
          <w:rFonts w:asciiTheme="minorHAnsi" w:hAnsiTheme="minorHAnsi" w:cstheme="minorBidi"/>
          <w:color w:val="212121"/>
          <w:sz w:val="22"/>
          <w:szCs w:val="22"/>
          <w:highlight w:val="white"/>
          <w:lang w:val="en-GB"/>
        </w:rPr>
        <w:t>the use of the web-based application</w:t>
      </w:r>
      <w:r w:rsidRPr="26F64964">
        <w:rPr>
          <w:rFonts w:asciiTheme="minorHAnsi" w:hAnsiTheme="minorHAnsi" w:cstheme="minorBidi"/>
          <w:color w:val="212121"/>
          <w:sz w:val="22"/>
          <w:szCs w:val="22"/>
          <w:lang w:val="en-GB"/>
        </w:rPr>
        <w:t xml:space="preserve"> has also led to cost-savings such as saving providers the time of having to screen and exclude ineligible donors (Moore et al., 2013). Another study developed and implemented the use of </w:t>
      </w:r>
      <w:r w:rsidRPr="26F64964">
        <w:rPr>
          <w:rFonts w:asciiTheme="minorHAnsi" w:hAnsiTheme="minorHAnsi" w:cstheme="minorBidi"/>
          <w:color w:val="212121"/>
          <w:sz w:val="22"/>
          <w:szCs w:val="22"/>
          <w:highlight w:val="white"/>
          <w:lang w:val="en-GB"/>
        </w:rPr>
        <w:t>a mobile and web-based decision aid</w:t>
      </w:r>
      <w:r w:rsidR="00C56D4C" w:rsidRPr="26F64964">
        <w:rPr>
          <w:rFonts w:asciiTheme="minorHAnsi" w:hAnsiTheme="minorHAnsi" w:cstheme="minorBidi"/>
          <w:color w:val="212121"/>
          <w:sz w:val="22"/>
          <w:szCs w:val="22"/>
          <w:highlight w:val="white"/>
          <w:lang w:val="en-GB"/>
        </w:rPr>
        <w:t>,</w:t>
      </w:r>
      <w:r w:rsidRPr="26F64964">
        <w:rPr>
          <w:rFonts w:asciiTheme="minorHAnsi" w:hAnsiTheme="minorHAnsi" w:cstheme="minorBidi"/>
          <w:color w:val="212121"/>
          <w:sz w:val="22"/>
          <w:szCs w:val="22"/>
          <w:highlight w:val="white"/>
          <w:lang w:val="en-GB"/>
        </w:rPr>
        <w:t xml:space="preserve"> '</w:t>
      </w:r>
      <w:proofErr w:type="spellStart"/>
      <w:r w:rsidRPr="26F64964">
        <w:rPr>
          <w:rFonts w:asciiTheme="minorHAnsi" w:hAnsiTheme="minorHAnsi" w:cstheme="minorBidi"/>
          <w:color w:val="212121"/>
          <w:sz w:val="22"/>
          <w:szCs w:val="22"/>
          <w:highlight w:val="white"/>
          <w:lang w:val="en-GB"/>
        </w:rPr>
        <w:t>iChoose</w:t>
      </w:r>
      <w:proofErr w:type="spellEnd"/>
      <w:r w:rsidRPr="26F64964">
        <w:rPr>
          <w:rFonts w:asciiTheme="minorHAnsi" w:hAnsiTheme="minorHAnsi" w:cstheme="minorBidi"/>
          <w:color w:val="212121"/>
          <w:sz w:val="22"/>
          <w:szCs w:val="22"/>
          <w:highlight w:val="white"/>
          <w:lang w:val="en-GB"/>
        </w:rPr>
        <w:t xml:space="preserve"> Kidney</w:t>
      </w:r>
      <w:r w:rsidR="00C56D4C" w:rsidRPr="26F64964">
        <w:rPr>
          <w:rFonts w:asciiTheme="minorHAnsi" w:hAnsiTheme="minorHAnsi" w:cstheme="minorBidi"/>
          <w:color w:val="212121"/>
          <w:sz w:val="22"/>
          <w:szCs w:val="22"/>
          <w:lang w:val="en-GB"/>
        </w:rPr>
        <w:t xml:space="preserve">, </w:t>
      </w:r>
      <w:r w:rsidRPr="26F64964">
        <w:rPr>
          <w:rFonts w:asciiTheme="minorHAnsi" w:hAnsiTheme="minorHAnsi" w:cstheme="minorBidi"/>
          <w:color w:val="212121"/>
          <w:sz w:val="22"/>
          <w:szCs w:val="22"/>
          <w:lang w:val="en-GB"/>
        </w:rPr>
        <w:t xml:space="preserve">' which showed individual </w:t>
      </w:r>
      <w:r w:rsidRPr="26F64964">
        <w:rPr>
          <w:rFonts w:asciiTheme="minorHAnsi" w:hAnsiTheme="minorHAnsi" w:cstheme="minorBidi"/>
          <w:color w:val="212121"/>
          <w:sz w:val="22"/>
          <w:szCs w:val="22"/>
          <w:highlight w:val="white"/>
          <w:lang w:val="en-GB"/>
        </w:rPr>
        <w:t>risk estimates of</w:t>
      </w:r>
      <w:r w:rsidRPr="26F64964">
        <w:rPr>
          <w:rFonts w:asciiTheme="minorHAnsi" w:hAnsiTheme="minorHAnsi" w:cstheme="minorBidi"/>
          <w:color w:val="212121"/>
          <w:sz w:val="22"/>
          <w:szCs w:val="22"/>
          <w:lang w:val="en-GB"/>
        </w:rPr>
        <w:t xml:space="preserve"> mortality and survival for dialysis in comparison to kidney transplantation (Patzer, McPherson, Basu, Mohan, Wolf, Chiles, Russell, Gander, </w:t>
      </w:r>
      <w:proofErr w:type="spellStart"/>
      <w:r w:rsidRPr="26F64964">
        <w:rPr>
          <w:rFonts w:asciiTheme="minorHAnsi" w:hAnsiTheme="minorHAnsi" w:cstheme="minorBidi"/>
          <w:color w:val="212121"/>
          <w:sz w:val="22"/>
          <w:szCs w:val="22"/>
          <w:lang w:val="en-GB"/>
        </w:rPr>
        <w:t>Friedewald</w:t>
      </w:r>
      <w:proofErr w:type="spellEnd"/>
      <w:r w:rsidRPr="26F64964">
        <w:rPr>
          <w:rFonts w:asciiTheme="minorHAnsi" w:hAnsiTheme="minorHAnsi" w:cstheme="minorBidi"/>
          <w:color w:val="212121"/>
          <w:sz w:val="22"/>
          <w:szCs w:val="22"/>
          <w:lang w:val="en-GB"/>
        </w:rPr>
        <w:t xml:space="preserve">, Ladner, Larsen, Pearson &amp; </w:t>
      </w:r>
      <w:proofErr w:type="spellStart"/>
      <w:r w:rsidRPr="26F64964">
        <w:rPr>
          <w:rFonts w:asciiTheme="minorHAnsi" w:hAnsiTheme="minorHAnsi" w:cstheme="minorBidi"/>
          <w:color w:val="212121"/>
          <w:sz w:val="22"/>
          <w:szCs w:val="22"/>
          <w:lang w:val="en-GB"/>
        </w:rPr>
        <w:t>Pastan</w:t>
      </w:r>
      <w:proofErr w:type="spellEnd"/>
      <w:r w:rsidRPr="26F64964">
        <w:rPr>
          <w:rFonts w:asciiTheme="minorHAnsi" w:hAnsiTheme="minorHAnsi" w:cstheme="minorBidi"/>
          <w:color w:val="212121"/>
          <w:sz w:val="22"/>
          <w:szCs w:val="22"/>
          <w:lang w:val="en-GB"/>
        </w:rPr>
        <w:t>, 2018). This eHealth intervention increased transplant knowledge among patients. Other studies have also confirmed such outcomes, as well as increased access to transplantation (</w:t>
      </w:r>
      <w:r w:rsidRPr="6A640EE8">
        <w:rPr>
          <w:rFonts w:asciiTheme="minorHAnsi" w:hAnsiTheme="minorHAnsi" w:cstheme="minorBidi"/>
          <w:color w:val="212121"/>
          <w:sz w:val="22"/>
          <w:szCs w:val="22"/>
          <w:highlight w:val="white"/>
          <w:lang w:val="en-GB"/>
        </w:rPr>
        <w:t>Axelrod, Kynard-Amerson,</w:t>
      </w:r>
      <w:r w:rsidRPr="26F64964">
        <w:rPr>
          <w:rFonts w:asciiTheme="minorHAnsi" w:hAnsiTheme="minorHAnsi" w:cstheme="minorBidi"/>
          <w:color w:val="212121"/>
          <w:sz w:val="22"/>
          <w:szCs w:val="22"/>
          <w:highlight w:val="white"/>
          <w:lang w:val="en-GB"/>
        </w:rPr>
        <w:t xml:space="preserve"> Wojciechowski,</w:t>
      </w:r>
      <w:r w:rsidRPr="26F64964">
        <w:rPr>
          <w:rFonts w:asciiTheme="minorHAnsi" w:hAnsiTheme="minorHAnsi" w:cstheme="minorBidi"/>
          <w:color w:val="212121"/>
          <w:sz w:val="22"/>
          <w:szCs w:val="22"/>
          <w:lang w:val="en-GB"/>
        </w:rPr>
        <w:t xml:space="preserve"> </w:t>
      </w:r>
      <w:r w:rsidRPr="26F64964">
        <w:rPr>
          <w:rFonts w:asciiTheme="minorHAnsi" w:hAnsiTheme="minorHAnsi" w:cstheme="minorBidi"/>
          <w:color w:val="212121"/>
          <w:sz w:val="22"/>
          <w:szCs w:val="22"/>
          <w:highlight w:val="white"/>
          <w:lang w:val="en-GB"/>
        </w:rPr>
        <w:t xml:space="preserve">Jacobs, </w:t>
      </w:r>
      <w:proofErr w:type="spellStart"/>
      <w:r w:rsidRPr="26F64964">
        <w:rPr>
          <w:rFonts w:asciiTheme="minorHAnsi" w:hAnsiTheme="minorHAnsi" w:cstheme="minorBidi"/>
          <w:color w:val="212121"/>
          <w:sz w:val="22"/>
          <w:szCs w:val="22"/>
          <w:highlight w:val="white"/>
          <w:lang w:val="en-GB"/>
        </w:rPr>
        <w:t>Lentine</w:t>
      </w:r>
      <w:proofErr w:type="spellEnd"/>
      <w:r w:rsidRPr="26F64964">
        <w:rPr>
          <w:rFonts w:asciiTheme="minorHAnsi" w:hAnsiTheme="minorHAnsi" w:cstheme="minorBidi"/>
          <w:color w:val="212121"/>
          <w:sz w:val="22"/>
          <w:szCs w:val="22"/>
          <w:highlight w:val="white"/>
          <w:lang w:val="en-GB"/>
        </w:rPr>
        <w:t>, Schnitzler</w:t>
      </w:r>
      <w:r w:rsidRPr="26F64964">
        <w:rPr>
          <w:rFonts w:asciiTheme="minorHAnsi" w:hAnsiTheme="minorHAnsi" w:cstheme="minorBidi"/>
          <w:color w:val="212121"/>
          <w:sz w:val="22"/>
          <w:szCs w:val="22"/>
          <w:lang w:val="en-GB"/>
        </w:rPr>
        <w:t xml:space="preserve">, </w:t>
      </w:r>
      <w:proofErr w:type="spellStart"/>
      <w:r w:rsidRPr="26F64964">
        <w:rPr>
          <w:rFonts w:asciiTheme="minorHAnsi" w:hAnsiTheme="minorHAnsi" w:cstheme="minorBidi"/>
          <w:color w:val="212121"/>
          <w:sz w:val="22"/>
          <w:szCs w:val="22"/>
          <w:lang w:val="en-GB"/>
        </w:rPr>
        <w:t>Peipert</w:t>
      </w:r>
      <w:proofErr w:type="spellEnd"/>
      <w:r w:rsidRPr="26F64964">
        <w:rPr>
          <w:rFonts w:asciiTheme="minorHAnsi" w:hAnsiTheme="minorHAnsi" w:cstheme="minorBidi"/>
          <w:color w:val="212121"/>
          <w:sz w:val="22"/>
          <w:szCs w:val="22"/>
          <w:lang w:val="en-GB"/>
        </w:rPr>
        <w:t xml:space="preserve"> &amp; </w:t>
      </w:r>
      <w:r w:rsidRPr="26F64964">
        <w:rPr>
          <w:rFonts w:asciiTheme="minorHAnsi" w:hAnsiTheme="minorHAnsi" w:cstheme="minorBidi"/>
          <w:color w:val="212121"/>
          <w:sz w:val="22"/>
          <w:szCs w:val="22"/>
          <w:highlight w:val="white"/>
          <w:lang w:val="en-GB"/>
        </w:rPr>
        <w:t>Waterman, 2017</w:t>
      </w:r>
      <w:r w:rsidRPr="26F64964">
        <w:rPr>
          <w:rFonts w:asciiTheme="minorHAnsi" w:hAnsiTheme="minorHAnsi" w:cstheme="minorBidi"/>
          <w:color w:val="212121"/>
          <w:sz w:val="22"/>
          <w:szCs w:val="22"/>
          <w:lang w:val="en-GB"/>
        </w:rPr>
        <w:t xml:space="preserve">; Gordon, </w:t>
      </w:r>
      <w:proofErr w:type="spellStart"/>
      <w:r w:rsidRPr="26F64964">
        <w:rPr>
          <w:rFonts w:asciiTheme="minorHAnsi" w:hAnsiTheme="minorHAnsi" w:cstheme="minorBidi"/>
          <w:color w:val="212121"/>
          <w:sz w:val="22"/>
          <w:szCs w:val="22"/>
          <w:lang w:val="en-GB"/>
        </w:rPr>
        <w:t>Feinglass</w:t>
      </w:r>
      <w:proofErr w:type="spellEnd"/>
      <w:r w:rsidRPr="26F64964">
        <w:rPr>
          <w:rFonts w:asciiTheme="minorHAnsi" w:hAnsiTheme="minorHAnsi" w:cstheme="minorBidi"/>
          <w:color w:val="212121"/>
          <w:sz w:val="22"/>
          <w:szCs w:val="22"/>
          <w:lang w:val="en-GB"/>
        </w:rPr>
        <w:t xml:space="preserve">, Carney, Vera, Olivero, Blac, O'Connor, </w:t>
      </w:r>
      <w:proofErr w:type="spellStart"/>
      <w:r w:rsidRPr="26F64964">
        <w:rPr>
          <w:rFonts w:asciiTheme="minorHAnsi" w:hAnsiTheme="minorHAnsi" w:cstheme="minorBidi"/>
          <w:color w:val="212121"/>
          <w:sz w:val="22"/>
          <w:szCs w:val="22"/>
          <w:lang w:val="en-GB"/>
        </w:rPr>
        <w:t>Baugmart</w:t>
      </w:r>
      <w:proofErr w:type="spellEnd"/>
      <w:r w:rsidRPr="26F64964">
        <w:rPr>
          <w:rFonts w:asciiTheme="minorHAnsi" w:hAnsiTheme="minorHAnsi" w:cstheme="minorBidi"/>
          <w:color w:val="212121"/>
          <w:sz w:val="22"/>
          <w:szCs w:val="22"/>
          <w:lang w:val="en-GB"/>
        </w:rPr>
        <w:t xml:space="preserve"> &amp; </w:t>
      </w:r>
      <w:proofErr w:type="spellStart"/>
      <w:r w:rsidRPr="26F64964">
        <w:rPr>
          <w:rFonts w:asciiTheme="minorHAnsi" w:hAnsiTheme="minorHAnsi" w:cstheme="minorBidi"/>
          <w:color w:val="212121"/>
          <w:sz w:val="22"/>
          <w:szCs w:val="22"/>
          <w:lang w:val="en-GB"/>
        </w:rPr>
        <w:t>Caicedo</w:t>
      </w:r>
      <w:proofErr w:type="spellEnd"/>
      <w:r w:rsidRPr="26F64964">
        <w:rPr>
          <w:rFonts w:asciiTheme="minorHAnsi" w:hAnsiTheme="minorHAnsi" w:cstheme="minorBidi"/>
          <w:color w:val="212121"/>
          <w:sz w:val="22"/>
          <w:szCs w:val="22"/>
          <w:lang w:val="en-GB"/>
        </w:rPr>
        <w:t xml:space="preserve">, 2016). </w:t>
      </w:r>
      <w:r w:rsidR="005F322D" w:rsidRPr="26F64964">
        <w:rPr>
          <w:rFonts w:asciiTheme="minorHAnsi" w:hAnsiTheme="minorHAnsi" w:cstheme="minorBidi"/>
          <w:color w:val="212121"/>
          <w:sz w:val="22"/>
          <w:szCs w:val="22"/>
          <w:lang w:val="en-GB"/>
        </w:rPr>
        <w:t>e</w:t>
      </w:r>
      <w:r w:rsidRPr="26F64964">
        <w:rPr>
          <w:rFonts w:asciiTheme="minorHAnsi" w:hAnsiTheme="minorHAnsi" w:cstheme="minorBidi"/>
          <w:color w:val="212121"/>
          <w:sz w:val="22"/>
          <w:szCs w:val="22"/>
          <w:lang w:val="en-GB"/>
        </w:rPr>
        <w:t xml:space="preserve">Health has also been shown to help with decision making in transplants. One study revealed how telemedicine has helped with evaluations for transplant waitlist patients and has shown reductions in costs and time as well as improving patient access to transplantation (Forbes et al., 2018). </w:t>
      </w:r>
    </w:p>
    <w:p w14:paraId="54920F71" w14:textId="0D16A37A" w:rsidR="00F63F23" w:rsidRDefault="005F322D" w:rsidP="26F64964">
      <w:pPr>
        <w:spacing w:line="360" w:lineRule="auto"/>
        <w:jc w:val="both"/>
        <w:rPr>
          <w:rFonts w:asciiTheme="minorHAnsi" w:eastAsia="Times New Roman" w:hAnsiTheme="minorHAnsi" w:cstheme="minorBidi"/>
          <w:lang w:val="en-US" w:eastAsia="en-GB"/>
        </w:rPr>
      </w:pPr>
      <w:r w:rsidRPr="26F64964">
        <w:rPr>
          <w:rFonts w:asciiTheme="minorHAnsi" w:eastAsia="Times New Roman" w:hAnsiTheme="minorHAnsi" w:cstheme="minorBidi"/>
          <w:lang w:val="en-GB" w:eastAsia="en-GB"/>
        </w:rPr>
        <w:t>e</w:t>
      </w:r>
      <w:r w:rsidR="00F63F23" w:rsidRPr="26F64964">
        <w:rPr>
          <w:rFonts w:asciiTheme="minorHAnsi" w:eastAsia="Times New Roman" w:hAnsiTheme="minorHAnsi" w:cstheme="minorBidi"/>
          <w:lang w:val="en-GB" w:eastAsia="en-GB"/>
        </w:rPr>
        <w:t xml:space="preserve">Health also plays an important role in the post-transplantation phase. </w:t>
      </w:r>
      <w:r w:rsidR="00F63F23" w:rsidRPr="26F64964">
        <w:rPr>
          <w:rFonts w:asciiTheme="minorHAnsi" w:eastAsia="Times New Roman" w:hAnsiTheme="minorHAnsi" w:cstheme="minorBidi"/>
          <w:lang w:val="en-US" w:eastAsia="en-GB"/>
        </w:rPr>
        <w:t xml:space="preserve">Tang and colleagues (2020) argue </w:t>
      </w:r>
      <w:r w:rsidR="00A01C42" w:rsidRPr="26F64964">
        <w:rPr>
          <w:rFonts w:asciiTheme="minorHAnsi" w:eastAsia="Times New Roman" w:hAnsiTheme="minorHAnsi" w:cstheme="minorBidi"/>
          <w:lang w:val="en-US" w:eastAsia="en-GB"/>
        </w:rPr>
        <w:t>that</w:t>
      </w:r>
      <w:r w:rsidR="00F63F23" w:rsidRPr="26F64964">
        <w:rPr>
          <w:rFonts w:asciiTheme="minorHAnsi" w:eastAsia="Times New Roman" w:hAnsiTheme="minorHAnsi" w:cstheme="minorBidi"/>
          <w:lang w:val="en-US" w:eastAsia="en-GB"/>
        </w:rPr>
        <w:t xml:space="preserve"> </w:t>
      </w:r>
      <w:r w:rsidR="00F63F23" w:rsidRPr="26F64964">
        <w:rPr>
          <w:rFonts w:asciiTheme="minorHAnsi" w:eastAsia="Times New Roman" w:hAnsiTheme="minorHAnsi" w:cstheme="minorBidi"/>
          <w:lang w:val="en-GB" w:eastAsia="en-GB"/>
        </w:rPr>
        <w:t xml:space="preserve">eHealth interventions have been shown </w:t>
      </w:r>
      <w:r w:rsidR="00F63F23" w:rsidRPr="26F64964">
        <w:rPr>
          <w:rFonts w:asciiTheme="minorHAnsi" w:eastAsia="Times New Roman" w:hAnsiTheme="minorHAnsi" w:cstheme="minorBidi"/>
          <w:highlight w:val="white"/>
          <w:lang w:val="en-GB" w:eastAsia="en-GB"/>
        </w:rPr>
        <w:t>to support self-</w:t>
      </w:r>
      <w:r w:rsidR="00F63F23" w:rsidRPr="26F64964">
        <w:rPr>
          <w:rFonts w:asciiTheme="minorHAnsi" w:eastAsia="Times New Roman" w:hAnsiTheme="minorHAnsi" w:cstheme="minorBidi"/>
          <w:lang w:val="en-GB" w:eastAsia="en-GB"/>
        </w:rPr>
        <w:t xml:space="preserve">management and medical adherence for transplant patients. In this study, there were 21 trials from 6 different countries involving 2114 patients. </w:t>
      </w:r>
      <w:r w:rsidR="00F63F23" w:rsidRPr="26F64964">
        <w:rPr>
          <w:rFonts w:asciiTheme="minorHAnsi" w:eastAsia="Times New Roman" w:hAnsiTheme="minorHAnsi" w:cstheme="minorBidi"/>
          <w:highlight w:val="white"/>
          <w:lang w:val="en-GB" w:eastAsia="en-GB"/>
        </w:rPr>
        <w:t>The results of the study</w:t>
      </w:r>
      <w:r w:rsidR="00F63F23" w:rsidRPr="26F64964">
        <w:rPr>
          <w:rFonts w:asciiTheme="minorHAnsi" w:eastAsia="Times New Roman" w:hAnsiTheme="minorHAnsi" w:cstheme="minorBidi"/>
          <w:lang w:val="en-GB" w:eastAsia="en-GB"/>
        </w:rPr>
        <w:t xml:space="preserve"> </w:t>
      </w:r>
      <w:r w:rsidR="00F63F23" w:rsidRPr="26F64964">
        <w:rPr>
          <w:rFonts w:asciiTheme="minorHAnsi" w:eastAsia="Times New Roman" w:hAnsiTheme="minorHAnsi" w:cstheme="minorBidi"/>
          <w:highlight w:val="white"/>
          <w:lang w:val="en-GB" w:eastAsia="en-GB"/>
        </w:rPr>
        <w:t>showed that in</w:t>
      </w:r>
      <w:r w:rsidR="00F63F23" w:rsidRPr="26F64964">
        <w:rPr>
          <w:rFonts w:asciiTheme="minorHAnsi" w:eastAsia="Times New Roman" w:hAnsiTheme="minorHAnsi" w:cstheme="minorBidi"/>
          <w:lang w:val="en-GB" w:eastAsia="en-GB"/>
        </w:rPr>
        <w:t xml:space="preserve"> comparison to standard care, eHealth interventions improved self-monitoring </w:t>
      </w:r>
      <w:proofErr w:type="spellStart"/>
      <w:r w:rsidR="00F63F23" w:rsidRPr="26F64964">
        <w:rPr>
          <w:rFonts w:asciiTheme="minorHAnsi" w:eastAsia="Times New Roman" w:hAnsiTheme="minorHAnsi" w:cstheme="minorBidi"/>
          <w:lang w:val="en-GB" w:eastAsia="en-GB"/>
        </w:rPr>
        <w:t>behavior</w:t>
      </w:r>
      <w:proofErr w:type="spellEnd"/>
      <w:r w:rsidR="00F63F23" w:rsidRPr="26F64964">
        <w:rPr>
          <w:rFonts w:asciiTheme="minorHAnsi" w:eastAsia="Times New Roman" w:hAnsiTheme="minorHAnsi" w:cstheme="minorBidi"/>
          <w:lang w:val="en-GB" w:eastAsia="en-GB"/>
        </w:rPr>
        <w:t xml:space="preserve"> and medication adherence </w:t>
      </w:r>
      <w:r w:rsidR="00F63F23" w:rsidRPr="26F64964">
        <w:rPr>
          <w:rFonts w:asciiTheme="minorHAnsi" w:eastAsia="Times New Roman" w:hAnsiTheme="minorHAnsi" w:cstheme="minorBidi"/>
          <w:lang w:val="en-US" w:eastAsia="en-GB"/>
        </w:rPr>
        <w:t>(Tang et al</w:t>
      </w:r>
      <w:r w:rsidR="0034563F" w:rsidRPr="26F64964">
        <w:rPr>
          <w:rFonts w:asciiTheme="minorHAnsi" w:eastAsia="Times New Roman" w:hAnsiTheme="minorHAnsi" w:cstheme="minorBidi"/>
          <w:lang w:val="en-US" w:eastAsia="en-GB"/>
        </w:rPr>
        <w:t>.</w:t>
      </w:r>
      <w:r w:rsidR="00F63F23" w:rsidRPr="26F64964">
        <w:rPr>
          <w:rFonts w:asciiTheme="minorHAnsi" w:eastAsia="Times New Roman" w:hAnsiTheme="minorHAnsi" w:cstheme="minorBidi"/>
          <w:lang w:val="en-US" w:eastAsia="en-GB"/>
        </w:rPr>
        <w:t>, 2020)</w:t>
      </w:r>
      <w:r w:rsidR="00F63F23" w:rsidRPr="26F64964">
        <w:rPr>
          <w:rFonts w:asciiTheme="minorHAnsi" w:eastAsia="Times New Roman" w:hAnsiTheme="minorHAnsi" w:cstheme="minorBidi"/>
          <w:lang w:val="en-GB" w:eastAsia="en-GB"/>
        </w:rPr>
        <w:t>. Similarly, another study shows that eHealth significantly improves medical adherence among heart transplant patients (</w:t>
      </w:r>
      <w:proofErr w:type="spellStart"/>
      <w:r w:rsidR="00F63F23" w:rsidRPr="26F64964">
        <w:rPr>
          <w:rFonts w:asciiTheme="minorHAnsi" w:eastAsia="Times New Roman" w:hAnsiTheme="minorHAnsi" w:cstheme="minorBidi"/>
          <w:highlight w:val="white"/>
          <w:lang w:val="en-GB" w:eastAsia="en-GB"/>
        </w:rPr>
        <w:t>Gomis</w:t>
      </w:r>
      <w:proofErr w:type="spellEnd"/>
      <w:r w:rsidR="00F63F23" w:rsidRPr="26F64964">
        <w:rPr>
          <w:rFonts w:asciiTheme="minorHAnsi" w:eastAsia="Times New Roman" w:hAnsiTheme="minorHAnsi" w:cstheme="minorBidi"/>
          <w:highlight w:val="white"/>
          <w:lang w:val="en-GB" w:eastAsia="en-GB"/>
        </w:rPr>
        <w:t>-Pastor,</w:t>
      </w:r>
      <w:r w:rsidR="0034563F" w:rsidRPr="26F64964">
        <w:rPr>
          <w:rFonts w:asciiTheme="minorHAnsi" w:eastAsia="Times New Roman" w:hAnsiTheme="minorHAnsi" w:cstheme="minorBidi"/>
          <w:highlight w:val="white"/>
          <w:lang w:val="en-GB" w:eastAsia="en-GB"/>
        </w:rPr>
        <w:t xml:space="preserve"> </w:t>
      </w:r>
      <w:proofErr w:type="spellStart"/>
      <w:r w:rsidR="00F63F23" w:rsidRPr="26F64964">
        <w:rPr>
          <w:rFonts w:asciiTheme="minorHAnsi" w:eastAsia="Times New Roman" w:hAnsiTheme="minorHAnsi" w:cstheme="minorBidi"/>
          <w:highlight w:val="white"/>
          <w:lang w:val="en-GB" w:eastAsia="en-GB"/>
        </w:rPr>
        <w:t>Mirabet</w:t>
      </w:r>
      <w:proofErr w:type="spellEnd"/>
      <w:r w:rsidR="00F63F23" w:rsidRPr="26F64964">
        <w:rPr>
          <w:rFonts w:asciiTheme="minorHAnsi" w:eastAsia="Times New Roman" w:hAnsiTheme="minorHAnsi" w:cstheme="minorBidi"/>
          <w:highlight w:val="white"/>
          <w:lang w:val="en-GB" w:eastAsia="en-GB"/>
        </w:rPr>
        <w:t xml:space="preserve">, </w:t>
      </w:r>
      <w:proofErr w:type="spellStart"/>
      <w:r w:rsidR="00F63F23" w:rsidRPr="26F64964">
        <w:rPr>
          <w:rFonts w:asciiTheme="minorHAnsi" w:eastAsia="Times New Roman" w:hAnsiTheme="minorHAnsi" w:cstheme="minorBidi"/>
          <w:highlight w:val="white"/>
          <w:lang w:val="en-GB" w:eastAsia="en-GB"/>
        </w:rPr>
        <w:t>Roig</w:t>
      </w:r>
      <w:proofErr w:type="spellEnd"/>
      <w:r w:rsidR="00F63F23" w:rsidRPr="26F64964">
        <w:rPr>
          <w:rFonts w:asciiTheme="minorHAnsi" w:eastAsia="Times New Roman" w:hAnsiTheme="minorHAnsi" w:cstheme="minorBidi"/>
          <w:highlight w:val="white"/>
          <w:lang w:val="en-GB" w:eastAsia="en-GB"/>
        </w:rPr>
        <w:t xml:space="preserve">, </w:t>
      </w:r>
      <w:proofErr w:type="spellStart"/>
      <w:r w:rsidR="00F63F23" w:rsidRPr="26F64964">
        <w:rPr>
          <w:rFonts w:asciiTheme="minorHAnsi" w:eastAsia="Times New Roman" w:hAnsiTheme="minorHAnsi" w:cstheme="minorBidi"/>
          <w:highlight w:val="white"/>
          <w:lang w:val="en-GB" w:eastAsia="en-GB"/>
        </w:rPr>
        <w:t>Brossa</w:t>
      </w:r>
      <w:proofErr w:type="spellEnd"/>
      <w:r w:rsidR="00F63F23" w:rsidRPr="26F64964">
        <w:rPr>
          <w:rFonts w:asciiTheme="minorHAnsi" w:eastAsia="Times New Roman" w:hAnsiTheme="minorHAnsi" w:cstheme="minorBidi"/>
          <w:highlight w:val="white"/>
          <w:lang w:val="en-GB" w:eastAsia="en-GB"/>
        </w:rPr>
        <w:t xml:space="preserve">, </w:t>
      </w:r>
      <w:r w:rsidR="00F63F23" w:rsidRPr="26F64964">
        <w:rPr>
          <w:rFonts w:asciiTheme="minorHAnsi" w:eastAsia="Times New Roman" w:hAnsiTheme="minorHAnsi" w:cstheme="minorBidi"/>
          <w:highlight w:val="white"/>
          <w:lang w:val="en-GB" w:eastAsia="en-GB"/>
        </w:rPr>
        <w:lastRenderedPageBreak/>
        <w:t>Lopez, Ros, Mas</w:t>
      </w:r>
      <w:r w:rsidR="00F63F23" w:rsidRPr="26F64964">
        <w:rPr>
          <w:rFonts w:asciiTheme="minorHAnsi" w:eastAsia="Times New Roman" w:hAnsiTheme="minorHAnsi" w:cstheme="minorBidi"/>
          <w:lang w:val="en-GB" w:eastAsia="en-GB"/>
        </w:rPr>
        <w:t xml:space="preserve"> </w:t>
      </w:r>
      <w:proofErr w:type="spellStart"/>
      <w:r w:rsidR="00F63F23" w:rsidRPr="26F64964">
        <w:rPr>
          <w:rFonts w:asciiTheme="minorHAnsi" w:eastAsia="Times New Roman" w:hAnsiTheme="minorHAnsi" w:cstheme="minorBidi"/>
          <w:lang w:val="en-GB" w:eastAsia="en-GB"/>
        </w:rPr>
        <w:t>Malagarriga</w:t>
      </w:r>
      <w:proofErr w:type="spellEnd"/>
      <w:r w:rsidR="00F63F23" w:rsidRPr="26F64964">
        <w:rPr>
          <w:rFonts w:asciiTheme="minorHAnsi" w:eastAsia="Times New Roman" w:hAnsiTheme="minorHAnsi" w:cstheme="minorBidi"/>
          <w:lang w:val="en-GB" w:eastAsia="en-GB"/>
        </w:rPr>
        <w:t xml:space="preserve"> &amp; </w:t>
      </w:r>
      <w:proofErr w:type="spellStart"/>
      <w:r w:rsidR="00F63F23" w:rsidRPr="26F64964">
        <w:rPr>
          <w:rFonts w:asciiTheme="minorHAnsi" w:eastAsia="Times New Roman" w:hAnsiTheme="minorHAnsi" w:cstheme="minorBidi"/>
          <w:lang w:val="en-GB" w:eastAsia="en-GB"/>
        </w:rPr>
        <w:t>Mangues</w:t>
      </w:r>
      <w:proofErr w:type="spellEnd"/>
      <w:r w:rsidR="00F63F23" w:rsidRPr="26F64964">
        <w:rPr>
          <w:rFonts w:asciiTheme="minorHAnsi" w:eastAsia="Times New Roman" w:hAnsiTheme="minorHAnsi" w:cstheme="minorBidi"/>
          <w:lang w:val="en-GB" w:eastAsia="en-GB"/>
        </w:rPr>
        <w:t xml:space="preserve">, 2020). </w:t>
      </w:r>
      <w:r w:rsidR="00F63F23" w:rsidRPr="26F64964">
        <w:rPr>
          <w:rFonts w:asciiTheme="minorHAnsi" w:eastAsia="Times New Roman" w:hAnsiTheme="minorHAnsi" w:cstheme="minorBidi"/>
          <w:lang w:val="en-US" w:eastAsia="en-GB"/>
        </w:rPr>
        <w:t xml:space="preserve">Jiang, Dabbs, Handler and </w:t>
      </w:r>
      <w:proofErr w:type="spellStart"/>
      <w:r w:rsidR="00F63F23" w:rsidRPr="26F64964">
        <w:rPr>
          <w:rFonts w:asciiTheme="minorHAnsi" w:eastAsia="Times New Roman" w:hAnsiTheme="minorHAnsi" w:cstheme="minorBidi"/>
          <w:lang w:val="en-US" w:eastAsia="en-GB"/>
        </w:rPr>
        <w:t>Schlenek</w:t>
      </w:r>
      <w:proofErr w:type="spellEnd"/>
      <w:r w:rsidR="00F63F23" w:rsidRPr="26F64964">
        <w:rPr>
          <w:rFonts w:asciiTheme="minorHAnsi" w:eastAsia="Times New Roman" w:hAnsiTheme="minorHAnsi" w:cstheme="minorBidi"/>
          <w:lang w:val="en-US" w:eastAsia="en-GB"/>
        </w:rPr>
        <w:t xml:space="preserve"> (2016)</w:t>
      </w:r>
      <w:r w:rsidR="00F63F23" w:rsidRPr="26F64964">
        <w:rPr>
          <w:rFonts w:asciiTheme="minorHAnsi" w:eastAsia="Times New Roman" w:hAnsiTheme="minorHAnsi" w:cstheme="minorBidi"/>
          <w:lang w:val="en-GB" w:eastAsia="en-GB"/>
        </w:rPr>
        <w:t xml:space="preserve"> also argue that eHealth has helped </w:t>
      </w:r>
      <w:proofErr w:type="gramStart"/>
      <w:r w:rsidR="00F63F23" w:rsidRPr="26F64964">
        <w:rPr>
          <w:rFonts w:asciiTheme="minorHAnsi" w:eastAsia="Times New Roman" w:hAnsiTheme="minorHAnsi" w:cstheme="minorBidi"/>
          <w:lang w:val="en-GB" w:eastAsia="en-GB"/>
        </w:rPr>
        <w:t>a majority of</w:t>
      </w:r>
      <w:proofErr w:type="gramEnd"/>
      <w:r w:rsidR="00F63F23" w:rsidRPr="26F64964">
        <w:rPr>
          <w:rFonts w:asciiTheme="minorHAnsi" w:eastAsia="Times New Roman" w:hAnsiTheme="minorHAnsi" w:cstheme="minorBidi"/>
          <w:lang w:val="en-GB" w:eastAsia="en-GB"/>
        </w:rPr>
        <w:t xml:space="preserve"> patients with daily health self-monitoring. Another previous study shows that eHealth has helped improve communication between transplant patients and clinicians in a way that a high percentage of participants found that using online platforms for communication and accessing health services were much more efficient than traditional approaches </w:t>
      </w:r>
      <w:r w:rsidR="00F63F23" w:rsidRPr="26F64964">
        <w:rPr>
          <w:rFonts w:asciiTheme="minorHAnsi" w:hAnsiTheme="minorHAnsi" w:cstheme="minorBidi"/>
          <w:lang w:val="en-GB"/>
        </w:rPr>
        <w:t>(</w:t>
      </w:r>
      <w:proofErr w:type="spellStart"/>
      <w:r w:rsidR="00E002FB" w:rsidRPr="26F64964">
        <w:rPr>
          <w:rFonts w:asciiTheme="minorHAnsi" w:hAnsiTheme="minorHAnsi" w:cstheme="minorBidi"/>
          <w:lang w:val="en-US"/>
        </w:rPr>
        <w:t>Holderr</w:t>
      </w:r>
      <w:r w:rsidR="001A34BA" w:rsidRPr="26F64964">
        <w:rPr>
          <w:rFonts w:asciiTheme="minorHAnsi" w:hAnsiTheme="minorHAnsi" w:cstheme="minorBidi"/>
          <w:lang w:val="en-US"/>
        </w:rPr>
        <w:t>ied</w:t>
      </w:r>
      <w:proofErr w:type="spellEnd"/>
      <w:r w:rsidR="001A34BA" w:rsidRPr="26F64964">
        <w:rPr>
          <w:rFonts w:asciiTheme="minorHAnsi" w:hAnsiTheme="minorHAnsi" w:cstheme="minorBidi"/>
          <w:lang w:val="en-US"/>
        </w:rPr>
        <w:t xml:space="preserve"> et al., 2021</w:t>
      </w:r>
      <w:r w:rsidR="00F63F23" w:rsidRPr="26F64964">
        <w:rPr>
          <w:rFonts w:asciiTheme="minorHAnsi" w:hAnsiTheme="minorHAnsi" w:cstheme="minorBidi"/>
          <w:lang w:val="en-US"/>
        </w:rPr>
        <w:t>)</w:t>
      </w:r>
      <w:r w:rsidR="00F63F23" w:rsidRPr="26F64964">
        <w:rPr>
          <w:rFonts w:asciiTheme="minorHAnsi" w:eastAsia="Times New Roman" w:hAnsiTheme="minorHAnsi" w:cstheme="minorBidi"/>
          <w:lang w:val="en-GB" w:eastAsia="en-GB"/>
        </w:rPr>
        <w:t xml:space="preserve">. Moreover, some other studies have looked at design factors of eHealth for transplant patients, such as the use of reward systems and information sharing on health applications </w:t>
      </w:r>
      <w:r w:rsidR="00F63F23" w:rsidRPr="26F64964">
        <w:rPr>
          <w:rFonts w:asciiTheme="minorHAnsi" w:eastAsia="Times New Roman" w:hAnsiTheme="minorHAnsi" w:cstheme="minorBidi"/>
          <w:lang w:val="en-US" w:eastAsia="en-GB"/>
        </w:rPr>
        <w:t xml:space="preserve">(e.g., Mathur, </w:t>
      </w:r>
      <w:proofErr w:type="spellStart"/>
      <w:r w:rsidR="00F63F23" w:rsidRPr="26F64964">
        <w:rPr>
          <w:rFonts w:asciiTheme="minorHAnsi" w:eastAsia="Times New Roman" w:hAnsiTheme="minorHAnsi" w:cstheme="minorBidi"/>
          <w:highlight w:val="white"/>
          <w:lang w:val="en-US" w:eastAsia="en-GB"/>
        </w:rPr>
        <w:t>Janaudis</w:t>
      </w:r>
      <w:proofErr w:type="spellEnd"/>
      <w:r w:rsidR="00F63F23" w:rsidRPr="26F64964">
        <w:rPr>
          <w:rFonts w:asciiTheme="minorHAnsi" w:eastAsia="Times New Roman" w:hAnsiTheme="minorHAnsi" w:cstheme="minorBidi"/>
          <w:highlight w:val="white"/>
          <w:lang w:val="en-US" w:eastAsia="en-GB"/>
        </w:rPr>
        <w:t xml:space="preserve">-Ferreira, Hemphill, </w:t>
      </w:r>
      <w:proofErr w:type="spellStart"/>
      <w:r w:rsidR="00F63F23" w:rsidRPr="26F64964">
        <w:rPr>
          <w:rFonts w:asciiTheme="minorHAnsi" w:eastAsia="Times New Roman" w:hAnsiTheme="minorHAnsi" w:cstheme="minorBidi"/>
          <w:highlight w:val="white"/>
          <w:lang w:val="en-US" w:eastAsia="en-GB"/>
        </w:rPr>
        <w:t>Cafazzo</w:t>
      </w:r>
      <w:proofErr w:type="spellEnd"/>
      <w:r w:rsidR="00F63F23" w:rsidRPr="26F64964">
        <w:rPr>
          <w:rFonts w:asciiTheme="minorHAnsi" w:eastAsia="Times New Roman" w:hAnsiTheme="minorHAnsi" w:cstheme="minorBidi"/>
          <w:highlight w:val="white"/>
          <w:lang w:val="en-US" w:eastAsia="en-GB"/>
        </w:rPr>
        <w:t>, Hart,</w:t>
      </w:r>
      <w:r w:rsidR="00F63F23" w:rsidRPr="26F64964">
        <w:rPr>
          <w:rFonts w:asciiTheme="minorHAnsi" w:eastAsia="Times New Roman" w:hAnsiTheme="minorHAnsi" w:cstheme="minorBidi"/>
          <w:lang w:val="en-US" w:eastAsia="en-GB"/>
        </w:rPr>
        <w:t xml:space="preserve"> </w:t>
      </w:r>
      <w:r w:rsidR="00F63F23" w:rsidRPr="26F64964">
        <w:rPr>
          <w:rFonts w:asciiTheme="minorHAnsi" w:eastAsia="Times New Roman" w:hAnsiTheme="minorHAnsi" w:cstheme="minorBidi"/>
          <w:highlight w:val="white"/>
          <w:lang w:val="en-US" w:eastAsia="en-GB"/>
        </w:rPr>
        <w:t xml:space="preserve">Holdsworth, Lovas </w:t>
      </w:r>
      <w:r w:rsidR="00F63F23" w:rsidRPr="26F64964">
        <w:rPr>
          <w:rFonts w:asciiTheme="minorHAnsi" w:eastAsia="Times New Roman" w:hAnsiTheme="minorHAnsi" w:cstheme="minorBidi"/>
          <w:color w:val="212121"/>
          <w:highlight w:val="white"/>
          <w:lang w:val="en-US" w:eastAsia="en-GB"/>
        </w:rPr>
        <w:t>&amp; Wickerson</w:t>
      </w:r>
      <w:r w:rsidR="00F63F23" w:rsidRPr="26F64964">
        <w:rPr>
          <w:rFonts w:asciiTheme="minorHAnsi" w:eastAsia="Times New Roman" w:hAnsiTheme="minorHAnsi" w:cstheme="minorBidi"/>
          <w:color w:val="212121"/>
          <w:lang w:val="en-US" w:eastAsia="en-GB"/>
        </w:rPr>
        <w:t>, 2021).</w:t>
      </w:r>
      <w:r w:rsidR="00F63F23" w:rsidRPr="26F64964">
        <w:rPr>
          <w:rFonts w:asciiTheme="minorHAnsi" w:eastAsia="Times New Roman" w:hAnsiTheme="minorHAnsi" w:cstheme="minorBidi"/>
          <w:color w:val="212121"/>
          <w:lang w:val="en-GB" w:eastAsia="en-GB"/>
        </w:rPr>
        <w:t xml:space="preserve"> This study revealed that by considering the health literacy of patients and their individual needs, eHealth could benefit transplant patients long-term. </w:t>
      </w:r>
      <w:r w:rsidR="00F63F23" w:rsidRPr="26F64964">
        <w:rPr>
          <w:rFonts w:asciiTheme="minorHAnsi" w:eastAsia="Times New Roman" w:hAnsiTheme="minorHAnsi" w:cstheme="minorBidi"/>
          <w:lang w:val="en-GB" w:eastAsia="en-GB"/>
        </w:rPr>
        <w:t>Similarly</w:t>
      </w:r>
      <w:r w:rsidR="00F66A56" w:rsidRPr="26F64964">
        <w:rPr>
          <w:rFonts w:asciiTheme="minorHAnsi" w:eastAsia="Times New Roman" w:hAnsiTheme="minorHAnsi" w:cstheme="minorBidi"/>
          <w:lang w:val="en-GB" w:eastAsia="en-GB"/>
        </w:rPr>
        <w:t>,</w:t>
      </w:r>
      <w:r w:rsidR="00F63F23" w:rsidRPr="26F64964">
        <w:rPr>
          <w:rFonts w:asciiTheme="minorHAnsi" w:eastAsia="Times New Roman" w:hAnsiTheme="minorHAnsi" w:cstheme="minorBidi"/>
          <w:lang w:val="en-GB" w:eastAsia="en-GB"/>
        </w:rPr>
        <w:t xml:space="preserve"> other scholars revealed that certain eHealth factors impacted patients’ willingness to use eHealth, such as automated reminders for medication, presentation of data, and manual input of data </w:t>
      </w:r>
      <w:r w:rsidR="00F63F23" w:rsidRPr="26F64964">
        <w:rPr>
          <w:rFonts w:asciiTheme="minorHAnsi" w:eastAsia="Times New Roman" w:hAnsiTheme="minorHAnsi" w:cstheme="minorBidi"/>
          <w:lang w:val="en-US" w:eastAsia="en-GB"/>
        </w:rPr>
        <w:t>(</w:t>
      </w:r>
      <w:proofErr w:type="spellStart"/>
      <w:r w:rsidR="00F63F23" w:rsidRPr="26F64964">
        <w:rPr>
          <w:rFonts w:asciiTheme="minorHAnsi" w:eastAsia="Times New Roman" w:hAnsiTheme="minorHAnsi" w:cstheme="minorBidi"/>
          <w:highlight w:val="white"/>
          <w:lang w:val="en-US" w:eastAsia="en-GB"/>
        </w:rPr>
        <w:t>Vanhoof</w:t>
      </w:r>
      <w:proofErr w:type="spellEnd"/>
      <w:r w:rsidR="00F63F23" w:rsidRPr="26F64964">
        <w:rPr>
          <w:rFonts w:asciiTheme="minorHAnsi" w:eastAsia="Times New Roman" w:hAnsiTheme="minorHAnsi" w:cstheme="minorBidi"/>
          <w:highlight w:val="white"/>
          <w:lang w:val="en-US" w:eastAsia="en-GB"/>
        </w:rPr>
        <w:t xml:space="preserve">, </w:t>
      </w:r>
      <w:proofErr w:type="spellStart"/>
      <w:r w:rsidR="00F63F23" w:rsidRPr="26F64964">
        <w:rPr>
          <w:rFonts w:asciiTheme="minorHAnsi" w:eastAsia="Times New Roman" w:hAnsiTheme="minorHAnsi" w:cstheme="minorBidi"/>
          <w:highlight w:val="white"/>
          <w:lang w:val="en-US" w:eastAsia="en-GB"/>
        </w:rPr>
        <w:t>Vandenberghe</w:t>
      </w:r>
      <w:proofErr w:type="spellEnd"/>
      <w:r w:rsidR="00F63F23" w:rsidRPr="26F64964">
        <w:rPr>
          <w:rFonts w:asciiTheme="minorHAnsi" w:eastAsia="Times New Roman" w:hAnsiTheme="minorHAnsi" w:cstheme="minorBidi"/>
          <w:highlight w:val="white"/>
          <w:lang w:val="en-US" w:eastAsia="en-GB"/>
        </w:rPr>
        <w:t>,</w:t>
      </w:r>
      <w:r w:rsidR="00F63F23" w:rsidRPr="26F64964">
        <w:rPr>
          <w:rFonts w:asciiTheme="minorHAnsi" w:eastAsia="Times New Roman" w:hAnsiTheme="minorHAnsi" w:cstheme="minorBidi"/>
          <w:lang w:val="en-US" w:eastAsia="en-GB"/>
        </w:rPr>
        <w:t xml:space="preserve"> </w:t>
      </w:r>
      <w:proofErr w:type="spellStart"/>
      <w:proofErr w:type="gramStart"/>
      <w:r w:rsidR="00F63F23" w:rsidRPr="26F64964">
        <w:rPr>
          <w:rFonts w:asciiTheme="minorHAnsi" w:eastAsia="Times New Roman" w:hAnsiTheme="minorHAnsi" w:cstheme="minorBidi"/>
          <w:highlight w:val="white"/>
          <w:lang w:val="en-US" w:eastAsia="en-GB"/>
        </w:rPr>
        <w:t>Geerts</w:t>
      </w:r>
      <w:proofErr w:type="spellEnd"/>
      <w:r w:rsidR="00F63F23" w:rsidRPr="26F64964">
        <w:rPr>
          <w:rFonts w:asciiTheme="minorHAnsi" w:eastAsia="Times New Roman" w:hAnsiTheme="minorHAnsi" w:cstheme="minorBidi"/>
          <w:highlight w:val="white"/>
          <w:lang w:val="en-US" w:eastAsia="en-GB"/>
        </w:rPr>
        <w:t xml:space="preserve">,  </w:t>
      </w:r>
      <w:proofErr w:type="spellStart"/>
      <w:r w:rsidR="00F63F23" w:rsidRPr="26F64964">
        <w:rPr>
          <w:rFonts w:asciiTheme="minorHAnsi" w:eastAsia="Times New Roman" w:hAnsiTheme="minorHAnsi" w:cstheme="minorBidi"/>
          <w:highlight w:val="white"/>
          <w:lang w:val="en-US" w:eastAsia="en-GB"/>
        </w:rPr>
        <w:t>Philippaerts</w:t>
      </w:r>
      <w:proofErr w:type="spellEnd"/>
      <w:proofErr w:type="gramEnd"/>
      <w:r w:rsidR="00F63F23" w:rsidRPr="26F64964">
        <w:rPr>
          <w:rFonts w:asciiTheme="minorHAnsi" w:eastAsia="Times New Roman" w:hAnsiTheme="minorHAnsi" w:cstheme="minorBidi"/>
          <w:highlight w:val="white"/>
          <w:lang w:val="en-US" w:eastAsia="en-GB"/>
        </w:rPr>
        <w:t xml:space="preserve">, De </w:t>
      </w:r>
      <w:proofErr w:type="spellStart"/>
      <w:r w:rsidR="00F63F23" w:rsidRPr="26F64964">
        <w:rPr>
          <w:rFonts w:asciiTheme="minorHAnsi" w:eastAsia="Times New Roman" w:hAnsiTheme="minorHAnsi" w:cstheme="minorBidi"/>
          <w:highlight w:val="white"/>
          <w:lang w:val="en-US" w:eastAsia="en-GB"/>
        </w:rPr>
        <w:t>Maziere</w:t>
      </w:r>
      <w:proofErr w:type="spellEnd"/>
      <w:r w:rsidR="00F63F23" w:rsidRPr="26F64964">
        <w:rPr>
          <w:rFonts w:asciiTheme="minorHAnsi" w:eastAsia="Times New Roman" w:hAnsiTheme="minorHAnsi" w:cstheme="minorBidi"/>
          <w:lang w:val="en-US" w:eastAsia="en-GB"/>
        </w:rPr>
        <w:t xml:space="preserve">, Dabs, </w:t>
      </w:r>
      <w:r w:rsidR="00F63F23" w:rsidRPr="26F64964">
        <w:rPr>
          <w:rFonts w:asciiTheme="minorHAnsi" w:eastAsia="Times New Roman" w:hAnsiTheme="minorHAnsi" w:cstheme="minorBidi"/>
          <w:highlight w:val="white"/>
          <w:lang w:val="en-US" w:eastAsia="en-GB"/>
        </w:rPr>
        <w:t xml:space="preserve">De </w:t>
      </w:r>
      <w:proofErr w:type="spellStart"/>
      <w:r w:rsidR="00F63F23" w:rsidRPr="26F64964">
        <w:rPr>
          <w:rFonts w:asciiTheme="minorHAnsi" w:eastAsia="Times New Roman" w:hAnsiTheme="minorHAnsi" w:cstheme="minorBidi"/>
          <w:highlight w:val="white"/>
          <w:lang w:val="en-US" w:eastAsia="en-GB"/>
        </w:rPr>
        <w:t>Geest</w:t>
      </w:r>
      <w:proofErr w:type="spellEnd"/>
      <w:r w:rsidR="00F63F23" w:rsidRPr="26F64964">
        <w:rPr>
          <w:rFonts w:asciiTheme="minorHAnsi" w:eastAsia="Times New Roman" w:hAnsiTheme="minorHAnsi" w:cstheme="minorBidi"/>
          <w:highlight w:val="white"/>
          <w:lang w:val="en-US" w:eastAsia="en-GB"/>
        </w:rPr>
        <w:t xml:space="preserve"> &amp; </w:t>
      </w:r>
      <w:proofErr w:type="spellStart"/>
      <w:r w:rsidR="00F63F23" w:rsidRPr="26F64964">
        <w:rPr>
          <w:rFonts w:asciiTheme="minorHAnsi" w:eastAsia="Times New Roman" w:hAnsiTheme="minorHAnsi" w:cstheme="minorBidi"/>
          <w:highlight w:val="white"/>
          <w:lang w:val="en-US" w:eastAsia="en-GB"/>
        </w:rPr>
        <w:t>Dobbels</w:t>
      </w:r>
      <w:proofErr w:type="spellEnd"/>
      <w:r w:rsidR="00F63F23" w:rsidRPr="26F64964">
        <w:rPr>
          <w:rFonts w:asciiTheme="minorHAnsi" w:eastAsia="Times New Roman" w:hAnsiTheme="minorHAnsi" w:cstheme="minorBidi"/>
          <w:highlight w:val="white"/>
          <w:lang w:val="en-US" w:eastAsia="en-GB"/>
        </w:rPr>
        <w:t>, 2018</w:t>
      </w:r>
      <w:r w:rsidR="00F63F23" w:rsidRPr="26F64964">
        <w:rPr>
          <w:rFonts w:asciiTheme="minorHAnsi" w:eastAsia="Times New Roman" w:hAnsiTheme="minorHAnsi" w:cstheme="minorBidi"/>
          <w:lang w:val="en-US" w:eastAsia="en-GB"/>
        </w:rPr>
        <w:t xml:space="preserve">). </w:t>
      </w:r>
    </w:p>
    <w:p w14:paraId="225527D2" w14:textId="493D48E0" w:rsidR="003D1FEC" w:rsidRDefault="003D1FEC" w:rsidP="003D1FEC">
      <w:pPr>
        <w:pStyle w:val="Heading2"/>
        <w:jc w:val="left"/>
        <w:rPr>
          <w:lang w:val="en-US" w:eastAsia="en-GB"/>
        </w:rPr>
      </w:pPr>
      <w:bookmarkStart w:id="10" w:name="_Toc166853981"/>
      <w:r>
        <w:rPr>
          <w:lang w:val="en-US" w:eastAsia="en-GB"/>
        </w:rPr>
        <w:t>2.3 Addressing an incomplete view of ehealth in transplantation</w:t>
      </w:r>
      <w:bookmarkEnd w:id="10"/>
    </w:p>
    <w:p w14:paraId="04BE42E5" w14:textId="74DBA4B4" w:rsidR="00A100C7" w:rsidRPr="00D33C9F" w:rsidRDefault="001C6FE1" w:rsidP="00A100C7">
      <w:pPr>
        <w:spacing w:line="360" w:lineRule="auto"/>
        <w:jc w:val="both"/>
        <w:rPr>
          <w:rFonts w:asciiTheme="minorHAnsi" w:eastAsia="Times New Roman" w:hAnsiTheme="minorHAnsi" w:cstheme="minorBidi"/>
          <w:lang w:val="en-US" w:eastAsia="en-GB"/>
        </w:rPr>
      </w:pPr>
      <w:r w:rsidRPr="00D33C9F">
        <w:rPr>
          <w:rFonts w:asciiTheme="minorHAnsi" w:eastAsia="Times New Roman" w:hAnsiTheme="minorHAnsi" w:cstheme="minorBidi"/>
          <w:lang w:val="en-US" w:eastAsia="en-GB"/>
        </w:rPr>
        <w:t>Within the transplantation landscape,</w:t>
      </w:r>
      <w:r w:rsidR="00A100C7" w:rsidRPr="00D33C9F">
        <w:rPr>
          <w:rFonts w:asciiTheme="minorHAnsi" w:eastAsia="Times New Roman" w:hAnsiTheme="minorHAnsi" w:cstheme="minorBidi"/>
          <w:lang w:val="en-US" w:eastAsia="en-GB"/>
        </w:rPr>
        <w:t xml:space="preserve"> the integration of eHealth technologies has </w:t>
      </w:r>
      <w:r w:rsidR="00E16D2B" w:rsidRPr="00D33C9F">
        <w:rPr>
          <w:rFonts w:asciiTheme="minorHAnsi" w:eastAsia="Times New Roman" w:hAnsiTheme="minorHAnsi" w:cstheme="minorBidi"/>
          <w:lang w:val="en-US" w:eastAsia="en-GB"/>
        </w:rPr>
        <w:t>transformed</w:t>
      </w:r>
      <w:r w:rsidR="00A100C7" w:rsidRPr="00D33C9F">
        <w:rPr>
          <w:rFonts w:asciiTheme="minorHAnsi" w:eastAsia="Times New Roman" w:hAnsiTheme="minorHAnsi" w:cstheme="minorBidi"/>
          <w:lang w:val="en-US" w:eastAsia="en-GB"/>
        </w:rPr>
        <w:t xml:space="preserve"> patient care, management, and outcomes. However, it</w:t>
      </w:r>
      <w:r w:rsidR="00A445FF" w:rsidRPr="00D33C9F">
        <w:rPr>
          <w:rFonts w:asciiTheme="minorHAnsi" w:eastAsia="Times New Roman" w:hAnsiTheme="minorHAnsi" w:cstheme="minorBidi"/>
          <w:lang w:val="en-US" w:eastAsia="en-GB"/>
        </w:rPr>
        <w:t xml:space="preserve"> i</w:t>
      </w:r>
      <w:r w:rsidR="00A100C7" w:rsidRPr="00D33C9F">
        <w:rPr>
          <w:rFonts w:asciiTheme="minorHAnsi" w:eastAsia="Times New Roman" w:hAnsiTheme="minorHAnsi" w:cstheme="minorBidi"/>
          <w:lang w:val="en-US" w:eastAsia="en-GB"/>
        </w:rPr>
        <w:t xml:space="preserve">s </w:t>
      </w:r>
      <w:r w:rsidRPr="00D33C9F">
        <w:rPr>
          <w:rFonts w:asciiTheme="minorHAnsi" w:eastAsia="Times New Roman" w:hAnsiTheme="minorHAnsi" w:cstheme="minorBidi"/>
          <w:lang w:val="en-US" w:eastAsia="en-GB"/>
        </w:rPr>
        <w:t>important</w:t>
      </w:r>
      <w:r w:rsidR="00A100C7" w:rsidRPr="00D33C9F">
        <w:rPr>
          <w:rFonts w:asciiTheme="minorHAnsi" w:eastAsia="Times New Roman" w:hAnsiTheme="minorHAnsi" w:cstheme="minorBidi"/>
          <w:lang w:val="en-US" w:eastAsia="en-GB"/>
        </w:rPr>
        <w:t xml:space="preserve"> to acknowledge that our understanding of eHealth in transplantation may still be incomplete, and there are several aspects that warrant deeper investigation.</w:t>
      </w:r>
    </w:p>
    <w:p w14:paraId="29D3CCAA" w14:textId="0A3EA08F" w:rsidR="00E16D2B" w:rsidRPr="00D33C9F" w:rsidRDefault="00A100C7" w:rsidP="00A100C7">
      <w:pPr>
        <w:spacing w:line="360" w:lineRule="auto"/>
        <w:jc w:val="both"/>
        <w:rPr>
          <w:rFonts w:asciiTheme="minorHAnsi" w:eastAsia="Times New Roman" w:hAnsiTheme="minorHAnsi" w:cstheme="minorBidi"/>
          <w:lang w:eastAsia="en-GB"/>
        </w:rPr>
      </w:pPr>
      <w:r w:rsidRPr="00D33C9F">
        <w:rPr>
          <w:rFonts w:asciiTheme="minorHAnsi" w:eastAsia="Times New Roman" w:hAnsiTheme="minorHAnsi" w:cstheme="minorBidi"/>
          <w:lang w:val="en-US" w:eastAsia="en-GB"/>
        </w:rPr>
        <w:t xml:space="preserve">One aspect deserving attention is </w:t>
      </w:r>
      <w:r w:rsidR="00DB0BA1" w:rsidRPr="00D33C9F">
        <w:rPr>
          <w:rFonts w:asciiTheme="minorHAnsi" w:eastAsia="Times New Roman" w:hAnsiTheme="minorHAnsi" w:cstheme="minorBidi"/>
          <w:lang w:val="en-US" w:eastAsia="en-GB"/>
        </w:rPr>
        <w:t>understanding the different e-health interventions used throughout the different types of transplants and their impact. While there have been</w:t>
      </w:r>
      <w:r w:rsidR="00B6389C" w:rsidRPr="00D33C9F">
        <w:rPr>
          <w:rFonts w:asciiTheme="minorHAnsi" w:eastAsia="Times New Roman" w:hAnsiTheme="minorHAnsi" w:cstheme="minorBidi"/>
          <w:lang w:val="en-US" w:eastAsia="en-GB"/>
        </w:rPr>
        <w:t xml:space="preserve"> </w:t>
      </w:r>
      <w:r w:rsidR="006C13F8" w:rsidRPr="00D33C9F">
        <w:rPr>
          <w:rFonts w:asciiTheme="minorHAnsi" w:eastAsia="Times New Roman" w:hAnsiTheme="minorHAnsi" w:cstheme="minorBidi"/>
          <w:lang w:val="en-US" w:eastAsia="en-GB"/>
        </w:rPr>
        <w:t>several review</w:t>
      </w:r>
      <w:r w:rsidR="00DB0BA1" w:rsidRPr="00D33C9F">
        <w:rPr>
          <w:rFonts w:asciiTheme="minorHAnsi" w:eastAsia="Times New Roman" w:hAnsiTheme="minorHAnsi" w:cstheme="minorBidi"/>
          <w:lang w:val="en-US" w:eastAsia="en-GB"/>
        </w:rPr>
        <w:t xml:space="preserve"> studies focused on e-health integration in </w:t>
      </w:r>
      <w:r w:rsidR="00A44008" w:rsidRPr="00D33C9F">
        <w:rPr>
          <w:rFonts w:asciiTheme="minorHAnsi" w:eastAsia="Times New Roman" w:hAnsiTheme="minorHAnsi" w:cstheme="minorBidi"/>
          <w:lang w:val="en-US" w:eastAsia="en-GB"/>
        </w:rPr>
        <w:t>transplantation</w:t>
      </w:r>
      <w:r w:rsidR="00DB0BA1" w:rsidRPr="00D33C9F">
        <w:rPr>
          <w:rFonts w:asciiTheme="minorHAnsi" w:eastAsia="Times New Roman" w:hAnsiTheme="minorHAnsi" w:cstheme="minorBidi"/>
          <w:lang w:val="en-US" w:eastAsia="en-GB"/>
        </w:rPr>
        <w:t>, they have focused</w:t>
      </w:r>
      <w:r w:rsidR="00A44008" w:rsidRPr="00D33C9F">
        <w:rPr>
          <w:rFonts w:asciiTheme="minorHAnsi" w:eastAsia="Times New Roman" w:hAnsiTheme="minorHAnsi" w:cstheme="minorBidi"/>
          <w:lang w:val="en-US" w:eastAsia="en-GB"/>
        </w:rPr>
        <w:t xml:space="preserve"> on a single group of transplantation type (</w:t>
      </w:r>
      <w:proofErr w:type="spellStart"/>
      <w:r w:rsidR="00A44008" w:rsidRPr="00D33C9F">
        <w:rPr>
          <w:rFonts w:ascii="Calibri" w:hAnsi="Calibri" w:cs="Calibri"/>
          <w:lang w:val="en-GB"/>
        </w:rPr>
        <w:t>Eslami</w:t>
      </w:r>
      <w:proofErr w:type="spellEnd"/>
      <w:r w:rsidR="00A44008" w:rsidRPr="00D33C9F">
        <w:rPr>
          <w:rFonts w:ascii="Calibri" w:hAnsi="Calibri" w:cs="Calibri"/>
          <w:lang w:val="en-GB"/>
        </w:rPr>
        <w:t xml:space="preserve">, </w:t>
      </w:r>
      <w:proofErr w:type="spellStart"/>
      <w:r w:rsidR="00A44008" w:rsidRPr="00D33C9F">
        <w:rPr>
          <w:rFonts w:ascii="Calibri" w:hAnsi="Calibri" w:cs="Calibri"/>
          <w:lang w:val="en-GB"/>
        </w:rPr>
        <w:t>Khoshrounejad</w:t>
      </w:r>
      <w:proofErr w:type="spellEnd"/>
      <w:r w:rsidR="00A44008" w:rsidRPr="00D33C9F">
        <w:rPr>
          <w:rFonts w:ascii="Calibri" w:hAnsi="Calibri" w:cs="Calibri"/>
          <w:lang w:val="en-GB"/>
        </w:rPr>
        <w:t xml:space="preserve">, </w:t>
      </w:r>
      <w:proofErr w:type="spellStart"/>
      <w:r w:rsidR="00A44008" w:rsidRPr="00D33C9F">
        <w:rPr>
          <w:rFonts w:ascii="Calibri" w:hAnsi="Calibri" w:cs="Calibri"/>
          <w:lang w:val="en-GB"/>
        </w:rPr>
        <w:t>Golmakani</w:t>
      </w:r>
      <w:proofErr w:type="spellEnd"/>
      <w:r w:rsidR="00A44008" w:rsidRPr="00D33C9F">
        <w:rPr>
          <w:rFonts w:ascii="Calibri" w:hAnsi="Calibri" w:cs="Calibri"/>
          <w:lang w:val="en-GB"/>
        </w:rPr>
        <w:t xml:space="preserve">, </w:t>
      </w:r>
      <w:proofErr w:type="spellStart"/>
      <w:r w:rsidR="00A44008" w:rsidRPr="00D33C9F">
        <w:rPr>
          <w:rFonts w:ascii="Calibri" w:hAnsi="Calibri" w:cs="Calibri"/>
          <w:lang w:val="en-GB"/>
        </w:rPr>
        <w:t>Taherzadeh</w:t>
      </w:r>
      <w:proofErr w:type="spellEnd"/>
      <w:r w:rsidR="00A44008" w:rsidRPr="00D33C9F">
        <w:rPr>
          <w:rFonts w:ascii="Calibri" w:hAnsi="Calibri" w:cs="Calibri"/>
          <w:lang w:val="en-GB"/>
        </w:rPr>
        <w:t xml:space="preserve">, </w:t>
      </w:r>
      <w:proofErr w:type="spellStart"/>
      <w:r w:rsidR="00A44008" w:rsidRPr="00D33C9F">
        <w:rPr>
          <w:rFonts w:ascii="Calibri" w:hAnsi="Calibri" w:cs="Calibri"/>
          <w:lang w:val="en-GB"/>
        </w:rPr>
        <w:t>Tohidinezhad</w:t>
      </w:r>
      <w:proofErr w:type="spellEnd"/>
      <w:r w:rsidR="00A44008" w:rsidRPr="00D33C9F">
        <w:rPr>
          <w:rFonts w:ascii="Calibri" w:hAnsi="Calibri" w:cs="Calibri"/>
          <w:lang w:val="en-GB"/>
        </w:rPr>
        <w:t xml:space="preserve">, </w:t>
      </w:r>
      <w:proofErr w:type="spellStart"/>
      <w:r w:rsidR="00A44008" w:rsidRPr="00D33C9F">
        <w:rPr>
          <w:rFonts w:ascii="Calibri" w:hAnsi="Calibri" w:cs="Calibri"/>
          <w:lang w:val="en-GB"/>
        </w:rPr>
        <w:t>Mostafavi</w:t>
      </w:r>
      <w:proofErr w:type="spellEnd"/>
      <w:r w:rsidR="00A44008" w:rsidRPr="00D33C9F">
        <w:rPr>
          <w:rFonts w:ascii="Calibri" w:hAnsi="Calibri" w:cs="Calibri"/>
          <w:lang w:val="en-GB"/>
        </w:rPr>
        <w:t xml:space="preserve"> &amp; </w:t>
      </w:r>
      <w:proofErr w:type="spellStart"/>
      <w:r w:rsidR="00A44008" w:rsidRPr="00D33C9F">
        <w:rPr>
          <w:rFonts w:ascii="Calibri" w:hAnsi="Calibri" w:cs="Calibri"/>
          <w:lang w:val="en-GB"/>
        </w:rPr>
        <w:t>Ganjali</w:t>
      </w:r>
      <w:proofErr w:type="spellEnd"/>
      <w:r w:rsidR="00A44008" w:rsidRPr="00D33C9F">
        <w:rPr>
          <w:rFonts w:ascii="Calibri" w:hAnsi="Calibri" w:cs="Calibri"/>
          <w:lang w:val="en-GB"/>
        </w:rPr>
        <w:t xml:space="preserve">, 2021; </w:t>
      </w:r>
      <w:proofErr w:type="spellStart"/>
      <w:r w:rsidR="00A44008" w:rsidRPr="00D33C9F">
        <w:rPr>
          <w:rFonts w:ascii="Calibri" w:hAnsi="Calibri" w:cs="Calibri"/>
          <w:lang w:val="en-GB"/>
        </w:rPr>
        <w:t>Shahmoradi</w:t>
      </w:r>
      <w:proofErr w:type="spellEnd"/>
      <w:r w:rsidR="00A44008" w:rsidRPr="00D33C9F">
        <w:rPr>
          <w:rFonts w:ascii="Calibri" w:hAnsi="Calibri" w:cs="Calibri"/>
          <w:lang w:val="en-GB"/>
        </w:rPr>
        <w:t xml:space="preserve">, Abtahi, Amini, &amp; Gholamzadeh, 2020; </w:t>
      </w:r>
      <w:r w:rsidR="00A44008" w:rsidRPr="00D33C9F">
        <w:rPr>
          <w:rFonts w:asciiTheme="minorHAnsi" w:eastAsia="Times New Roman" w:hAnsiTheme="minorHAnsi" w:cstheme="minorBidi"/>
          <w:lang w:val="en-US" w:eastAsia="en-GB"/>
        </w:rPr>
        <w:t xml:space="preserve">Sharma, </w:t>
      </w:r>
      <w:proofErr w:type="spellStart"/>
      <w:r w:rsidR="00A44008" w:rsidRPr="00D33C9F">
        <w:rPr>
          <w:rFonts w:asciiTheme="minorHAnsi" w:eastAsia="Times New Roman" w:hAnsiTheme="minorHAnsi" w:cstheme="minorBidi"/>
          <w:lang w:val="en-US" w:eastAsia="en-GB"/>
        </w:rPr>
        <w:t>Piscoran</w:t>
      </w:r>
      <w:proofErr w:type="spellEnd"/>
      <w:r w:rsidR="00A44008" w:rsidRPr="00D33C9F">
        <w:rPr>
          <w:rFonts w:asciiTheme="minorHAnsi" w:eastAsia="Times New Roman" w:hAnsiTheme="minorHAnsi" w:cstheme="minorBidi"/>
          <w:lang w:val="en-US" w:eastAsia="en-GB"/>
        </w:rPr>
        <w:t xml:space="preserve">, Summers, </w:t>
      </w:r>
      <w:proofErr w:type="spellStart"/>
      <w:r w:rsidR="00A44008" w:rsidRPr="00D33C9F">
        <w:rPr>
          <w:rFonts w:asciiTheme="minorHAnsi" w:eastAsia="Times New Roman" w:hAnsiTheme="minorHAnsi" w:cstheme="minorBidi"/>
          <w:lang w:val="en-US" w:eastAsia="en-GB"/>
        </w:rPr>
        <w:t>Woywodt</w:t>
      </w:r>
      <w:proofErr w:type="spellEnd"/>
      <w:r w:rsidR="00A44008" w:rsidRPr="00D33C9F">
        <w:rPr>
          <w:rFonts w:asciiTheme="minorHAnsi" w:eastAsia="Times New Roman" w:hAnsiTheme="minorHAnsi" w:cstheme="minorBidi"/>
          <w:lang w:val="en-US" w:eastAsia="en-GB"/>
        </w:rPr>
        <w:t xml:space="preserve">, van der Veer, Ainsworth &amp; Augustine, 2021). </w:t>
      </w:r>
      <w:r w:rsidR="00A44008" w:rsidRPr="00D33C9F">
        <w:rPr>
          <w:rFonts w:asciiTheme="minorHAnsi" w:eastAsia="Times New Roman" w:hAnsiTheme="minorHAnsi" w:cstheme="minorBidi"/>
          <w:lang w:eastAsia="en-GB"/>
        </w:rPr>
        <w:t xml:space="preserve">These </w:t>
      </w:r>
      <w:r w:rsidR="006C13F8" w:rsidRPr="00D33C9F">
        <w:rPr>
          <w:rFonts w:asciiTheme="minorHAnsi" w:eastAsia="Times New Roman" w:hAnsiTheme="minorHAnsi" w:cstheme="minorBidi"/>
          <w:lang w:eastAsia="en-GB"/>
        </w:rPr>
        <w:t xml:space="preserve">review </w:t>
      </w:r>
      <w:r w:rsidR="00A44008" w:rsidRPr="00D33C9F">
        <w:rPr>
          <w:rFonts w:asciiTheme="minorHAnsi" w:eastAsia="Times New Roman" w:hAnsiTheme="minorHAnsi" w:cstheme="minorBidi"/>
          <w:lang w:eastAsia="en-GB"/>
        </w:rPr>
        <w:t xml:space="preserve">studies </w:t>
      </w:r>
      <w:r w:rsidR="006C13F8" w:rsidRPr="00D33C9F">
        <w:rPr>
          <w:rFonts w:asciiTheme="minorHAnsi" w:eastAsia="Times New Roman" w:hAnsiTheme="minorHAnsi" w:cstheme="minorBidi"/>
          <w:lang w:eastAsia="en-GB"/>
        </w:rPr>
        <w:t>focused on</w:t>
      </w:r>
      <w:r w:rsidR="00053340" w:rsidRPr="00D33C9F">
        <w:rPr>
          <w:rFonts w:asciiTheme="minorHAnsi" w:eastAsia="Times New Roman" w:hAnsiTheme="minorHAnsi" w:cstheme="minorBidi"/>
          <w:lang w:eastAsia="en-GB"/>
        </w:rPr>
        <w:t xml:space="preserve"> </w:t>
      </w:r>
      <w:r w:rsidR="00A44008" w:rsidRPr="00D33C9F">
        <w:rPr>
          <w:rFonts w:asciiTheme="minorHAnsi" w:eastAsia="Times New Roman" w:hAnsiTheme="minorHAnsi" w:cstheme="minorBidi"/>
          <w:lang w:eastAsia="en-GB"/>
        </w:rPr>
        <w:t xml:space="preserve">the specific challenges and benefits associated with a particular transplant type, such as renal, lung, kidney transplantation. </w:t>
      </w:r>
      <w:r w:rsidR="00E16D2B" w:rsidRPr="00D33C9F">
        <w:rPr>
          <w:rFonts w:asciiTheme="minorHAnsi" w:eastAsia="Times New Roman" w:hAnsiTheme="minorHAnsi" w:cstheme="minorBidi"/>
          <w:lang w:eastAsia="en-GB"/>
        </w:rPr>
        <w:t xml:space="preserve">However, by focusing on a single transplantation type, researchers make it difficult to apply their findings across the broader transplantation landscape. Each type of transplant has its own unique </w:t>
      </w:r>
      <w:r w:rsidR="007D4D74" w:rsidRPr="00D33C9F">
        <w:rPr>
          <w:rFonts w:asciiTheme="minorHAnsi" w:eastAsia="Times New Roman" w:hAnsiTheme="minorHAnsi" w:cstheme="minorBidi"/>
          <w:lang w:eastAsia="en-GB"/>
        </w:rPr>
        <w:t>challenges,</w:t>
      </w:r>
      <w:r w:rsidR="00E16D2B" w:rsidRPr="00D33C9F">
        <w:rPr>
          <w:rFonts w:asciiTheme="minorHAnsi" w:eastAsia="Times New Roman" w:hAnsiTheme="minorHAnsi" w:cstheme="minorBidi"/>
          <w:lang w:eastAsia="en-GB"/>
        </w:rPr>
        <w:t xml:space="preserve"> and the findings are only limited and applicable to their specific transplant type. </w:t>
      </w:r>
      <w:r w:rsidR="007D4D74" w:rsidRPr="00D33C9F">
        <w:rPr>
          <w:rFonts w:asciiTheme="minorHAnsi" w:eastAsia="Times New Roman" w:hAnsiTheme="minorHAnsi" w:cstheme="minorBidi"/>
          <w:lang w:eastAsia="en-GB"/>
        </w:rPr>
        <w:t>This highlights a need for a review that looks at all types of transplantation to provide a holistic view of challenges and benefits of the impact of eHealth interventions</w:t>
      </w:r>
      <w:r w:rsidR="009247A3" w:rsidRPr="00D33C9F">
        <w:rPr>
          <w:rFonts w:asciiTheme="minorHAnsi" w:eastAsia="Times New Roman" w:hAnsiTheme="minorHAnsi" w:cstheme="minorBidi"/>
          <w:lang w:eastAsia="en-GB"/>
        </w:rPr>
        <w:t xml:space="preserve"> across all transplantation types. </w:t>
      </w:r>
    </w:p>
    <w:p w14:paraId="0CD3E59A" w14:textId="77777777" w:rsidR="00E16D2B" w:rsidRPr="00D33C9F" w:rsidRDefault="00E16D2B" w:rsidP="00A100C7">
      <w:pPr>
        <w:spacing w:line="360" w:lineRule="auto"/>
        <w:jc w:val="both"/>
        <w:rPr>
          <w:rFonts w:asciiTheme="minorHAnsi" w:eastAsia="Times New Roman" w:hAnsiTheme="minorHAnsi" w:cstheme="minorBidi"/>
          <w:lang w:eastAsia="en-GB"/>
        </w:rPr>
      </w:pPr>
    </w:p>
    <w:p w14:paraId="7DD3DF9A" w14:textId="75692D66" w:rsidR="00E16D2B" w:rsidRPr="00D33C9F" w:rsidRDefault="007D4D74" w:rsidP="00A100C7">
      <w:pPr>
        <w:spacing w:line="360" w:lineRule="auto"/>
        <w:jc w:val="both"/>
        <w:rPr>
          <w:rFonts w:asciiTheme="minorHAnsi" w:eastAsia="Times New Roman" w:hAnsiTheme="minorHAnsi" w:cstheme="minorBidi"/>
          <w:lang w:val="en-US" w:eastAsia="en-GB"/>
        </w:rPr>
      </w:pPr>
      <w:r w:rsidRPr="00D33C9F">
        <w:rPr>
          <w:rFonts w:asciiTheme="minorHAnsi" w:eastAsia="Times New Roman" w:hAnsiTheme="minorHAnsi" w:cstheme="minorBidi"/>
          <w:lang w:val="en-US" w:eastAsia="en-GB"/>
        </w:rPr>
        <w:lastRenderedPageBreak/>
        <w:t xml:space="preserve">Another aspect that highlights a </w:t>
      </w:r>
      <w:r w:rsidR="009247A3" w:rsidRPr="00D33C9F">
        <w:rPr>
          <w:rFonts w:asciiTheme="minorHAnsi" w:eastAsia="Times New Roman" w:hAnsiTheme="minorHAnsi" w:cstheme="minorBidi"/>
          <w:lang w:val="en-US" w:eastAsia="en-GB"/>
        </w:rPr>
        <w:t xml:space="preserve">need for further research is the focus on a single specific outcome on the use of eHealth interventions within transplantation. A recent review looked at the effectiveness of eHealth interventions improving medication adherence for transplant patients (Lee, Shin &amp; Seo, 2020). However, in choosing to focus on one beneficial outcome for transplant patients, this review provides a fragmented view. It potentially overlooks additional benefits or challenges that transplant patients face with the use of eHealth interventions. This highlights a need for a review that considers multiple outcomes of using eHealth interventions. </w:t>
      </w:r>
    </w:p>
    <w:p w14:paraId="371303E8" w14:textId="545BEAB2" w:rsidR="00961693" w:rsidRPr="00D33C9F" w:rsidRDefault="00961693" w:rsidP="00D33C9F">
      <w:pPr>
        <w:pStyle w:val="Heading2"/>
        <w:jc w:val="left"/>
      </w:pPr>
      <w:bookmarkStart w:id="11" w:name="_Toc166853982"/>
      <w:r w:rsidRPr="00D33C9F">
        <w:t>2.</w:t>
      </w:r>
      <w:r w:rsidR="003D1FEC" w:rsidRPr="00D33C9F">
        <w:t>4</w:t>
      </w:r>
      <w:r w:rsidRPr="00D33C9F">
        <w:t xml:space="preserve"> </w:t>
      </w:r>
      <w:r w:rsidR="00AE51A6" w:rsidRPr="00D33C9F">
        <w:t>Patient perspectives on ehealth in transplantation</w:t>
      </w:r>
      <w:bookmarkEnd w:id="11"/>
    </w:p>
    <w:p w14:paraId="65B22DCF" w14:textId="17604700" w:rsidR="00CF4A73" w:rsidRPr="00D33C9F" w:rsidRDefault="00CF4A73" w:rsidP="00CF4A73">
      <w:pPr>
        <w:spacing w:line="360" w:lineRule="auto"/>
        <w:jc w:val="both"/>
        <w:rPr>
          <w:rFonts w:asciiTheme="minorHAnsi" w:eastAsia="Times New Roman" w:hAnsiTheme="minorHAnsi" w:cstheme="minorBidi"/>
          <w:lang w:val="en-US" w:eastAsia="en-GB"/>
        </w:rPr>
      </w:pPr>
      <w:r w:rsidRPr="00D33C9F">
        <w:rPr>
          <w:rFonts w:asciiTheme="minorHAnsi" w:eastAsia="Times New Roman" w:hAnsiTheme="minorHAnsi" w:cstheme="minorBidi"/>
          <w:lang w:val="en-GB" w:eastAsia="en-GB"/>
        </w:rPr>
        <w:t xml:space="preserve">Despite the benefits of using eHealth in transplants, scholars reported challenges that patients face that discourage </w:t>
      </w:r>
      <w:r w:rsidR="00CB013F" w:rsidRPr="00D33C9F">
        <w:rPr>
          <w:rFonts w:asciiTheme="minorHAnsi" w:eastAsia="Times New Roman" w:hAnsiTheme="minorHAnsi" w:cstheme="minorBidi"/>
          <w:lang w:val="en-GB" w:eastAsia="en-GB"/>
        </w:rPr>
        <w:t xml:space="preserve">the </w:t>
      </w:r>
      <w:r w:rsidRPr="00D33C9F">
        <w:rPr>
          <w:rFonts w:asciiTheme="minorHAnsi" w:eastAsia="Times New Roman" w:hAnsiTheme="minorHAnsi" w:cstheme="minorBidi"/>
          <w:lang w:val="en-GB" w:eastAsia="en-GB"/>
        </w:rPr>
        <w:t>use</w:t>
      </w:r>
      <w:r w:rsidR="00CB013F" w:rsidRPr="00D33C9F">
        <w:rPr>
          <w:rFonts w:asciiTheme="minorHAnsi" w:eastAsia="Times New Roman" w:hAnsiTheme="minorHAnsi" w:cstheme="minorBidi"/>
          <w:lang w:val="en-GB" w:eastAsia="en-GB"/>
        </w:rPr>
        <w:t xml:space="preserve"> of eHealth tools</w:t>
      </w:r>
      <w:r w:rsidRPr="00D33C9F">
        <w:rPr>
          <w:rFonts w:asciiTheme="minorHAnsi" w:eastAsia="Times New Roman" w:hAnsiTheme="minorHAnsi" w:cstheme="minorBidi"/>
          <w:lang w:val="en-GB" w:eastAsia="en-GB"/>
        </w:rPr>
        <w:t xml:space="preserve"> (</w:t>
      </w:r>
      <w:r w:rsidRPr="00D33C9F">
        <w:rPr>
          <w:rFonts w:asciiTheme="minorHAnsi" w:eastAsia="Times New Roman" w:hAnsiTheme="minorHAnsi" w:cstheme="minorBidi"/>
          <w:highlight w:val="white"/>
          <w:lang w:val="en-GB" w:eastAsia="en-GB"/>
        </w:rPr>
        <w:t>Kelly, Steinberg, Suplee,</w:t>
      </w:r>
      <w:r w:rsidRPr="00D33C9F">
        <w:rPr>
          <w:rFonts w:asciiTheme="minorHAnsi" w:eastAsia="Times New Roman" w:hAnsiTheme="minorHAnsi" w:cstheme="minorBidi"/>
          <w:lang w:val="en-GB" w:eastAsia="en-GB"/>
        </w:rPr>
        <w:t xml:space="preserve"> </w:t>
      </w:r>
      <w:r w:rsidRPr="00D33C9F">
        <w:rPr>
          <w:rFonts w:asciiTheme="minorHAnsi" w:eastAsia="Times New Roman" w:hAnsiTheme="minorHAnsi" w:cstheme="minorBidi"/>
          <w:highlight w:val="white"/>
          <w:lang w:val="en-GB" w:eastAsia="en-GB"/>
        </w:rPr>
        <w:t>Upshaw, Campbell, Thomas &amp; Buchanan, 2019</w:t>
      </w:r>
      <w:r w:rsidRPr="00D33C9F">
        <w:rPr>
          <w:rFonts w:asciiTheme="minorHAnsi" w:eastAsia="Times New Roman" w:hAnsiTheme="minorHAnsi" w:cstheme="minorBidi"/>
          <w:lang w:val="en-GB" w:eastAsia="en-GB"/>
        </w:rPr>
        <w:t xml:space="preserve">; Bul, Bannon, Krishan, Dunlop &amp; </w:t>
      </w:r>
      <w:proofErr w:type="spellStart"/>
      <w:r w:rsidRPr="00D33C9F">
        <w:rPr>
          <w:rFonts w:asciiTheme="minorHAnsi" w:eastAsia="Times New Roman" w:hAnsiTheme="minorHAnsi" w:cstheme="minorBidi"/>
          <w:lang w:val="en-GB" w:eastAsia="en-GB"/>
        </w:rPr>
        <w:t>Szczepura</w:t>
      </w:r>
      <w:proofErr w:type="spellEnd"/>
      <w:r w:rsidRPr="00D33C9F">
        <w:rPr>
          <w:rFonts w:asciiTheme="minorHAnsi" w:eastAsia="Times New Roman" w:hAnsiTheme="minorHAnsi" w:cstheme="minorBidi"/>
          <w:lang w:val="en-GB" w:eastAsia="en-GB"/>
        </w:rPr>
        <w:t xml:space="preserve">, 2023). According to </w:t>
      </w:r>
      <w:r w:rsidRPr="00D33C9F">
        <w:rPr>
          <w:rFonts w:asciiTheme="minorHAnsi" w:eastAsia="Times New Roman" w:hAnsiTheme="minorHAnsi" w:cstheme="minorBidi"/>
          <w:lang w:val="en-US" w:eastAsia="en-GB"/>
        </w:rPr>
        <w:t>Tang (2022)</w:t>
      </w:r>
      <w:r w:rsidRPr="00D33C9F">
        <w:rPr>
          <w:rFonts w:asciiTheme="minorHAnsi" w:eastAsia="Times New Roman" w:hAnsiTheme="minorHAnsi" w:cstheme="minorBidi"/>
          <w:lang w:val="en-GB" w:eastAsia="en-GB"/>
        </w:rPr>
        <w:t xml:space="preserve">, patients faced challenges in navigating the technology as well as concerns around the confidentiality, privacy, and credibility of information. </w:t>
      </w:r>
      <w:r w:rsidRPr="00D33C9F">
        <w:rPr>
          <w:rFonts w:asciiTheme="minorHAnsi" w:eastAsia="Times New Roman" w:hAnsiTheme="minorHAnsi" w:cstheme="minorBidi"/>
          <w:lang w:val="en-US" w:eastAsia="en-GB"/>
        </w:rPr>
        <w:t xml:space="preserve">Sharman and colleagues </w:t>
      </w:r>
      <w:r w:rsidR="00CB013F" w:rsidRPr="00D33C9F">
        <w:rPr>
          <w:rFonts w:asciiTheme="minorHAnsi" w:eastAsia="Times New Roman" w:hAnsiTheme="minorHAnsi" w:cstheme="minorBidi"/>
          <w:lang w:val="en-US" w:eastAsia="en-GB"/>
        </w:rPr>
        <w:t xml:space="preserve">(2020) </w:t>
      </w:r>
      <w:r w:rsidRPr="00D33C9F">
        <w:rPr>
          <w:rFonts w:asciiTheme="minorHAnsi" w:eastAsia="Times New Roman" w:hAnsiTheme="minorHAnsi" w:cstheme="minorBidi"/>
          <w:lang w:val="en-US" w:eastAsia="en-GB"/>
        </w:rPr>
        <w:t xml:space="preserve">argue that </w:t>
      </w:r>
      <w:r w:rsidRPr="00D33C9F">
        <w:rPr>
          <w:rFonts w:asciiTheme="minorHAnsi" w:eastAsia="Times New Roman" w:hAnsiTheme="minorHAnsi" w:cstheme="minorBidi"/>
          <w:highlight w:val="white"/>
          <w:lang w:val="en-US" w:eastAsia="en-GB"/>
        </w:rPr>
        <w:t>a barrier to the use of eHealth in</w:t>
      </w:r>
      <w:r w:rsidRPr="00D33C9F">
        <w:rPr>
          <w:rFonts w:asciiTheme="minorHAnsi" w:eastAsia="Times New Roman" w:hAnsiTheme="minorHAnsi" w:cstheme="minorBidi"/>
          <w:lang w:val="en-US" w:eastAsia="en-GB"/>
        </w:rPr>
        <w:t xml:space="preserve"> transplants is poor IT literacy and IT accessibility among patients (Sherman, Said, Kriss, Potluri, Levitsky, Reese, Shea &amp; </w:t>
      </w:r>
      <w:proofErr w:type="spellStart"/>
      <w:r w:rsidRPr="00D33C9F">
        <w:rPr>
          <w:rFonts w:asciiTheme="minorHAnsi" w:eastAsia="Times New Roman" w:hAnsiTheme="minorHAnsi" w:cstheme="minorBidi"/>
          <w:lang w:val="en-US" w:eastAsia="en-GB"/>
        </w:rPr>
        <w:t>Serper</w:t>
      </w:r>
      <w:proofErr w:type="spellEnd"/>
      <w:r w:rsidRPr="00D33C9F">
        <w:rPr>
          <w:rFonts w:asciiTheme="minorHAnsi" w:eastAsia="Times New Roman" w:hAnsiTheme="minorHAnsi" w:cstheme="minorBidi"/>
          <w:lang w:val="en-US" w:eastAsia="en-GB"/>
        </w:rPr>
        <w:t>, 2020). Another study pointed out that individuals who did not own mobile devices or technology were not comfortable with using eHealth (</w:t>
      </w:r>
      <w:proofErr w:type="spellStart"/>
      <w:r w:rsidRPr="00D33C9F">
        <w:rPr>
          <w:rFonts w:asciiTheme="minorHAnsi" w:eastAsia="Times New Roman" w:hAnsiTheme="minorHAnsi" w:cstheme="minorBidi"/>
          <w:highlight w:val="white"/>
          <w:lang w:val="en-US" w:eastAsia="en-GB"/>
        </w:rPr>
        <w:t>McGillicudd</w:t>
      </w:r>
      <w:proofErr w:type="spellEnd"/>
      <w:r w:rsidRPr="00D33C9F">
        <w:rPr>
          <w:rFonts w:asciiTheme="minorHAnsi" w:eastAsia="Times New Roman" w:hAnsiTheme="minorHAnsi" w:cstheme="minorBidi"/>
          <w:highlight w:val="white"/>
          <w:lang w:val="en-US" w:eastAsia="en-GB"/>
        </w:rPr>
        <w:t xml:space="preserve">, Weiland, </w:t>
      </w:r>
      <w:proofErr w:type="spellStart"/>
      <w:r w:rsidRPr="00D33C9F">
        <w:rPr>
          <w:rFonts w:asciiTheme="minorHAnsi" w:eastAsia="Times New Roman" w:hAnsiTheme="minorHAnsi" w:cstheme="minorBidi"/>
          <w:highlight w:val="white"/>
          <w:lang w:val="en-US" w:eastAsia="en-GB"/>
        </w:rPr>
        <w:t>Frenzel</w:t>
      </w:r>
      <w:proofErr w:type="spellEnd"/>
      <w:r w:rsidRPr="00D33C9F">
        <w:rPr>
          <w:rFonts w:asciiTheme="minorHAnsi" w:eastAsia="Times New Roman" w:hAnsiTheme="minorHAnsi" w:cstheme="minorBidi"/>
          <w:highlight w:val="white"/>
          <w:lang w:val="en-US" w:eastAsia="en-GB"/>
        </w:rPr>
        <w:t>, Mueller, Brunner-Jackson, Taber, Baliga &amp; Treiber, 2013</w:t>
      </w:r>
      <w:r w:rsidRPr="00D33C9F">
        <w:rPr>
          <w:rFonts w:asciiTheme="minorHAnsi" w:eastAsia="Times New Roman" w:hAnsiTheme="minorHAnsi" w:cstheme="minorBidi"/>
          <w:lang w:val="en-US" w:eastAsia="en-GB"/>
        </w:rPr>
        <w:t>).</w:t>
      </w:r>
      <w:r w:rsidRPr="00D33C9F">
        <w:rPr>
          <w:rFonts w:asciiTheme="minorHAnsi" w:eastAsia="Times New Roman" w:hAnsiTheme="minorHAnsi" w:cstheme="minorBidi"/>
          <w:lang w:val="en-GB" w:eastAsia="en-GB"/>
        </w:rPr>
        <w:t xml:space="preserve"> Oliveira and colleagues </w:t>
      </w:r>
      <w:r w:rsidR="00CB013F" w:rsidRPr="00D33C9F">
        <w:rPr>
          <w:rFonts w:asciiTheme="minorHAnsi" w:eastAsia="Times New Roman" w:hAnsiTheme="minorHAnsi" w:cstheme="minorBidi"/>
          <w:lang w:val="en-GB" w:eastAsia="en-GB"/>
        </w:rPr>
        <w:t xml:space="preserve">(2023) </w:t>
      </w:r>
      <w:r w:rsidRPr="00D33C9F">
        <w:rPr>
          <w:rFonts w:asciiTheme="minorHAnsi" w:eastAsia="Times New Roman" w:hAnsiTheme="minorHAnsi" w:cstheme="minorBidi"/>
          <w:highlight w:val="white"/>
          <w:lang w:val="en-GB" w:eastAsia="en-GB"/>
        </w:rPr>
        <w:t>reported that lack of</w:t>
      </w:r>
      <w:r w:rsidRPr="00D33C9F">
        <w:rPr>
          <w:rFonts w:asciiTheme="minorHAnsi" w:eastAsia="Times New Roman" w:hAnsiTheme="minorHAnsi" w:cstheme="minorBidi"/>
          <w:lang w:val="en-GB" w:eastAsia="en-GB"/>
        </w:rPr>
        <w:t xml:space="preserve"> professional support is another important barrier to using eHealth for transplant purposes (</w:t>
      </w:r>
      <w:r w:rsidRPr="00D33C9F">
        <w:rPr>
          <w:rFonts w:asciiTheme="minorHAnsi" w:eastAsia="Times New Roman" w:hAnsiTheme="minorHAnsi" w:cstheme="minorBidi"/>
          <w:highlight w:val="white"/>
          <w:lang w:val="en-GB" w:eastAsia="en-GB"/>
        </w:rPr>
        <w:t>Oliveira, Sanders-Pinheiro, Filho, Filho, Askari &amp; Júnior, 2023</w:t>
      </w:r>
      <w:r w:rsidRPr="00D33C9F">
        <w:rPr>
          <w:rFonts w:asciiTheme="minorHAnsi" w:eastAsia="Times New Roman" w:hAnsiTheme="minorHAnsi" w:cstheme="minorBidi"/>
          <w:lang w:val="en-GB" w:eastAsia="en-GB"/>
        </w:rPr>
        <w:t xml:space="preserve">). </w:t>
      </w:r>
      <w:r w:rsidRPr="00D33C9F">
        <w:rPr>
          <w:rFonts w:asciiTheme="minorHAnsi" w:eastAsia="Times New Roman" w:hAnsiTheme="minorHAnsi" w:cstheme="minorBidi"/>
          <w:lang w:val="en-US" w:eastAsia="en-GB"/>
        </w:rPr>
        <w:t xml:space="preserve"> </w:t>
      </w:r>
    </w:p>
    <w:p w14:paraId="02674C01" w14:textId="6B937FCF" w:rsidR="00F63F23" w:rsidRPr="00F656D2" w:rsidRDefault="00F63F23" w:rsidP="26F64964">
      <w:pPr>
        <w:spacing w:line="360" w:lineRule="auto"/>
        <w:jc w:val="both"/>
        <w:rPr>
          <w:rFonts w:asciiTheme="minorHAnsi" w:eastAsia="Times New Roman" w:hAnsiTheme="minorHAnsi" w:cstheme="minorBidi"/>
          <w:color w:val="212121"/>
          <w:lang w:val="en-GB" w:eastAsia="en-GB"/>
        </w:rPr>
      </w:pPr>
      <w:r w:rsidRPr="26F64964">
        <w:rPr>
          <w:rFonts w:asciiTheme="minorHAnsi" w:eastAsia="Times New Roman" w:hAnsiTheme="minorHAnsi" w:cstheme="minorBidi"/>
          <w:color w:val="212121"/>
          <w:lang w:val="en-US" w:eastAsia="en-GB"/>
        </w:rPr>
        <w:t xml:space="preserve">Given the technological advancements in post and pre-transplantation care, this study aims to conduct a comprehensive exploration, thoroughly scrutinizing and synthesizing the multifaceted aspects surrounding </w:t>
      </w:r>
      <w:r w:rsidR="005F322D" w:rsidRPr="26F64964">
        <w:rPr>
          <w:rFonts w:asciiTheme="minorHAnsi" w:eastAsia="Times New Roman" w:hAnsiTheme="minorHAnsi" w:cstheme="minorBidi"/>
          <w:color w:val="212121"/>
          <w:lang w:val="en-US" w:eastAsia="en-GB"/>
        </w:rPr>
        <w:t>e</w:t>
      </w:r>
      <w:r w:rsidRPr="26F64964">
        <w:rPr>
          <w:rFonts w:asciiTheme="minorHAnsi" w:eastAsia="Times New Roman" w:hAnsiTheme="minorHAnsi" w:cstheme="minorBidi"/>
          <w:color w:val="212121"/>
          <w:lang w:val="en-US" w:eastAsia="en-GB"/>
        </w:rPr>
        <w:t xml:space="preserve">Health use in the transplantation domain. The research involves a detailed examination of the benefits that </w:t>
      </w:r>
      <w:r w:rsidR="005F322D" w:rsidRPr="26F64964">
        <w:rPr>
          <w:rFonts w:asciiTheme="minorHAnsi" w:eastAsia="Times New Roman" w:hAnsiTheme="minorHAnsi" w:cstheme="minorBidi"/>
          <w:color w:val="212121"/>
          <w:lang w:val="en-US" w:eastAsia="en-GB"/>
        </w:rPr>
        <w:t>e</w:t>
      </w:r>
      <w:r w:rsidRPr="26F64964">
        <w:rPr>
          <w:rFonts w:asciiTheme="minorHAnsi" w:eastAsia="Times New Roman" w:hAnsiTheme="minorHAnsi" w:cstheme="minorBidi"/>
          <w:color w:val="212121"/>
          <w:lang w:val="en-US" w:eastAsia="en-GB"/>
        </w:rPr>
        <w:t>Health contributes to the transplantation process, an analysis of the barriers and challenges inherent in its usage, and an exploration of the potential future directions that this evolving field might take.</w:t>
      </w:r>
    </w:p>
    <w:p w14:paraId="4FDB6FB2" w14:textId="77777777" w:rsidR="00F63F23" w:rsidRDefault="00F63F23" w:rsidP="00F63F23">
      <w:pPr>
        <w:rPr>
          <w:rFonts w:eastAsia="Times New Roman"/>
          <w:caps/>
          <w:color w:val="234F77" w:themeColor="accent2" w:themeShade="80"/>
          <w:spacing w:val="20"/>
          <w:sz w:val="28"/>
          <w:szCs w:val="28"/>
          <w:lang w:eastAsia="en-GB"/>
        </w:rPr>
      </w:pPr>
      <w:r>
        <w:rPr>
          <w:rFonts w:eastAsia="Times New Roman"/>
          <w:lang w:eastAsia="en-GB"/>
        </w:rPr>
        <w:br w:type="page"/>
      </w:r>
    </w:p>
    <w:p w14:paraId="3058D563" w14:textId="77777777" w:rsidR="00F63F23" w:rsidRPr="00596A18" w:rsidRDefault="00F63F23" w:rsidP="00F63F23">
      <w:pPr>
        <w:pStyle w:val="Heading1"/>
        <w:rPr>
          <w:rFonts w:eastAsia="Times New Roman"/>
          <w:lang w:eastAsia="en-GB"/>
        </w:rPr>
      </w:pPr>
      <w:bookmarkStart w:id="12" w:name="_Toc166853983"/>
      <w:r>
        <w:rPr>
          <w:rFonts w:eastAsia="Times New Roman"/>
          <w:lang w:eastAsia="en-GB"/>
        </w:rPr>
        <w:lastRenderedPageBreak/>
        <w:t>Chapter 3: Methodology</w:t>
      </w:r>
      <w:bookmarkEnd w:id="12"/>
    </w:p>
    <w:p w14:paraId="5AFEF9A6" w14:textId="574D07D0" w:rsidR="00F63F23" w:rsidRPr="00F656D2" w:rsidRDefault="00F63F23" w:rsidP="26F64964">
      <w:pPr>
        <w:spacing w:line="360" w:lineRule="auto"/>
        <w:jc w:val="both"/>
        <w:rPr>
          <w:rFonts w:asciiTheme="minorHAnsi" w:eastAsia="Times New Roman" w:hAnsiTheme="minorHAnsi" w:cstheme="minorBidi"/>
          <w:color w:val="212121"/>
          <w:lang w:val="en-US" w:eastAsia="en-GB"/>
        </w:rPr>
      </w:pPr>
      <w:r w:rsidRPr="26F64964">
        <w:rPr>
          <w:rFonts w:asciiTheme="minorHAnsi" w:eastAsia="Times New Roman" w:hAnsiTheme="minorHAnsi" w:cstheme="minorBidi"/>
          <w:color w:val="212121"/>
          <w:lang w:val="en-US" w:eastAsia="en-GB"/>
        </w:rPr>
        <w:t xml:space="preserve">In terms of selecting the appropriate literature review, research was carried out to identify different types of literature reviews. Literature reviews within the information systems field continue to evolve and develop over time (Bandara, </w:t>
      </w:r>
      <w:proofErr w:type="spellStart"/>
      <w:r w:rsidRPr="26F64964">
        <w:rPr>
          <w:rFonts w:asciiTheme="minorHAnsi" w:eastAsia="Times New Roman" w:hAnsiTheme="minorHAnsi" w:cstheme="minorBidi"/>
          <w:color w:val="212121"/>
          <w:lang w:val="en-US" w:eastAsia="en-GB"/>
        </w:rPr>
        <w:t>Miskon</w:t>
      </w:r>
      <w:proofErr w:type="spellEnd"/>
      <w:r w:rsidRPr="26F64964">
        <w:rPr>
          <w:rFonts w:asciiTheme="minorHAnsi" w:eastAsia="Times New Roman" w:hAnsiTheme="minorHAnsi" w:cstheme="minorBidi"/>
          <w:color w:val="212121"/>
          <w:lang w:val="en-US" w:eastAsia="en-GB"/>
        </w:rPr>
        <w:t xml:space="preserve"> &amp; </w:t>
      </w:r>
      <w:proofErr w:type="spellStart"/>
      <w:r w:rsidRPr="26F64964">
        <w:rPr>
          <w:rFonts w:asciiTheme="minorHAnsi" w:eastAsia="Times New Roman" w:hAnsiTheme="minorHAnsi" w:cstheme="minorBidi"/>
          <w:color w:val="212121"/>
          <w:lang w:val="en-US" w:eastAsia="en-GB"/>
        </w:rPr>
        <w:t>Fielt</w:t>
      </w:r>
      <w:proofErr w:type="spellEnd"/>
      <w:r w:rsidRPr="26F64964">
        <w:rPr>
          <w:rFonts w:asciiTheme="minorHAnsi" w:eastAsia="Times New Roman" w:hAnsiTheme="minorHAnsi" w:cstheme="minorBidi"/>
          <w:color w:val="212121"/>
          <w:lang w:val="en-US" w:eastAsia="en-GB"/>
        </w:rPr>
        <w:t xml:space="preserve">, 2011; Dutta &amp; Mia, 2010; Tate, </w:t>
      </w:r>
      <w:proofErr w:type="spellStart"/>
      <w:r w:rsidRPr="26F64964">
        <w:rPr>
          <w:rFonts w:asciiTheme="minorHAnsi" w:eastAsia="Times New Roman" w:hAnsiTheme="minorHAnsi" w:cstheme="minorBidi"/>
          <w:color w:val="212121"/>
          <w:lang w:val="en-US" w:eastAsia="en-GB"/>
        </w:rPr>
        <w:t>Furtmueller</w:t>
      </w:r>
      <w:proofErr w:type="spellEnd"/>
      <w:r w:rsidRPr="26F64964">
        <w:rPr>
          <w:rFonts w:asciiTheme="minorHAnsi" w:eastAsia="Times New Roman" w:hAnsiTheme="minorHAnsi" w:cstheme="minorBidi"/>
          <w:color w:val="212121"/>
          <w:lang w:val="en-US" w:eastAsia="en-GB"/>
        </w:rPr>
        <w:t xml:space="preserve">, </w:t>
      </w:r>
      <w:proofErr w:type="spellStart"/>
      <w:r w:rsidRPr="26F64964">
        <w:rPr>
          <w:rFonts w:asciiTheme="minorHAnsi" w:eastAsia="Times New Roman" w:hAnsiTheme="minorHAnsi" w:cstheme="minorBidi"/>
          <w:color w:val="212121"/>
          <w:lang w:val="en-US" w:eastAsia="en-GB"/>
        </w:rPr>
        <w:t>Evermann</w:t>
      </w:r>
      <w:proofErr w:type="spellEnd"/>
      <w:r w:rsidRPr="26F64964">
        <w:rPr>
          <w:rFonts w:asciiTheme="minorHAnsi" w:eastAsia="Times New Roman" w:hAnsiTheme="minorHAnsi" w:cstheme="minorBidi"/>
          <w:color w:val="212121"/>
          <w:lang w:val="en-US" w:eastAsia="en-GB"/>
        </w:rPr>
        <w:t xml:space="preserve"> &amp; Bandara, 2015). Currently literature reviews fall into four different categories </w:t>
      </w:r>
      <w:r w:rsidRPr="26F64964">
        <w:rPr>
          <w:rFonts w:asciiTheme="minorHAnsi" w:eastAsia="Times New Roman" w:hAnsiTheme="minorHAnsi" w:cstheme="minorBidi"/>
          <w:lang w:val="en-US" w:eastAsia="en-GB"/>
        </w:rPr>
        <w:t xml:space="preserve">(Paré, Tate, Johnstone &amp; </w:t>
      </w:r>
      <w:proofErr w:type="spellStart"/>
      <w:r w:rsidRPr="26F64964">
        <w:rPr>
          <w:rFonts w:asciiTheme="minorHAnsi" w:eastAsia="Times New Roman" w:hAnsiTheme="minorHAnsi" w:cstheme="minorBidi"/>
          <w:lang w:val="en-US" w:eastAsia="en-GB"/>
        </w:rPr>
        <w:t>Kitsiou</w:t>
      </w:r>
      <w:proofErr w:type="spellEnd"/>
      <w:r w:rsidRPr="26F64964">
        <w:rPr>
          <w:rFonts w:asciiTheme="minorHAnsi" w:eastAsia="Times New Roman" w:hAnsiTheme="minorHAnsi" w:cstheme="minorBidi"/>
          <w:lang w:val="en-US" w:eastAsia="en-GB"/>
        </w:rPr>
        <w:t xml:space="preserve">, 2016). </w:t>
      </w:r>
      <w:r w:rsidRPr="26F64964">
        <w:rPr>
          <w:rFonts w:asciiTheme="minorHAnsi" w:eastAsia="Times New Roman" w:hAnsiTheme="minorHAnsi" w:cstheme="minorBidi"/>
          <w:color w:val="212121"/>
          <w:lang w:val="en-US" w:eastAsia="en-GB"/>
        </w:rPr>
        <w:t xml:space="preserve">The first category consists </w:t>
      </w:r>
      <w:r w:rsidRPr="26F64964">
        <w:rPr>
          <w:rFonts w:asciiTheme="minorHAnsi" w:eastAsia="Times New Roman" w:hAnsiTheme="minorHAnsi" w:cstheme="minorBidi"/>
          <w:color w:val="212121"/>
          <w:highlight w:val="white"/>
          <w:lang w:val="en-US" w:eastAsia="en-GB"/>
        </w:rPr>
        <w:t xml:space="preserve">of reviews that </w:t>
      </w:r>
      <w:r w:rsidRPr="00C02BD9">
        <w:rPr>
          <w:rFonts w:asciiTheme="minorHAnsi" w:eastAsia="Times New Roman" w:hAnsiTheme="minorHAnsi" w:cstheme="minorBidi"/>
          <w:color w:val="212121"/>
          <w:lang w:val="en-US" w:eastAsia="en-GB"/>
        </w:rPr>
        <w:t xml:space="preserve">aim to </w:t>
      </w:r>
      <w:r w:rsidR="00AA495E" w:rsidRPr="00C02BD9">
        <w:rPr>
          <w:rFonts w:asciiTheme="minorHAnsi" w:eastAsia="Times New Roman" w:hAnsiTheme="minorHAnsi" w:cstheme="minorBidi"/>
          <w:color w:val="212121"/>
          <w:lang w:val="en-US" w:eastAsia="en-GB"/>
        </w:rPr>
        <w:t>define</w:t>
      </w:r>
      <w:r w:rsidRPr="00C02BD9">
        <w:rPr>
          <w:rFonts w:asciiTheme="minorHAnsi" w:eastAsia="Times New Roman" w:hAnsiTheme="minorHAnsi" w:cstheme="minorBidi"/>
          <w:color w:val="212121"/>
          <w:lang w:val="en-US" w:eastAsia="en-GB"/>
        </w:rPr>
        <w:t xml:space="preserve"> a phenomenon </w:t>
      </w:r>
      <w:r w:rsidR="00C02BD9" w:rsidRPr="00C02BD9">
        <w:rPr>
          <w:rFonts w:asciiTheme="minorHAnsi" w:eastAsia="Times New Roman" w:hAnsiTheme="minorHAnsi" w:cstheme="minorBidi"/>
          <w:color w:val="212121"/>
          <w:lang w:val="en-US" w:eastAsia="en-GB"/>
        </w:rPr>
        <w:t xml:space="preserve">that makes minimal or no contribution to existing theory </w:t>
      </w:r>
      <w:r w:rsidRPr="00C02BD9">
        <w:rPr>
          <w:rFonts w:asciiTheme="minorHAnsi" w:eastAsia="Times New Roman" w:hAnsiTheme="minorHAnsi" w:cstheme="minorBidi"/>
          <w:color w:val="212121"/>
          <w:lang w:val="en-US" w:eastAsia="en-GB"/>
        </w:rPr>
        <w:t xml:space="preserve">(Rowe, 2014). </w:t>
      </w:r>
      <w:r w:rsidRPr="00061C3A">
        <w:rPr>
          <w:rFonts w:asciiTheme="minorHAnsi" w:eastAsia="Times New Roman" w:hAnsiTheme="minorHAnsi" w:cstheme="minorBidi"/>
          <w:color w:val="212121"/>
          <w:lang w:val="en-US" w:eastAsia="en-GB"/>
        </w:rPr>
        <w:t>These reviews condense the literature on a phenomenon and provide an overview of the current state of knowledge on the chosen phenomenon (Rowe, 2014).</w:t>
      </w:r>
      <w:r w:rsidRPr="26F64964">
        <w:rPr>
          <w:rFonts w:asciiTheme="minorHAnsi" w:eastAsia="Times New Roman" w:hAnsiTheme="minorHAnsi" w:cstheme="minorBidi"/>
          <w:color w:val="212121"/>
          <w:lang w:val="en-US" w:eastAsia="en-GB"/>
        </w:rPr>
        <w:t xml:space="preserve"> Within this category, </w:t>
      </w:r>
      <w:r w:rsidRPr="26F64964">
        <w:rPr>
          <w:rFonts w:asciiTheme="minorHAnsi" w:eastAsia="Times New Roman" w:hAnsiTheme="minorHAnsi" w:cstheme="minorBidi"/>
          <w:color w:val="212121"/>
          <w:highlight w:val="white"/>
          <w:lang w:val="en-US" w:eastAsia="en-GB"/>
        </w:rPr>
        <w:t>three types of reviews</w:t>
      </w:r>
      <w:r w:rsidRPr="26F64964">
        <w:rPr>
          <w:rFonts w:asciiTheme="minorHAnsi" w:eastAsia="Times New Roman" w:hAnsiTheme="minorHAnsi" w:cstheme="minorBidi"/>
          <w:color w:val="212121"/>
          <w:lang w:val="en-US" w:eastAsia="en-GB"/>
        </w:rPr>
        <w:t xml:space="preserve"> exist</w:t>
      </w:r>
      <w:r w:rsidR="006C2B49" w:rsidRPr="26F64964">
        <w:rPr>
          <w:rFonts w:asciiTheme="minorHAnsi" w:eastAsia="Times New Roman" w:hAnsiTheme="minorHAnsi" w:cstheme="minorBidi"/>
          <w:color w:val="212121"/>
          <w:lang w:val="en-US" w:eastAsia="en-GB"/>
        </w:rPr>
        <w:t>,</w:t>
      </w:r>
      <w:r w:rsidRPr="26F64964">
        <w:rPr>
          <w:rFonts w:asciiTheme="minorHAnsi" w:eastAsia="Times New Roman" w:hAnsiTheme="minorHAnsi" w:cstheme="minorBidi"/>
          <w:color w:val="212121"/>
          <w:lang w:val="en-US" w:eastAsia="en-GB"/>
        </w:rPr>
        <w:t xml:space="preserve"> including scoping, </w:t>
      </w:r>
      <w:r w:rsidRPr="26F64964">
        <w:rPr>
          <w:rFonts w:asciiTheme="minorHAnsi" w:eastAsia="Times New Roman" w:hAnsiTheme="minorHAnsi" w:cstheme="minorBidi"/>
          <w:color w:val="212121"/>
          <w:highlight w:val="white"/>
          <w:lang w:val="en-US" w:eastAsia="en-GB"/>
        </w:rPr>
        <w:t>descriptive and</w:t>
      </w:r>
      <w:r w:rsidRPr="26F64964">
        <w:rPr>
          <w:rFonts w:asciiTheme="minorHAnsi" w:eastAsia="Times New Roman" w:hAnsiTheme="minorHAnsi" w:cstheme="minorBidi"/>
          <w:color w:val="212121"/>
          <w:lang w:val="en-US" w:eastAsia="en-GB"/>
        </w:rPr>
        <w:t xml:space="preserve"> narrative </w:t>
      </w:r>
      <w:r w:rsidRPr="26F64964">
        <w:rPr>
          <w:rFonts w:asciiTheme="minorHAnsi" w:eastAsia="Times New Roman" w:hAnsiTheme="minorHAnsi" w:cstheme="minorBidi"/>
          <w:color w:val="212121"/>
          <w:highlight w:val="white"/>
          <w:lang w:val="en-US" w:eastAsia="en-GB"/>
        </w:rPr>
        <w:t>reviews (Paré, et al</w:t>
      </w:r>
      <w:r w:rsidRPr="26F64964">
        <w:rPr>
          <w:rFonts w:asciiTheme="minorHAnsi" w:eastAsia="Times New Roman" w:hAnsiTheme="minorHAnsi" w:cstheme="minorBidi"/>
          <w:color w:val="212121"/>
          <w:lang w:val="en-US" w:eastAsia="en-GB"/>
        </w:rPr>
        <w:t xml:space="preserve">., 2016). Although there are differences in how the data is </w:t>
      </w:r>
      <w:r w:rsidR="006C2B49" w:rsidRPr="26F64964">
        <w:rPr>
          <w:rFonts w:asciiTheme="minorHAnsi" w:eastAsia="Times New Roman" w:hAnsiTheme="minorHAnsi" w:cstheme="minorBidi"/>
          <w:color w:val="212121"/>
          <w:lang w:val="en-GB" w:eastAsia="en-GB"/>
        </w:rPr>
        <w:t xml:space="preserve">synthesized </w:t>
      </w:r>
      <w:r w:rsidRPr="26F64964">
        <w:rPr>
          <w:rFonts w:asciiTheme="minorHAnsi" w:eastAsia="Times New Roman" w:hAnsiTheme="minorHAnsi" w:cstheme="minorBidi"/>
          <w:color w:val="212121"/>
          <w:lang w:val="en-US" w:eastAsia="en-GB"/>
        </w:rPr>
        <w:t xml:space="preserve">and how it is covered, typically these types of reviews often have neutral voices and cover broad research questions (Paré et al., 2016; </w:t>
      </w:r>
      <w:r w:rsidRPr="26F64964">
        <w:rPr>
          <w:rFonts w:asciiTheme="minorHAnsi" w:eastAsia="Times New Roman" w:hAnsiTheme="minorHAnsi" w:cstheme="minorBidi"/>
          <w:color w:val="212121"/>
          <w:highlight w:val="white"/>
          <w:lang w:val="en-US" w:eastAsia="en-GB"/>
        </w:rPr>
        <w:t xml:space="preserve">Paré, </w:t>
      </w:r>
      <w:proofErr w:type="spellStart"/>
      <w:r w:rsidRPr="26F64964">
        <w:rPr>
          <w:rFonts w:asciiTheme="minorHAnsi" w:eastAsia="Times New Roman" w:hAnsiTheme="minorHAnsi" w:cstheme="minorBidi"/>
          <w:color w:val="212121"/>
          <w:highlight w:val="white"/>
          <w:lang w:val="en-US" w:eastAsia="en-GB"/>
        </w:rPr>
        <w:t>Trudel</w:t>
      </w:r>
      <w:proofErr w:type="spellEnd"/>
      <w:r w:rsidRPr="26F64964">
        <w:rPr>
          <w:rFonts w:asciiTheme="minorHAnsi" w:eastAsia="Times New Roman" w:hAnsiTheme="minorHAnsi" w:cstheme="minorBidi"/>
          <w:color w:val="212121"/>
          <w:highlight w:val="white"/>
          <w:lang w:val="en-US" w:eastAsia="en-GB"/>
        </w:rPr>
        <w:t xml:space="preserve">, </w:t>
      </w:r>
      <w:proofErr w:type="spellStart"/>
      <w:r w:rsidRPr="26F64964">
        <w:rPr>
          <w:rFonts w:asciiTheme="minorHAnsi" w:eastAsia="Times New Roman" w:hAnsiTheme="minorHAnsi" w:cstheme="minorBidi"/>
          <w:color w:val="212121"/>
          <w:highlight w:val="white"/>
          <w:lang w:val="en-US" w:eastAsia="en-GB"/>
        </w:rPr>
        <w:t>Jaana</w:t>
      </w:r>
      <w:proofErr w:type="spellEnd"/>
      <w:r w:rsidRPr="26F64964">
        <w:rPr>
          <w:rFonts w:asciiTheme="minorHAnsi" w:eastAsia="Times New Roman" w:hAnsiTheme="minorHAnsi" w:cstheme="minorBidi"/>
          <w:color w:val="212121"/>
          <w:highlight w:val="white"/>
          <w:lang w:val="en-US" w:eastAsia="en-GB"/>
        </w:rPr>
        <w:t xml:space="preserve"> &amp; </w:t>
      </w:r>
      <w:proofErr w:type="spellStart"/>
      <w:r w:rsidRPr="26F64964">
        <w:rPr>
          <w:rFonts w:asciiTheme="minorHAnsi" w:eastAsia="Times New Roman" w:hAnsiTheme="minorHAnsi" w:cstheme="minorBidi"/>
          <w:color w:val="212121"/>
          <w:highlight w:val="white"/>
          <w:lang w:val="en-US" w:eastAsia="en-GB"/>
        </w:rPr>
        <w:t>Kitsiou</w:t>
      </w:r>
      <w:proofErr w:type="spellEnd"/>
      <w:r w:rsidRPr="26F64964">
        <w:rPr>
          <w:rFonts w:asciiTheme="minorHAnsi" w:eastAsia="Times New Roman" w:hAnsiTheme="minorHAnsi" w:cstheme="minorBidi"/>
          <w:color w:val="212121"/>
          <w:highlight w:val="white"/>
          <w:lang w:val="en-US" w:eastAsia="en-GB"/>
        </w:rPr>
        <w:t>, 2015).</w:t>
      </w:r>
      <w:r w:rsidRPr="26F64964">
        <w:rPr>
          <w:rFonts w:asciiTheme="minorHAnsi" w:eastAsia="Times New Roman" w:hAnsiTheme="minorHAnsi" w:cstheme="minorBidi"/>
          <w:color w:val="212121"/>
          <w:lang w:val="en-US" w:eastAsia="en-GB"/>
        </w:rPr>
        <w:t xml:space="preserve"> </w:t>
      </w:r>
    </w:p>
    <w:p w14:paraId="02BC4879" w14:textId="5D24343C" w:rsidR="00F63F23" w:rsidRPr="00F656D2" w:rsidRDefault="00F63F23" w:rsidP="26F64964">
      <w:pPr>
        <w:spacing w:line="360" w:lineRule="auto"/>
        <w:jc w:val="both"/>
        <w:rPr>
          <w:rFonts w:asciiTheme="minorHAnsi" w:eastAsia="Times New Roman" w:hAnsiTheme="minorHAnsi" w:cstheme="minorBidi"/>
          <w:color w:val="212121"/>
          <w:lang w:val="en-US" w:eastAsia="en-GB"/>
        </w:rPr>
      </w:pPr>
      <w:r w:rsidRPr="26F64964">
        <w:rPr>
          <w:rFonts w:asciiTheme="minorHAnsi" w:eastAsia="Times New Roman" w:hAnsiTheme="minorHAnsi" w:cstheme="minorBidi"/>
          <w:color w:val="212121"/>
          <w:lang w:val="en-US" w:eastAsia="en-GB"/>
        </w:rPr>
        <w:t xml:space="preserve">The second category of literature reviews refers to reviews that aim to understand a specific </w:t>
      </w:r>
      <w:r w:rsidRPr="26F64964">
        <w:rPr>
          <w:rFonts w:asciiTheme="minorHAnsi" w:eastAsia="Times New Roman" w:hAnsiTheme="minorHAnsi" w:cstheme="minorBidi"/>
          <w:color w:val="212121"/>
          <w:highlight w:val="white"/>
          <w:lang w:val="en-US" w:eastAsia="en-GB"/>
        </w:rPr>
        <w:t xml:space="preserve">phenomenon or problem </w:t>
      </w:r>
      <w:proofErr w:type="gramStart"/>
      <w:r w:rsidRPr="26F64964">
        <w:rPr>
          <w:rFonts w:asciiTheme="minorHAnsi" w:eastAsia="Times New Roman" w:hAnsiTheme="minorHAnsi" w:cstheme="minorBidi"/>
          <w:color w:val="212121"/>
          <w:highlight w:val="white"/>
          <w:lang w:val="en-US" w:eastAsia="en-GB"/>
        </w:rPr>
        <w:t>through</w:t>
      </w:r>
      <w:r w:rsidRPr="26F64964">
        <w:rPr>
          <w:rFonts w:asciiTheme="minorHAnsi" w:eastAsia="Times New Roman" w:hAnsiTheme="minorHAnsi" w:cstheme="minorBidi"/>
          <w:color w:val="212121"/>
          <w:lang w:val="en-US" w:eastAsia="en-GB"/>
        </w:rPr>
        <w:t xml:space="preserve"> the use of</w:t>
      </w:r>
      <w:proofErr w:type="gramEnd"/>
      <w:r w:rsidRPr="26F64964">
        <w:rPr>
          <w:rFonts w:asciiTheme="minorHAnsi" w:eastAsia="Times New Roman" w:hAnsiTheme="minorHAnsi" w:cstheme="minorBidi"/>
          <w:color w:val="212121"/>
          <w:lang w:val="en-US" w:eastAsia="en-GB"/>
        </w:rPr>
        <w:t xml:space="preserve"> </w:t>
      </w:r>
      <w:r w:rsidRPr="26F64964">
        <w:rPr>
          <w:rFonts w:asciiTheme="minorHAnsi" w:eastAsia="Times New Roman" w:hAnsiTheme="minorHAnsi" w:cstheme="minorBidi"/>
          <w:color w:val="212121"/>
          <w:highlight w:val="white"/>
          <w:lang w:val="en-US" w:eastAsia="en-GB"/>
        </w:rPr>
        <w:t>concepts that have been</w:t>
      </w:r>
      <w:r w:rsidRPr="26F64964">
        <w:rPr>
          <w:rFonts w:asciiTheme="minorHAnsi" w:eastAsia="Times New Roman" w:hAnsiTheme="minorHAnsi" w:cstheme="minorBidi"/>
          <w:color w:val="212121"/>
          <w:lang w:val="en-US" w:eastAsia="en-GB"/>
        </w:rPr>
        <w:t xml:space="preserve"> identified in prior studies (Paré et al., 2016). Reviews within this category tend to look at the history of research traditions, how they have changed over time and how they shape research questions and their methodologies (Paré et al., 2015). With the aim of building understanding, reviews within this category may also choose to identify similarities and differences using different literature reviews, such as critical and conceptual reviews (Paré et al., 2015). </w:t>
      </w:r>
    </w:p>
    <w:p w14:paraId="0C350468" w14:textId="6E2B66E0" w:rsidR="00F63F23" w:rsidRPr="00F656D2" w:rsidRDefault="00F63F23" w:rsidP="26F64964">
      <w:pPr>
        <w:spacing w:line="360" w:lineRule="auto"/>
        <w:jc w:val="both"/>
        <w:rPr>
          <w:rFonts w:asciiTheme="minorHAnsi" w:eastAsia="Times New Roman" w:hAnsiTheme="minorHAnsi" w:cstheme="minorBidi"/>
          <w:color w:val="212121"/>
          <w:lang w:val="en-US" w:eastAsia="en-GB"/>
        </w:rPr>
      </w:pPr>
      <w:r w:rsidRPr="26F64964">
        <w:rPr>
          <w:rFonts w:asciiTheme="minorHAnsi" w:eastAsia="Times New Roman" w:hAnsiTheme="minorHAnsi" w:cstheme="minorBidi"/>
          <w:color w:val="212121"/>
          <w:lang w:val="en-US" w:eastAsia="en-GB"/>
        </w:rPr>
        <w:t xml:space="preserve">The third category consists of reviews that aim to test theories by amassing previous empirical findings (Paré et al., 2016). Reviews that fall within this category may use aggregative synthesis, which consists of collecting relevant knowledge to a given topic and identifying relationships between the research question and the collected data (Ward &amp; Reed, 1983). A popular example of an aggregative review is a systematic review. The systematic review looks at using </w:t>
      </w:r>
      <w:r w:rsidRPr="26F64964">
        <w:rPr>
          <w:rFonts w:asciiTheme="minorHAnsi" w:eastAsia="Times New Roman" w:hAnsiTheme="minorHAnsi" w:cstheme="minorBidi"/>
          <w:color w:val="212121"/>
          <w:highlight w:val="white"/>
          <w:lang w:val="en-US" w:eastAsia="en-GB"/>
        </w:rPr>
        <w:t xml:space="preserve">narrative methods for </w:t>
      </w:r>
      <w:r w:rsidR="006C2B49" w:rsidRPr="26F64964">
        <w:rPr>
          <w:rFonts w:asciiTheme="minorHAnsi" w:eastAsia="Times New Roman" w:hAnsiTheme="minorHAnsi" w:cstheme="minorBidi"/>
          <w:color w:val="212121"/>
          <w:highlight w:val="white"/>
          <w:lang w:val="en-US" w:eastAsia="en-GB"/>
        </w:rPr>
        <w:t>the</w:t>
      </w:r>
      <w:r w:rsidR="006C2B49" w:rsidRPr="26F64964">
        <w:rPr>
          <w:rFonts w:asciiTheme="minorHAnsi" w:eastAsia="Times New Roman" w:hAnsiTheme="minorHAnsi" w:cstheme="minorBidi"/>
          <w:color w:val="212121"/>
          <w:lang w:val="en-US" w:eastAsia="en-GB"/>
        </w:rPr>
        <w:t xml:space="preserve"> </w:t>
      </w:r>
      <w:r w:rsidRPr="26F64964">
        <w:rPr>
          <w:rFonts w:asciiTheme="minorHAnsi" w:eastAsia="Times New Roman" w:hAnsiTheme="minorHAnsi" w:cstheme="minorBidi"/>
          <w:color w:val="212121"/>
          <w:lang w:val="en-US" w:eastAsia="en-GB"/>
        </w:rPr>
        <w:t xml:space="preserve">synthesis and analysis </w:t>
      </w:r>
      <w:r w:rsidRPr="26F64964">
        <w:rPr>
          <w:rFonts w:asciiTheme="minorHAnsi" w:eastAsia="Times New Roman" w:hAnsiTheme="minorHAnsi" w:cstheme="minorBidi"/>
          <w:color w:val="212121"/>
          <w:highlight w:val="white"/>
          <w:lang w:val="en-US" w:eastAsia="en-GB"/>
        </w:rPr>
        <w:t>of study results</w:t>
      </w:r>
      <w:r w:rsidRPr="26F64964">
        <w:rPr>
          <w:rFonts w:asciiTheme="minorHAnsi" w:eastAsia="Times New Roman" w:hAnsiTheme="minorHAnsi" w:cstheme="minorBidi"/>
          <w:color w:val="212121"/>
          <w:lang w:val="en-US" w:eastAsia="en-GB"/>
        </w:rPr>
        <w:t xml:space="preserve">, meta-analytic methods, and vote-counting techniques (Paré et al., 2016). Narrative methods include thematic analysis, frameworks, clusters, groupings, and tabulations, among others (Paré et al., 2016). Meta-analytic methods consist of effect sizes and </w:t>
      </w:r>
      <w:r w:rsidRPr="26F64964">
        <w:rPr>
          <w:rFonts w:asciiTheme="minorHAnsi" w:eastAsia="Times New Roman" w:hAnsiTheme="minorHAnsi" w:cstheme="minorBidi"/>
          <w:color w:val="212121"/>
          <w:highlight w:val="white"/>
          <w:lang w:val="en-US" w:eastAsia="en-GB"/>
        </w:rPr>
        <w:t>statistical methods to combine</w:t>
      </w:r>
      <w:r w:rsidRPr="26F64964">
        <w:rPr>
          <w:rFonts w:asciiTheme="minorHAnsi" w:eastAsia="Times New Roman" w:hAnsiTheme="minorHAnsi" w:cstheme="minorBidi"/>
          <w:color w:val="212121"/>
          <w:lang w:val="en-US" w:eastAsia="en-GB"/>
        </w:rPr>
        <w:t xml:space="preserve"> and condense the results of </w:t>
      </w:r>
      <w:r w:rsidRPr="26F64964">
        <w:rPr>
          <w:rFonts w:asciiTheme="minorHAnsi" w:eastAsia="Times New Roman" w:hAnsiTheme="minorHAnsi" w:cstheme="minorBidi"/>
          <w:color w:val="212121"/>
          <w:highlight w:val="white"/>
          <w:lang w:val="en-US" w:eastAsia="en-GB"/>
        </w:rPr>
        <w:t>independent studies</w:t>
      </w:r>
      <w:r w:rsidRPr="26F64964">
        <w:rPr>
          <w:rFonts w:asciiTheme="minorHAnsi" w:eastAsia="Times New Roman" w:hAnsiTheme="minorHAnsi" w:cstheme="minorBidi"/>
          <w:color w:val="212121"/>
          <w:lang w:val="en-US" w:eastAsia="en-GB"/>
        </w:rPr>
        <w:t xml:space="preserve"> (Paré et al., 2016). Vote-counting techniques look at the total number of relevant studies that support a hypothesis or theory and compare it with the </w:t>
      </w:r>
      <w:r w:rsidRPr="26F64964">
        <w:rPr>
          <w:rFonts w:asciiTheme="minorHAnsi" w:eastAsia="Times New Roman" w:hAnsiTheme="minorHAnsi" w:cstheme="minorBidi"/>
          <w:color w:val="212121"/>
          <w:highlight w:val="white"/>
          <w:lang w:val="en-US" w:eastAsia="en-GB"/>
        </w:rPr>
        <w:t>number of studies that found</w:t>
      </w:r>
      <w:r w:rsidRPr="26F64964">
        <w:rPr>
          <w:rFonts w:asciiTheme="minorHAnsi" w:eastAsia="Times New Roman" w:hAnsiTheme="minorHAnsi" w:cstheme="minorBidi"/>
          <w:color w:val="212121"/>
          <w:lang w:val="en-US" w:eastAsia="en-GB"/>
        </w:rPr>
        <w:t xml:space="preserve"> irrelevant results (Paré et al., 2016). Further examples of </w:t>
      </w:r>
      <w:r w:rsidRPr="26F64964">
        <w:rPr>
          <w:rFonts w:asciiTheme="minorHAnsi" w:eastAsia="Times New Roman" w:hAnsiTheme="minorHAnsi" w:cstheme="minorBidi"/>
          <w:color w:val="212121"/>
          <w:highlight w:val="white"/>
          <w:lang w:val="en-US" w:eastAsia="en-GB"/>
        </w:rPr>
        <w:t>aggregative reviews include</w:t>
      </w:r>
      <w:r w:rsidRPr="26F64964">
        <w:rPr>
          <w:rFonts w:asciiTheme="minorHAnsi" w:eastAsia="Times New Roman" w:hAnsiTheme="minorHAnsi" w:cstheme="minorBidi"/>
          <w:color w:val="212121"/>
          <w:lang w:val="en-US" w:eastAsia="en-GB"/>
        </w:rPr>
        <w:t xml:space="preserve"> umbrella reviews and systematic reviews </w:t>
      </w:r>
      <w:r w:rsidRPr="26F64964">
        <w:rPr>
          <w:rFonts w:asciiTheme="minorHAnsi" w:eastAsia="Times New Roman" w:hAnsiTheme="minorHAnsi" w:cstheme="minorBidi"/>
          <w:color w:val="212121"/>
          <w:highlight w:val="white"/>
          <w:lang w:val="en-US" w:eastAsia="en-GB"/>
        </w:rPr>
        <w:t>of qualitative</w:t>
      </w:r>
      <w:r w:rsidRPr="26F64964">
        <w:rPr>
          <w:rFonts w:asciiTheme="minorHAnsi" w:eastAsia="Times New Roman" w:hAnsiTheme="minorHAnsi" w:cstheme="minorBidi"/>
          <w:color w:val="212121"/>
          <w:lang w:val="en-US" w:eastAsia="en-GB"/>
        </w:rPr>
        <w:t xml:space="preserve"> research (Paré et al., 2016). </w:t>
      </w:r>
    </w:p>
    <w:p w14:paraId="68F6B0F8" w14:textId="77777777" w:rsidR="00F63F23" w:rsidRPr="00F656D2" w:rsidRDefault="00F63F23" w:rsidP="00F63F23">
      <w:pPr>
        <w:spacing w:line="360" w:lineRule="auto"/>
        <w:jc w:val="both"/>
        <w:rPr>
          <w:rFonts w:asciiTheme="minorHAnsi" w:eastAsia="Times New Roman" w:hAnsiTheme="minorHAnsi" w:cstheme="minorHAnsi"/>
          <w:color w:val="212121"/>
          <w:lang w:val="en-US" w:eastAsia="en-GB"/>
        </w:rPr>
      </w:pPr>
      <w:r w:rsidRPr="00F656D2">
        <w:rPr>
          <w:rFonts w:asciiTheme="minorHAnsi" w:eastAsia="Times New Roman" w:hAnsiTheme="minorHAnsi" w:cstheme="minorHAnsi"/>
          <w:color w:val="212121"/>
          <w:lang w:val="en-US" w:eastAsia="en-GB"/>
        </w:rPr>
        <w:lastRenderedPageBreak/>
        <w:t xml:space="preserve">The fourth genre consists of reviews that aim to explain, such as explanatory reviews. Explanatory reviews combine different work streams, synthesis approaches and methodologies (Paré et al., 2016). Within this genre, synthesis looks at the collection of primary evidence to build an explanation instead of prediction (Paré et al., 2016). These reviews often take unrelated findings and use abductive reasoning to create relationships between the findings, which can then be tested (Paré et al., 2016). </w:t>
      </w:r>
    </w:p>
    <w:p w14:paraId="5AF00ADA" w14:textId="793B85E4" w:rsidR="00F63F23" w:rsidRPr="00F656D2" w:rsidRDefault="00F63F23" w:rsidP="26F64964">
      <w:pPr>
        <w:spacing w:line="360" w:lineRule="auto"/>
        <w:jc w:val="both"/>
        <w:rPr>
          <w:rFonts w:asciiTheme="minorHAnsi" w:eastAsia="Times New Roman" w:hAnsiTheme="minorHAnsi" w:cstheme="minorBidi"/>
          <w:color w:val="212121"/>
          <w:lang w:val="en-US" w:eastAsia="en-GB"/>
        </w:rPr>
      </w:pPr>
      <w:r w:rsidRPr="26F64964">
        <w:rPr>
          <w:rFonts w:asciiTheme="minorHAnsi" w:eastAsia="Times New Roman" w:hAnsiTheme="minorHAnsi" w:cstheme="minorBidi"/>
          <w:color w:val="212121"/>
          <w:lang w:val="en-US" w:eastAsia="en-GB"/>
        </w:rPr>
        <w:t xml:space="preserve">For the purpose of </w:t>
      </w:r>
      <w:r w:rsidRPr="26F64964">
        <w:rPr>
          <w:rFonts w:asciiTheme="minorHAnsi" w:eastAsia="Times New Roman" w:hAnsiTheme="minorHAnsi" w:cstheme="minorBidi"/>
          <w:color w:val="212121"/>
          <w:highlight w:val="white"/>
          <w:lang w:val="en-US" w:eastAsia="en-GB"/>
        </w:rPr>
        <w:t>this study, a 'systematic literature review' will be</w:t>
      </w:r>
      <w:r w:rsidRPr="26F64964">
        <w:rPr>
          <w:rFonts w:asciiTheme="minorHAnsi" w:eastAsia="Times New Roman" w:hAnsiTheme="minorHAnsi" w:cstheme="minorBidi"/>
          <w:color w:val="212121"/>
          <w:lang w:val="en-US" w:eastAsia="en-GB"/>
        </w:rPr>
        <w:t xml:space="preserve"> conducted. A systematic literature review refers to the process of using a transparent </w:t>
      </w:r>
      <w:r w:rsidRPr="26F64964">
        <w:rPr>
          <w:rFonts w:asciiTheme="minorHAnsi" w:eastAsia="Times New Roman" w:hAnsiTheme="minorHAnsi" w:cstheme="minorBidi"/>
          <w:color w:val="212121"/>
          <w:highlight w:val="white"/>
          <w:lang w:val="en-US" w:eastAsia="en-GB"/>
        </w:rPr>
        <w:t>and structured</w:t>
      </w:r>
      <w:r w:rsidRPr="26F64964">
        <w:rPr>
          <w:rFonts w:asciiTheme="minorHAnsi" w:eastAsia="Times New Roman" w:hAnsiTheme="minorHAnsi" w:cstheme="minorBidi"/>
          <w:color w:val="212121"/>
          <w:lang w:val="en-US" w:eastAsia="en-GB"/>
        </w:rPr>
        <w:t xml:space="preserve"> approach to synthesize research to identify and evaluate relevant research on a phenomenon (Paré </w:t>
      </w:r>
      <w:r w:rsidRPr="26F64964">
        <w:rPr>
          <w:rFonts w:asciiTheme="minorHAnsi" w:eastAsia="Times New Roman" w:hAnsiTheme="minorHAnsi" w:cstheme="minorBidi"/>
          <w:color w:val="212121"/>
          <w:highlight w:val="white"/>
          <w:lang w:val="en-US" w:eastAsia="en-GB"/>
        </w:rPr>
        <w:t>et al., 2016). This study aims to</w:t>
      </w:r>
      <w:r w:rsidRPr="26F64964">
        <w:rPr>
          <w:rFonts w:asciiTheme="minorHAnsi" w:eastAsia="Times New Roman" w:hAnsiTheme="minorHAnsi" w:cstheme="minorBidi"/>
          <w:color w:val="212121"/>
          <w:lang w:val="en-US" w:eastAsia="en-GB"/>
        </w:rPr>
        <w:t xml:space="preserve"> identify the benefits and challenges of using eHealth for transplant purposes. Therefore, given the nature of the </w:t>
      </w:r>
      <w:r w:rsidRPr="26F64964">
        <w:rPr>
          <w:rFonts w:asciiTheme="minorHAnsi" w:eastAsia="Times New Roman" w:hAnsiTheme="minorHAnsi" w:cstheme="minorBidi"/>
          <w:color w:val="212121"/>
          <w:highlight w:val="white"/>
          <w:lang w:val="en-US" w:eastAsia="en-GB"/>
        </w:rPr>
        <w:t>research objective and research questions of this study</w:t>
      </w:r>
      <w:r w:rsidRPr="26F64964">
        <w:rPr>
          <w:rFonts w:asciiTheme="minorHAnsi" w:eastAsia="Times New Roman" w:hAnsiTheme="minorHAnsi" w:cstheme="minorBidi"/>
          <w:color w:val="212121"/>
          <w:lang w:val="en-US" w:eastAsia="en-GB"/>
        </w:rPr>
        <w:t xml:space="preserve">, a systematic literature review is appropriate to extend the existing knowledge base to understand the benefits and challenges of using eHealth in transplantation through using aggregative synthesis to collect information from empirical studies on this topic. </w:t>
      </w:r>
      <w:r w:rsidRPr="26F64964">
        <w:rPr>
          <w:rFonts w:asciiTheme="minorHAnsi" w:eastAsia="Times New Roman" w:hAnsiTheme="minorHAnsi" w:cstheme="minorBidi"/>
          <w:color w:val="212121"/>
          <w:highlight w:val="white"/>
          <w:lang w:val="en-US" w:eastAsia="en-GB"/>
        </w:rPr>
        <w:t>Thematic analysis will</w:t>
      </w:r>
      <w:r w:rsidRPr="26F64964">
        <w:rPr>
          <w:rFonts w:asciiTheme="minorHAnsi" w:eastAsia="Times New Roman" w:hAnsiTheme="minorHAnsi" w:cstheme="minorBidi"/>
          <w:color w:val="212121"/>
          <w:lang w:val="en-US" w:eastAsia="en-GB"/>
        </w:rPr>
        <w:t xml:space="preserve"> also be used to create and identify common themes found within the collection of data. A systematic literature review is also more appropriate as it will also reduce the likelihood of selection bias found in traditional literature approaches because of preferred studies included to back up research findings (Nightingale, 2009). </w:t>
      </w:r>
    </w:p>
    <w:p w14:paraId="45DD25E9" w14:textId="3617918B" w:rsidR="00F63F23" w:rsidRDefault="00F63F23" w:rsidP="00F63F23">
      <w:pPr>
        <w:pStyle w:val="Heading2"/>
        <w:jc w:val="left"/>
        <w:rPr>
          <w:rFonts w:eastAsia="Times New Roman"/>
          <w:lang w:eastAsia="en-GB"/>
        </w:rPr>
      </w:pPr>
      <w:bookmarkStart w:id="13" w:name="_Toc166853984"/>
      <w:r>
        <w:rPr>
          <w:rFonts w:eastAsia="Times New Roman"/>
          <w:lang w:eastAsia="en-GB"/>
        </w:rPr>
        <w:t>3.1 Systematic Literature review</w:t>
      </w:r>
      <w:bookmarkEnd w:id="13"/>
      <w:r>
        <w:rPr>
          <w:rFonts w:eastAsia="Times New Roman"/>
          <w:lang w:eastAsia="en-GB"/>
        </w:rPr>
        <w:t xml:space="preserve"> </w:t>
      </w:r>
    </w:p>
    <w:p w14:paraId="500437E1" w14:textId="0589A747" w:rsidR="00F63F23" w:rsidRPr="00F656D2" w:rsidRDefault="00F63F23" w:rsidP="26F64964">
      <w:pPr>
        <w:spacing w:line="360" w:lineRule="auto"/>
        <w:jc w:val="both"/>
        <w:rPr>
          <w:rFonts w:asciiTheme="minorHAnsi" w:eastAsia="Times New Roman" w:hAnsiTheme="minorHAnsi" w:cstheme="minorBidi"/>
          <w:color w:val="212121"/>
          <w:lang w:eastAsia="en-GB"/>
        </w:rPr>
      </w:pPr>
      <w:r w:rsidRPr="0006136E">
        <w:rPr>
          <w:rFonts w:asciiTheme="minorHAnsi" w:eastAsia="Times New Roman" w:hAnsiTheme="minorHAnsi" w:cstheme="minorBidi"/>
          <w:color w:val="212121"/>
          <w:lang w:eastAsia="en-GB"/>
        </w:rPr>
        <w:t>Th</w:t>
      </w:r>
      <w:r w:rsidR="009E490E" w:rsidRPr="0006136E">
        <w:rPr>
          <w:rFonts w:asciiTheme="minorHAnsi" w:eastAsia="Times New Roman" w:hAnsiTheme="minorHAnsi" w:cstheme="minorBidi"/>
          <w:color w:val="212121"/>
          <w:lang w:eastAsia="en-GB"/>
        </w:rPr>
        <w:t xml:space="preserve">is systematic </w:t>
      </w:r>
      <w:r w:rsidRPr="0006136E">
        <w:rPr>
          <w:rFonts w:asciiTheme="minorHAnsi" w:eastAsia="Times New Roman" w:hAnsiTheme="minorHAnsi" w:cstheme="minorBidi"/>
          <w:color w:val="212121"/>
          <w:lang w:eastAsia="en-GB"/>
        </w:rPr>
        <w:t xml:space="preserve">review </w:t>
      </w:r>
      <w:r w:rsidR="0006136E" w:rsidRPr="0006136E">
        <w:rPr>
          <w:rFonts w:asciiTheme="minorHAnsi" w:eastAsia="Times New Roman" w:hAnsiTheme="minorHAnsi" w:cstheme="minorBidi"/>
          <w:color w:val="212121"/>
          <w:lang w:eastAsia="en-GB"/>
        </w:rPr>
        <w:t>followed</w:t>
      </w:r>
      <w:r w:rsidRPr="0006136E">
        <w:rPr>
          <w:rFonts w:asciiTheme="minorHAnsi" w:eastAsia="Times New Roman" w:hAnsiTheme="minorHAnsi" w:cstheme="minorBidi"/>
          <w:color w:val="212121"/>
          <w:lang w:eastAsia="en-GB"/>
        </w:rPr>
        <w:t xml:space="preserve"> the standards of the Preferred Reporting Items for Systematic Review and Meta-Analysis (PRISMA) Statement (Moher, Liberati, Tetzlaff, Altman &amp; PRISMA Group, </w:t>
      </w:r>
      <w:r w:rsidR="004E6EE5">
        <w:rPr>
          <w:rFonts w:asciiTheme="minorHAnsi" w:eastAsia="Times New Roman" w:hAnsiTheme="minorHAnsi" w:cstheme="minorBidi"/>
          <w:color w:val="212121"/>
          <w:lang w:eastAsia="en-GB"/>
        </w:rPr>
        <w:t>2020</w:t>
      </w:r>
      <w:r w:rsidRPr="0006136E">
        <w:rPr>
          <w:rFonts w:asciiTheme="minorHAnsi" w:eastAsia="Times New Roman" w:hAnsiTheme="minorHAnsi" w:cstheme="minorBidi"/>
          <w:color w:val="212121"/>
          <w:lang w:eastAsia="en-GB"/>
        </w:rPr>
        <w:t>).</w:t>
      </w:r>
      <w:r w:rsidRPr="26F64964">
        <w:rPr>
          <w:rFonts w:asciiTheme="minorHAnsi" w:eastAsia="Times New Roman" w:hAnsiTheme="minorHAnsi" w:cstheme="minorBidi"/>
          <w:color w:val="212121"/>
          <w:lang w:eastAsia="en-GB"/>
        </w:rPr>
        <w:t xml:space="preserve"> The PRISMA guidelines help with reducing potential bias in systematic reviews (Moher et al., </w:t>
      </w:r>
      <w:r w:rsidR="004E6EE5">
        <w:rPr>
          <w:rFonts w:asciiTheme="minorHAnsi" w:eastAsia="Times New Roman" w:hAnsiTheme="minorHAnsi" w:cstheme="minorBidi"/>
          <w:color w:val="212121"/>
          <w:lang w:eastAsia="en-GB"/>
        </w:rPr>
        <w:t>2020</w:t>
      </w:r>
      <w:r w:rsidRPr="26F64964">
        <w:rPr>
          <w:rFonts w:asciiTheme="minorHAnsi" w:eastAsia="Times New Roman" w:hAnsiTheme="minorHAnsi" w:cstheme="minorBidi"/>
          <w:color w:val="212121"/>
          <w:lang w:eastAsia="en-GB"/>
        </w:rPr>
        <w:t xml:space="preserve">). The </w:t>
      </w:r>
      <w:r w:rsidRPr="26F64964">
        <w:rPr>
          <w:rFonts w:asciiTheme="minorHAnsi" w:eastAsia="Times New Roman" w:hAnsiTheme="minorHAnsi" w:cstheme="minorBidi"/>
          <w:color w:val="212121"/>
          <w:highlight w:val="white"/>
          <w:lang w:eastAsia="en-GB"/>
        </w:rPr>
        <w:t>PRISMA guidelines consist of a 27-item checklist</w:t>
      </w:r>
      <w:r w:rsidRPr="26F64964">
        <w:rPr>
          <w:rFonts w:asciiTheme="minorHAnsi" w:eastAsia="Times New Roman" w:hAnsiTheme="minorHAnsi" w:cstheme="minorBidi"/>
          <w:color w:val="212121"/>
          <w:lang w:eastAsia="en-GB"/>
        </w:rPr>
        <w:t xml:space="preserve"> for authors to include in their reviews, such as providing information on the </w:t>
      </w:r>
      <w:r w:rsidRPr="26F64964">
        <w:rPr>
          <w:rFonts w:asciiTheme="minorHAnsi" w:eastAsia="Times New Roman" w:hAnsiTheme="minorHAnsi" w:cstheme="minorBidi"/>
          <w:color w:val="212121"/>
          <w:highlight w:val="white"/>
          <w:lang w:eastAsia="en-GB"/>
        </w:rPr>
        <w:t xml:space="preserve">study design </w:t>
      </w:r>
      <w:r w:rsidRPr="26F64964">
        <w:rPr>
          <w:rFonts w:asciiTheme="minorHAnsi" w:eastAsia="Times New Roman" w:hAnsiTheme="minorHAnsi" w:cstheme="minorBidi"/>
          <w:highlight w:val="white"/>
          <w:lang w:eastAsia="en-GB"/>
        </w:rPr>
        <w:t>inclusion and exclusion</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 xml:space="preserve">criteria, </w:t>
      </w:r>
      <w:r w:rsidRPr="26F64964">
        <w:rPr>
          <w:rFonts w:asciiTheme="minorHAnsi" w:eastAsia="Times New Roman" w:hAnsiTheme="minorHAnsi" w:cstheme="minorBidi"/>
          <w:color w:val="212121"/>
          <w:highlight w:val="white"/>
          <w:lang w:eastAsia="en-GB"/>
        </w:rPr>
        <w:t>search strategy, study selection and</w:t>
      </w:r>
      <w:r w:rsidRPr="26F64964">
        <w:rPr>
          <w:rFonts w:asciiTheme="minorHAnsi" w:eastAsia="Times New Roman" w:hAnsiTheme="minorHAnsi" w:cstheme="minorBidi"/>
          <w:color w:val="212121"/>
          <w:lang w:eastAsia="en-GB"/>
        </w:rPr>
        <w:t xml:space="preserve"> quality assurance, data extraction and data synthesis (Moher et al., </w:t>
      </w:r>
      <w:r w:rsidR="004E6EE5">
        <w:rPr>
          <w:rFonts w:asciiTheme="minorHAnsi" w:eastAsia="Times New Roman" w:hAnsiTheme="minorHAnsi" w:cstheme="minorBidi"/>
          <w:color w:val="212121"/>
          <w:lang w:eastAsia="en-GB"/>
        </w:rPr>
        <w:t>2020</w:t>
      </w:r>
      <w:r w:rsidRPr="26F64964">
        <w:rPr>
          <w:rFonts w:asciiTheme="minorHAnsi" w:eastAsia="Times New Roman" w:hAnsiTheme="minorHAnsi" w:cstheme="minorBidi"/>
          <w:color w:val="212121"/>
          <w:lang w:eastAsia="en-GB"/>
        </w:rPr>
        <w:t xml:space="preserve">). </w:t>
      </w:r>
    </w:p>
    <w:p w14:paraId="60F053BC" w14:textId="5E9FE5C8" w:rsidR="00F63F23" w:rsidRPr="00F656D2" w:rsidRDefault="00F63F23" w:rsidP="26F64964">
      <w:pPr>
        <w:spacing w:line="360" w:lineRule="auto"/>
        <w:jc w:val="both"/>
        <w:rPr>
          <w:rFonts w:asciiTheme="minorHAnsi" w:eastAsia="Times New Roman" w:hAnsiTheme="minorHAnsi" w:cstheme="minorBidi"/>
          <w:color w:val="212121"/>
          <w:lang w:eastAsia="en-GB"/>
        </w:rPr>
      </w:pPr>
      <w:r w:rsidRPr="26F64964">
        <w:rPr>
          <w:rFonts w:asciiTheme="minorHAnsi" w:eastAsia="Times New Roman" w:hAnsiTheme="minorHAnsi" w:cstheme="minorBidi"/>
          <w:color w:val="212121"/>
          <w:lang w:eastAsia="en-GB"/>
        </w:rPr>
        <w:t xml:space="preserve">The PRISMA guidelines also provide </w:t>
      </w:r>
      <w:r w:rsidRPr="26F64964">
        <w:rPr>
          <w:rFonts w:asciiTheme="minorHAnsi" w:eastAsia="Times New Roman" w:hAnsiTheme="minorHAnsi" w:cstheme="minorBidi"/>
          <w:color w:val="212121"/>
          <w:highlight w:val="white"/>
          <w:lang w:eastAsia="en-GB"/>
        </w:rPr>
        <w:t>a flow diagram</w:t>
      </w:r>
      <w:r w:rsidRPr="26F64964">
        <w:rPr>
          <w:rFonts w:asciiTheme="minorHAnsi" w:eastAsia="Times New Roman" w:hAnsiTheme="minorHAnsi" w:cstheme="minorBidi"/>
          <w:color w:val="212121"/>
          <w:lang w:eastAsia="en-GB"/>
        </w:rPr>
        <w:t xml:space="preserve"> of the different stages of systematic review including </w:t>
      </w:r>
      <w:r w:rsidRPr="26F64964">
        <w:rPr>
          <w:rFonts w:asciiTheme="minorHAnsi" w:eastAsia="Times New Roman" w:hAnsiTheme="minorHAnsi" w:cstheme="minorBidi"/>
          <w:color w:val="212121"/>
          <w:highlight w:val="white"/>
          <w:lang w:eastAsia="en-GB"/>
        </w:rPr>
        <w:t>identification, screening, eligibility, and</w:t>
      </w:r>
      <w:r w:rsidRPr="26F64964">
        <w:rPr>
          <w:rFonts w:asciiTheme="minorHAnsi" w:eastAsia="Times New Roman" w:hAnsiTheme="minorHAnsi" w:cstheme="minorBidi"/>
          <w:color w:val="212121"/>
          <w:lang w:eastAsia="en-GB"/>
        </w:rPr>
        <w:t xml:space="preserve"> inclusion. The first phase of identification consists of identifying a search strategy and conducting a search to identify relevant studies. The first step of this process was using the research </w:t>
      </w:r>
      <w:r w:rsidRPr="26F64964">
        <w:rPr>
          <w:rFonts w:asciiTheme="minorHAnsi" w:eastAsia="Times New Roman" w:hAnsiTheme="minorHAnsi" w:cstheme="minorBidi"/>
          <w:lang w:eastAsia="en-GB"/>
        </w:rPr>
        <w:t xml:space="preserve">questions </w:t>
      </w:r>
      <w:r w:rsidRPr="26F64964">
        <w:rPr>
          <w:rFonts w:asciiTheme="minorHAnsi" w:eastAsia="Times New Roman" w:hAnsiTheme="minorHAnsi" w:cstheme="minorBidi"/>
          <w:color w:val="212121"/>
          <w:lang w:eastAsia="en-GB"/>
        </w:rPr>
        <w:t xml:space="preserve">to help shape and develop a search strategy </w:t>
      </w:r>
      <w:r w:rsidRPr="26F64964">
        <w:rPr>
          <w:rFonts w:asciiTheme="minorHAnsi" w:eastAsia="Times New Roman" w:hAnsiTheme="minorHAnsi" w:cstheme="minorBidi"/>
          <w:color w:val="212121"/>
          <w:highlight w:val="white"/>
          <w:lang w:eastAsia="en-GB"/>
        </w:rPr>
        <w:t>to capture all related</w:t>
      </w:r>
      <w:r w:rsidRPr="26F64964">
        <w:rPr>
          <w:rFonts w:asciiTheme="minorHAnsi" w:eastAsia="Times New Roman" w:hAnsiTheme="minorHAnsi" w:cstheme="minorBidi"/>
          <w:color w:val="212121"/>
          <w:lang w:eastAsia="en-GB"/>
        </w:rPr>
        <w:t xml:space="preserve"> </w:t>
      </w:r>
      <w:r w:rsidRPr="26F64964">
        <w:rPr>
          <w:rFonts w:asciiTheme="minorHAnsi" w:eastAsia="Times New Roman" w:hAnsiTheme="minorHAnsi" w:cstheme="minorBidi"/>
          <w:color w:val="212121"/>
          <w:highlight w:val="white"/>
          <w:lang w:eastAsia="en-GB"/>
        </w:rPr>
        <w:t>and eligible papers in the</w:t>
      </w:r>
      <w:r w:rsidRPr="26F64964">
        <w:rPr>
          <w:rFonts w:asciiTheme="minorHAnsi" w:eastAsia="Times New Roman" w:hAnsiTheme="minorHAnsi" w:cstheme="minorBidi"/>
          <w:color w:val="212121"/>
          <w:lang w:eastAsia="en-GB"/>
        </w:rPr>
        <w:t xml:space="preserve"> targeted database. In this case, the following keywords were identified: "eHealth", "digital health", "telehealth", "health informatics", "electronic health", "mHealth", “mobile </w:t>
      </w:r>
      <w:r w:rsidRPr="26F64964">
        <w:rPr>
          <w:rFonts w:asciiTheme="minorHAnsi" w:eastAsia="Times New Roman" w:hAnsiTheme="minorHAnsi" w:cstheme="minorBidi"/>
          <w:color w:val="212121"/>
          <w:highlight w:val="white"/>
          <w:lang w:eastAsia="en-GB"/>
        </w:rPr>
        <w:t xml:space="preserve">health”, </w:t>
      </w:r>
      <w:r w:rsidR="004E1FBB" w:rsidRPr="26F64964">
        <w:rPr>
          <w:rFonts w:asciiTheme="minorHAnsi" w:eastAsia="Times New Roman" w:hAnsiTheme="minorHAnsi" w:cstheme="minorBidi"/>
          <w:color w:val="212121"/>
          <w:highlight w:val="white"/>
          <w:lang w:eastAsia="en-GB"/>
        </w:rPr>
        <w:t>and</w:t>
      </w:r>
      <w:r w:rsidR="004E1FBB" w:rsidRPr="26F64964">
        <w:rPr>
          <w:rFonts w:asciiTheme="minorHAnsi" w:eastAsia="Times New Roman" w:hAnsiTheme="minorHAnsi" w:cstheme="minorBidi"/>
          <w:color w:val="212121"/>
          <w:lang w:eastAsia="en-GB"/>
        </w:rPr>
        <w:t xml:space="preserve"> </w:t>
      </w:r>
      <w:r w:rsidRPr="26F64964">
        <w:rPr>
          <w:rFonts w:asciiTheme="minorHAnsi" w:eastAsia="Times New Roman" w:hAnsiTheme="minorHAnsi" w:cstheme="minorBidi"/>
          <w:color w:val="212121"/>
          <w:lang w:eastAsia="en-GB"/>
        </w:rPr>
        <w:t xml:space="preserve">"transplant". A systematic search of the literature on eHealth in transplants was conducted through the databases of </w:t>
      </w:r>
      <w:r w:rsidRPr="26F64964">
        <w:rPr>
          <w:rFonts w:asciiTheme="minorHAnsi" w:eastAsia="Times New Roman" w:hAnsiTheme="minorHAnsi" w:cstheme="minorBidi"/>
          <w:color w:val="212121"/>
          <w:lang w:eastAsia="en-GB"/>
        </w:rPr>
        <w:lastRenderedPageBreak/>
        <w:t xml:space="preserve">Business Source Complete, PubMed, IEEE Xplore, JSTOR, </w:t>
      </w:r>
      <w:r w:rsidRPr="26F64964">
        <w:rPr>
          <w:rFonts w:asciiTheme="minorHAnsi" w:eastAsia="Times New Roman" w:hAnsiTheme="minorHAnsi" w:cstheme="minorBidi"/>
          <w:lang w:eastAsia="en-GB"/>
        </w:rPr>
        <w:t xml:space="preserve">Scopus, SpringerLink, </w:t>
      </w:r>
      <w:proofErr w:type="spellStart"/>
      <w:r w:rsidRPr="26F64964">
        <w:rPr>
          <w:rFonts w:asciiTheme="minorHAnsi" w:eastAsia="Times New Roman" w:hAnsiTheme="minorHAnsi" w:cstheme="minorBidi"/>
          <w:lang w:eastAsia="en-GB"/>
        </w:rPr>
        <w:t>ClinicalKey</w:t>
      </w:r>
      <w:proofErr w:type="spellEnd"/>
      <w:r w:rsidRPr="26F64964">
        <w:rPr>
          <w:rFonts w:asciiTheme="minorHAnsi" w:eastAsia="Times New Roman" w:hAnsiTheme="minorHAnsi" w:cstheme="minorBidi"/>
          <w:lang w:eastAsia="en-GB"/>
        </w:rPr>
        <w:t xml:space="preserve">, ScienceDirect, Wiley Online Library, OVID. The search was conducted within the databases by selecting eHealth-related terms using an OR operator (e.g., “eHealth OR </w:t>
      </w:r>
      <w:r w:rsidRPr="26F64964">
        <w:rPr>
          <w:rFonts w:asciiTheme="minorHAnsi" w:eastAsia="Times New Roman" w:hAnsiTheme="minorHAnsi" w:cstheme="minorBidi"/>
          <w:highlight w:val="white"/>
          <w:lang w:eastAsia="en-GB"/>
        </w:rPr>
        <w:t>electronic health OR</w:t>
      </w:r>
      <w:r w:rsidRPr="26F64964">
        <w:rPr>
          <w:rFonts w:asciiTheme="minorHAnsi" w:eastAsia="Times New Roman" w:hAnsiTheme="minorHAnsi" w:cstheme="minorBidi"/>
          <w:lang w:eastAsia="en-GB"/>
        </w:rPr>
        <w:t xml:space="preserve"> digital health” </w:t>
      </w:r>
      <w:r w:rsidRPr="26F64964">
        <w:rPr>
          <w:rFonts w:asciiTheme="minorHAnsi" w:eastAsia="Times New Roman" w:hAnsiTheme="minorHAnsi" w:cstheme="minorBidi"/>
          <w:highlight w:val="white"/>
          <w:lang w:eastAsia="en-GB"/>
        </w:rPr>
        <w:t>OR “telehealth” OR “</w:t>
      </w:r>
      <w:proofErr w:type="spellStart"/>
      <w:r w:rsidRPr="26F64964">
        <w:rPr>
          <w:rFonts w:asciiTheme="minorHAnsi" w:eastAsia="Times New Roman" w:hAnsiTheme="minorHAnsi" w:cstheme="minorBidi"/>
          <w:highlight w:val="white"/>
          <w:lang w:eastAsia="en-GB"/>
        </w:rPr>
        <w:t>mhealth</w:t>
      </w:r>
      <w:proofErr w:type="spellEnd"/>
      <w:r w:rsidRPr="26F64964">
        <w:rPr>
          <w:rFonts w:asciiTheme="minorHAnsi" w:eastAsia="Times New Roman" w:hAnsiTheme="minorHAnsi" w:cstheme="minorBidi"/>
          <w:lang w:eastAsia="en-GB"/>
        </w:rPr>
        <w:t xml:space="preserve">”) and </w:t>
      </w:r>
      <w:r w:rsidRPr="26F64964">
        <w:rPr>
          <w:rFonts w:asciiTheme="minorHAnsi" w:eastAsia="Times New Roman" w:hAnsiTheme="minorHAnsi" w:cstheme="minorBidi"/>
          <w:color w:val="212121"/>
          <w:lang w:eastAsia="en-GB"/>
        </w:rPr>
        <w:t xml:space="preserve">using the Boolean operator "AND" to search the keyword transplant simultaneously. The initial search </w:t>
      </w:r>
      <w:r w:rsidRPr="26F64964">
        <w:rPr>
          <w:rFonts w:asciiTheme="minorHAnsi" w:eastAsia="Times New Roman" w:hAnsiTheme="minorHAnsi" w:cstheme="minorBidi"/>
          <w:color w:val="212121"/>
          <w:highlight w:val="white"/>
          <w:lang w:eastAsia="en-GB"/>
        </w:rPr>
        <w:t>was conducted between September and October</w:t>
      </w:r>
      <w:r w:rsidRPr="26F64964">
        <w:rPr>
          <w:rFonts w:asciiTheme="minorHAnsi" w:eastAsia="Times New Roman" w:hAnsiTheme="minorHAnsi" w:cstheme="minorBidi"/>
          <w:color w:val="212121"/>
          <w:lang w:eastAsia="en-GB"/>
        </w:rPr>
        <w:t xml:space="preserve"> 2023 and yielded a total of 30996 publications. </w:t>
      </w:r>
    </w:p>
    <w:p w14:paraId="7EC92D82" w14:textId="5EA24EF6" w:rsidR="00F63F23" w:rsidRPr="00F656D2" w:rsidRDefault="00F63F23" w:rsidP="26F64964">
      <w:pPr>
        <w:spacing w:line="360" w:lineRule="auto"/>
        <w:jc w:val="both"/>
        <w:rPr>
          <w:rFonts w:asciiTheme="minorHAnsi" w:eastAsia="Times New Roman" w:hAnsiTheme="minorHAnsi" w:cstheme="minorBidi"/>
          <w:color w:val="212121"/>
          <w:lang w:eastAsia="en-GB"/>
        </w:rPr>
      </w:pPr>
      <w:r w:rsidRPr="26F64964">
        <w:rPr>
          <w:rFonts w:asciiTheme="minorHAnsi" w:eastAsia="Times New Roman" w:hAnsiTheme="minorHAnsi" w:cstheme="minorBidi"/>
          <w:color w:val="212121"/>
          <w:highlight w:val="white"/>
          <w:lang w:eastAsia="en-GB"/>
        </w:rPr>
        <w:t>This study focused on peer-reviewed</w:t>
      </w:r>
      <w:r w:rsidRPr="26F64964">
        <w:rPr>
          <w:rFonts w:asciiTheme="minorHAnsi" w:eastAsia="Times New Roman" w:hAnsiTheme="minorHAnsi" w:cstheme="minorBidi"/>
          <w:color w:val="212121"/>
          <w:lang w:eastAsia="en-GB"/>
        </w:rPr>
        <w:t>, empirical journal publications. Therefore, the second step of the identification phase consisted of creating exclusion criteria to identify relevant studies. For instance, any non-English studies were excluded. The justification behind the removal of non-English publications was that the researcher's main language is English</w:t>
      </w:r>
      <w:r w:rsidR="004E1FBB" w:rsidRPr="26F64964">
        <w:rPr>
          <w:rFonts w:asciiTheme="minorHAnsi" w:eastAsia="Times New Roman" w:hAnsiTheme="minorHAnsi" w:cstheme="minorBidi"/>
          <w:color w:val="212121"/>
          <w:lang w:eastAsia="en-GB"/>
        </w:rPr>
        <w:t>, which enables the full analysis</w:t>
      </w:r>
      <w:r w:rsidRPr="26F64964">
        <w:rPr>
          <w:rFonts w:asciiTheme="minorHAnsi" w:eastAsia="Times New Roman" w:hAnsiTheme="minorHAnsi" w:cstheme="minorBidi"/>
          <w:color w:val="212121"/>
          <w:lang w:eastAsia="en-GB"/>
        </w:rPr>
        <w:t xml:space="preserve"> and comprehension of collated articles. Secondary research and conceptual papers were also excluded from this review, and only peer-reviewed journal articles were included as journal articles tend to go through a rigorous process of being reviewed by experts within the field so their information is of high quality to meet such standards (Paul, Lim, </w:t>
      </w:r>
      <w:proofErr w:type="spellStart"/>
      <w:r w:rsidRPr="26F64964">
        <w:rPr>
          <w:rFonts w:asciiTheme="minorHAnsi" w:eastAsia="Times New Roman" w:hAnsiTheme="minorHAnsi" w:cstheme="minorBidi"/>
          <w:color w:val="212121"/>
          <w:lang w:eastAsia="en-GB"/>
        </w:rPr>
        <w:t>O'Cass</w:t>
      </w:r>
      <w:proofErr w:type="spellEnd"/>
      <w:r w:rsidRPr="26F64964">
        <w:rPr>
          <w:rFonts w:asciiTheme="minorHAnsi" w:eastAsia="Times New Roman" w:hAnsiTheme="minorHAnsi" w:cstheme="minorBidi"/>
          <w:color w:val="212121"/>
          <w:lang w:eastAsia="en-GB"/>
        </w:rPr>
        <w:t xml:space="preserve">, Hao &amp; </w:t>
      </w:r>
      <w:proofErr w:type="spellStart"/>
      <w:r w:rsidRPr="26F64964">
        <w:rPr>
          <w:rFonts w:asciiTheme="minorHAnsi" w:eastAsia="Times New Roman" w:hAnsiTheme="minorHAnsi" w:cstheme="minorBidi"/>
          <w:color w:val="212121"/>
          <w:lang w:eastAsia="en-GB"/>
        </w:rPr>
        <w:t>Bresciani</w:t>
      </w:r>
      <w:proofErr w:type="spellEnd"/>
      <w:r w:rsidRPr="26F64964">
        <w:rPr>
          <w:rFonts w:asciiTheme="minorHAnsi" w:eastAsia="Times New Roman" w:hAnsiTheme="minorHAnsi" w:cstheme="minorBidi"/>
          <w:color w:val="212121"/>
          <w:lang w:eastAsia="en-GB"/>
        </w:rPr>
        <w:t xml:space="preserve">, 2021). </w:t>
      </w:r>
      <w:r w:rsidRPr="26F64964">
        <w:rPr>
          <w:rFonts w:asciiTheme="minorHAnsi" w:eastAsia="Times New Roman" w:hAnsiTheme="minorHAnsi" w:cstheme="minorBidi"/>
          <w:color w:val="212121"/>
          <w:highlight w:val="white"/>
          <w:lang w:eastAsia="en-GB"/>
        </w:rPr>
        <w:t>The search was restricted to papers published between</w:t>
      </w:r>
      <w:r w:rsidRPr="26F64964">
        <w:rPr>
          <w:rFonts w:asciiTheme="minorHAnsi" w:eastAsia="Times New Roman" w:hAnsiTheme="minorHAnsi" w:cstheme="minorBidi"/>
          <w:color w:val="212121"/>
          <w:lang w:eastAsia="en-GB"/>
        </w:rPr>
        <w:t xml:space="preserve"> 2018 and September 2023 considering the fact that technology is constantly evolving so looking at studies done in the last five years would better reflect the recent changes and new discoveries(</w:t>
      </w:r>
      <w:proofErr w:type="spellStart"/>
      <w:r w:rsidRPr="6A640EE8">
        <w:rPr>
          <w:rFonts w:asciiTheme="minorHAnsi" w:eastAsia="Times New Roman" w:hAnsiTheme="minorHAnsi" w:cstheme="minorBidi"/>
          <w:color w:val="212121"/>
          <w:highlight w:val="white"/>
          <w:lang w:eastAsia="en-GB"/>
        </w:rPr>
        <w:t>Pautasso</w:t>
      </w:r>
      <w:proofErr w:type="spellEnd"/>
      <w:r w:rsidRPr="6A640EE8">
        <w:rPr>
          <w:rFonts w:asciiTheme="minorHAnsi" w:eastAsia="Times New Roman" w:hAnsiTheme="minorHAnsi" w:cstheme="minorBidi"/>
          <w:color w:val="212121"/>
          <w:highlight w:val="white"/>
          <w:lang w:eastAsia="en-GB"/>
        </w:rPr>
        <w:t>, 2013</w:t>
      </w:r>
      <w:r w:rsidRPr="26F64964">
        <w:rPr>
          <w:rFonts w:asciiTheme="minorHAnsi" w:eastAsia="Times New Roman" w:hAnsiTheme="minorHAnsi" w:cstheme="minorBidi"/>
          <w:color w:val="212121"/>
          <w:lang w:eastAsia="en-GB"/>
        </w:rPr>
        <w:t xml:space="preserve">).  </w:t>
      </w:r>
      <w:r w:rsidRPr="26F64964">
        <w:rPr>
          <w:rFonts w:asciiTheme="minorHAnsi" w:eastAsia="Times New Roman" w:hAnsiTheme="minorHAnsi" w:cstheme="minorBidi"/>
          <w:lang w:eastAsia="en-GB"/>
        </w:rPr>
        <w:t xml:space="preserve">The search was also restricted to empirical studies only. The reasoning behind this was that empirical studies tend to be more reliable as they are based on real-life experience and </w:t>
      </w:r>
      <w:r w:rsidRPr="26F64964">
        <w:rPr>
          <w:rFonts w:asciiTheme="minorHAnsi" w:eastAsia="Times New Roman" w:hAnsiTheme="minorHAnsi" w:cstheme="minorBidi"/>
          <w:highlight w:val="white"/>
          <w:lang w:eastAsia="en-GB"/>
        </w:rPr>
        <w:t>involve the collection of</w:t>
      </w:r>
      <w:r w:rsidRPr="26F64964">
        <w:rPr>
          <w:rFonts w:asciiTheme="minorHAnsi" w:eastAsia="Times New Roman" w:hAnsiTheme="minorHAnsi" w:cstheme="minorBidi"/>
          <w:lang w:eastAsia="en-GB"/>
        </w:rPr>
        <w:t xml:space="preserve"> primary data to support the study's findings (Martinez, 2022). The</w:t>
      </w:r>
      <w:r w:rsidRPr="26F64964">
        <w:rPr>
          <w:rFonts w:asciiTheme="minorHAnsi" w:eastAsia="Times New Roman" w:hAnsiTheme="minorHAnsi" w:cstheme="minorBidi"/>
          <w:color w:val="7030A0"/>
          <w:lang w:eastAsia="en-GB"/>
        </w:rPr>
        <w:t xml:space="preserve"> </w:t>
      </w:r>
      <w:r w:rsidRPr="26F64964">
        <w:rPr>
          <w:rFonts w:asciiTheme="minorHAnsi" w:eastAsia="Times New Roman" w:hAnsiTheme="minorHAnsi" w:cstheme="minorBidi"/>
          <w:color w:val="212121"/>
          <w:lang w:eastAsia="en-GB"/>
        </w:rPr>
        <w:t xml:space="preserve">removal of </w:t>
      </w:r>
      <w:r w:rsidRPr="26F64964">
        <w:rPr>
          <w:rFonts w:asciiTheme="minorHAnsi" w:eastAsia="Times New Roman" w:hAnsiTheme="minorHAnsi" w:cstheme="minorBidi"/>
          <w:color w:val="212121"/>
          <w:highlight w:val="white"/>
          <w:lang w:eastAsia="en-GB"/>
        </w:rPr>
        <w:t>articles that did not contain the</w:t>
      </w:r>
      <w:r w:rsidRPr="26F64964">
        <w:rPr>
          <w:rFonts w:asciiTheme="minorHAnsi" w:eastAsia="Times New Roman" w:hAnsiTheme="minorHAnsi" w:cstheme="minorBidi"/>
          <w:color w:val="212121"/>
          <w:lang w:eastAsia="en-GB"/>
        </w:rPr>
        <w:t xml:space="preserve"> searched terms in the abstract was to help narrow down results and only show the most relevant publications. After removing articles that met the inclusion and exclusion </w:t>
      </w:r>
      <w:r w:rsidRPr="26F64964">
        <w:rPr>
          <w:rFonts w:asciiTheme="minorHAnsi" w:eastAsia="Times New Roman" w:hAnsiTheme="minorHAnsi" w:cstheme="minorBidi"/>
          <w:color w:val="212121"/>
          <w:highlight w:val="white"/>
          <w:lang w:eastAsia="en-GB"/>
        </w:rPr>
        <w:t>criteria, a</w:t>
      </w:r>
      <w:r w:rsidRPr="26F64964">
        <w:rPr>
          <w:rFonts w:asciiTheme="minorHAnsi" w:eastAsia="Times New Roman" w:hAnsiTheme="minorHAnsi" w:cstheme="minorBidi"/>
          <w:color w:val="212121"/>
          <w:lang w:eastAsia="en-GB"/>
        </w:rPr>
        <w:t xml:space="preserve"> total of 30764 articles were removed. The next step was identifying and removing duplicates, which meant 44 duplicate records were removed. At the end of the identification phase, 232 results remained and were ready for the next phase. </w:t>
      </w:r>
    </w:p>
    <w:p w14:paraId="06E3C8BE" w14:textId="0B60A193" w:rsidR="00F63F23" w:rsidRPr="00F656D2" w:rsidRDefault="00F63F23" w:rsidP="26F64964">
      <w:pPr>
        <w:spacing w:line="360" w:lineRule="auto"/>
        <w:jc w:val="both"/>
        <w:rPr>
          <w:rFonts w:asciiTheme="minorHAnsi" w:eastAsia="Times New Roman" w:hAnsiTheme="minorHAnsi" w:cstheme="minorBidi"/>
          <w:color w:val="212121"/>
          <w:lang w:eastAsia="en-GB"/>
        </w:rPr>
      </w:pPr>
      <w:r w:rsidRPr="26F64964">
        <w:rPr>
          <w:rFonts w:asciiTheme="minorHAnsi" w:eastAsia="Times New Roman" w:hAnsiTheme="minorHAnsi" w:cstheme="minorBidi"/>
          <w:color w:val="212121"/>
          <w:lang w:eastAsia="en-GB"/>
        </w:rPr>
        <w:t>The second phase - screening - consisted of screening the titles, abstracts, and full</w:t>
      </w:r>
      <w:r w:rsidR="003670F0" w:rsidRPr="26F64964">
        <w:rPr>
          <w:rFonts w:asciiTheme="minorHAnsi" w:eastAsia="Times New Roman" w:hAnsiTheme="minorHAnsi" w:cstheme="minorBidi"/>
          <w:color w:val="212121"/>
          <w:lang w:eastAsia="en-GB"/>
        </w:rPr>
        <w:t xml:space="preserve"> </w:t>
      </w:r>
      <w:r w:rsidRPr="26F64964">
        <w:rPr>
          <w:rFonts w:asciiTheme="minorHAnsi" w:eastAsia="Times New Roman" w:hAnsiTheme="minorHAnsi" w:cstheme="minorBidi"/>
          <w:color w:val="212121"/>
          <w:lang w:eastAsia="en-GB"/>
        </w:rPr>
        <w:t xml:space="preserve">text </w:t>
      </w:r>
      <w:r w:rsidRPr="26F64964">
        <w:rPr>
          <w:rFonts w:asciiTheme="minorHAnsi" w:eastAsia="Times New Roman" w:hAnsiTheme="minorHAnsi" w:cstheme="minorBidi"/>
          <w:color w:val="212121"/>
          <w:highlight w:val="white"/>
          <w:lang w:eastAsia="en-GB"/>
        </w:rPr>
        <w:t>of the identified</w:t>
      </w:r>
      <w:r w:rsidRPr="26F64964">
        <w:rPr>
          <w:rFonts w:asciiTheme="minorHAnsi" w:eastAsia="Times New Roman" w:hAnsiTheme="minorHAnsi" w:cstheme="minorBidi"/>
          <w:color w:val="212121"/>
          <w:lang w:eastAsia="en-GB"/>
        </w:rPr>
        <w:t xml:space="preserve"> 232 </w:t>
      </w:r>
      <w:r w:rsidRPr="26F64964">
        <w:rPr>
          <w:rFonts w:asciiTheme="minorHAnsi" w:eastAsia="Times New Roman" w:hAnsiTheme="minorHAnsi" w:cstheme="minorBidi"/>
          <w:color w:val="212121"/>
          <w:highlight w:val="white"/>
          <w:lang w:eastAsia="en-GB"/>
        </w:rPr>
        <w:t>studies to assess their relevance</w:t>
      </w:r>
      <w:r w:rsidRPr="26F64964">
        <w:rPr>
          <w:rFonts w:asciiTheme="minorHAnsi" w:eastAsia="Times New Roman" w:hAnsiTheme="minorHAnsi" w:cstheme="minorBidi"/>
          <w:color w:val="212121"/>
          <w:lang w:eastAsia="en-GB"/>
        </w:rPr>
        <w:t>. Out of these identified studies, 1</w:t>
      </w:r>
      <w:r w:rsidR="007D1747" w:rsidRPr="26F64964">
        <w:rPr>
          <w:rFonts w:asciiTheme="minorHAnsi" w:eastAsia="Times New Roman" w:hAnsiTheme="minorHAnsi" w:cstheme="minorBidi"/>
          <w:color w:val="212121"/>
          <w:lang w:eastAsia="en-GB"/>
        </w:rPr>
        <w:t>10</w:t>
      </w:r>
      <w:r w:rsidRPr="26F64964">
        <w:rPr>
          <w:rFonts w:asciiTheme="minorHAnsi" w:eastAsia="Times New Roman" w:hAnsiTheme="minorHAnsi" w:cstheme="minorBidi"/>
          <w:color w:val="212121"/>
          <w:lang w:eastAsia="en-GB"/>
        </w:rPr>
        <w:t xml:space="preserve"> articles were removed as they were </w:t>
      </w:r>
      <w:r w:rsidRPr="26F64964">
        <w:rPr>
          <w:rFonts w:asciiTheme="minorHAnsi" w:eastAsia="Times New Roman" w:hAnsiTheme="minorHAnsi" w:cstheme="minorBidi"/>
          <w:color w:val="212121"/>
          <w:highlight w:val="white"/>
          <w:lang w:eastAsia="en-GB"/>
        </w:rPr>
        <w:t>not relevant for the purpose of this</w:t>
      </w:r>
      <w:r w:rsidRPr="26F64964">
        <w:rPr>
          <w:rFonts w:asciiTheme="minorHAnsi" w:eastAsia="Times New Roman" w:hAnsiTheme="minorHAnsi" w:cstheme="minorBidi"/>
          <w:color w:val="212121"/>
          <w:lang w:eastAsia="en-GB"/>
        </w:rPr>
        <w:t xml:space="preserve"> study, which meant 12</w:t>
      </w:r>
      <w:r w:rsidR="000D4C6E" w:rsidRPr="26F64964">
        <w:rPr>
          <w:rFonts w:asciiTheme="minorHAnsi" w:eastAsia="Times New Roman" w:hAnsiTheme="minorHAnsi" w:cstheme="minorBidi"/>
          <w:color w:val="212121"/>
          <w:lang w:eastAsia="en-GB"/>
        </w:rPr>
        <w:t>2</w:t>
      </w:r>
      <w:r w:rsidRPr="26F64964">
        <w:rPr>
          <w:rFonts w:asciiTheme="minorHAnsi" w:eastAsia="Times New Roman" w:hAnsiTheme="minorHAnsi" w:cstheme="minorBidi"/>
          <w:color w:val="212121"/>
          <w:lang w:eastAsia="en-GB"/>
        </w:rPr>
        <w:t xml:space="preserve"> articles remained for the next phase. The next step was retrieving the full-text articles for the identified relevant studies.</w:t>
      </w:r>
      <w:r w:rsidRPr="26F64964">
        <w:rPr>
          <w:rFonts w:asciiTheme="minorHAnsi" w:eastAsia="Times New Roman" w:hAnsiTheme="minorHAnsi" w:cstheme="minorBidi"/>
          <w:color w:val="7030A0"/>
          <w:lang w:eastAsia="en-GB"/>
        </w:rPr>
        <w:t xml:space="preserve"> </w:t>
      </w:r>
      <w:r w:rsidRPr="26F64964">
        <w:rPr>
          <w:rFonts w:asciiTheme="minorHAnsi" w:eastAsia="Times New Roman" w:hAnsiTheme="minorHAnsi" w:cstheme="minorBidi"/>
          <w:lang w:eastAsia="en-GB"/>
        </w:rPr>
        <w:t xml:space="preserve">The full paper of 33 </w:t>
      </w:r>
      <w:r w:rsidRPr="26F64964">
        <w:rPr>
          <w:rFonts w:asciiTheme="minorHAnsi" w:eastAsia="Times New Roman" w:hAnsiTheme="minorHAnsi" w:cstheme="minorBidi"/>
          <w:color w:val="212121"/>
          <w:lang w:eastAsia="en-GB"/>
        </w:rPr>
        <w:t xml:space="preserve">articles could not be retrieved, which meant </w:t>
      </w:r>
      <w:r w:rsidR="000D4C6E" w:rsidRPr="26F64964">
        <w:rPr>
          <w:rFonts w:asciiTheme="minorHAnsi" w:eastAsia="Times New Roman" w:hAnsiTheme="minorHAnsi" w:cstheme="minorBidi"/>
          <w:color w:val="212121"/>
          <w:lang w:eastAsia="en-GB"/>
        </w:rPr>
        <w:t>89</w:t>
      </w:r>
      <w:r w:rsidRPr="26F64964">
        <w:rPr>
          <w:rFonts w:asciiTheme="minorHAnsi" w:eastAsia="Times New Roman" w:hAnsiTheme="minorHAnsi" w:cstheme="minorBidi"/>
          <w:color w:val="212121"/>
          <w:lang w:eastAsia="en-GB"/>
        </w:rPr>
        <w:t xml:space="preserve"> articles remained for the eligibility phase. </w:t>
      </w:r>
    </w:p>
    <w:p w14:paraId="6B98E5E1" w14:textId="1CC05103" w:rsidR="00F63F23" w:rsidRPr="00D33C9F" w:rsidRDefault="00F63F23" w:rsidP="005E2A25">
      <w:pPr>
        <w:spacing w:line="360" w:lineRule="auto"/>
        <w:jc w:val="both"/>
        <w:rPr>
          <w:rFonts w:asciiTheme="minorHAnsi" w:eastAsia="Times New Roman" w:hAnsiTheme="minorHAnsi" w:cstheme="minorBidi"/>
          <w:lang w:eastAsia="en-GB"/>
        </w:rPr>
      </w:pPr>
      <w:r w:rsidRPr="00D33C9F">
        <w:rPr>
          <w:rFonts w:asciiTheme="minorHAnsi" w:eastAsia="Times New Roman" w:hAnsiTheme="minorHAnsi" w:cstheme="minorBidi"/>
          <w:lang w:eastAsia="en-GB"/>
        </w:rPr>
        <w:t xml:space="preserve">The third phase consists of assessing the eligibility of </w:t>
      </w:r>
      <w:r w:rsidRPr="00D33C9F">
        <w:rPr>
          <w:rFonts w:asciiTheme="minorHAnsi" w:eastAsia="Times New Roman" w:hAnsiTheme="minorHAnsi" w:cstheme="minorBidi"/>
          <w:highlight w:val="white"/>
          <w:lang w:eastAsia="en-GB"/>
        </w:rPr>
        <w:t>the studies to be included in the</w:t>
      </w:r>
      <w:r w:rsidRPr="00D33C9F">
        <w:rPr>
          <w:rFonts w:asciiTheme="minorHAnsi" w:eastAsia="Times New Roman" w:hAnsiTheme="minorHAnsi" w:cstheme="minorBidi"/>
          <w:lang w:eastAsia="en-GB"/>
        </w:rPr>
        <w:t xml:space="preserve"> systematic review. </w:t>
      </w:r>
      <w:r w:rsidR="004C4E0C" w:rsidRPr="00D33C9F">
        <w:rPr>
          <w:rFonts w:asciiTheme="minorHAnsi" w:eastAsia="Times New Roman" w:hAnsiTheme="minorHAnsi" w:cstheme="minorBidi"/>
          <w:lang w:eastAsia="en-GB"/>
        </w:rPr>
        <w:t>In accordance with PRISMA (</w:t>
      </w:r>
      <w:r w:rsidR="00792500" w:rsidRPr="00D33C9F">
        <w:rPr>
          <w:rFonts w:asciiTheme="minorHAnsi" w:eastAsia="Times New Roman" w:hAnsiTheme="minorHAnsi" w:cstheme="minorBidi"/>
          <w:lang w:eastAsia="en-GB"/>
        </w:rPr>
        <w:t xml:space="preserve">Moher et al., 2020), the systematic review involved another </w:t>
      </w:r>
      <w:r w:rsidR="008014F1" w:rsidRPr="00D33C9F">
        <w:rPr>
          <w:rFonts w:asciiTheme="minorHAnsi" w:eastAsia="Times New Roman" w:hAnsiTheme="minorHAnsi" w:cstheme="minorBidi"/>
          <w:lang w:eastAsia="en-GB"/>
        </w:rPr>
        <w:t>reviewer</w:t>
      </w:r>
      <w:r w:rsidR="00373BA2" w:rsidRPr="00D33C9F">
        <w:rPr>
          <w:rFonts w:asciiTheme="minorHAnsi" w:eastAsia="Times New Roman" w:hAnsiTheme="minorHAnsi" w:cstheme="minorBidi"/>
          <w:lang w:eastAsia="en-GB"/>
        </w:rPr>
        <w:t xml:space="preserve"> </w:t>
      </w:r>
      <w:r w:rsidR="009B796F" w:rsidRPr="00D33C9F">
        <w:rPr>
          <w:rFonts w:asciiTheme="minorHAnsi" w:eastAsia="Times New Roman" w:hAnsiTheme="minorHAnsi" w:cstheme="minorBidi"/>
          <w:lang w:eastAsia="en-GB"/>
        </w:rPr>
        <w:t xml:space="preserve">and </w:t>
      </w:r>
      <w:r w:rsidR="003203E6" w:rsidRPr="00D33C9F">
        <w:rPr>
          <w:rFonts w:asciiTheme="minorHAnsi" w:eastAsia="Times New Roman" w:hAnsiTheme="minorHAnsi" w:cstheme="minorBidi"/>
          <w:lang w:eastAsia="en-GB"/>
        </w:rPr>
        <w:t>has carefully checked</w:t>
      </w:r>
      <w:r w:rsidR="00792500" w:rsidRPr="00D33C9F">
        <w:rPr>
          <w:rFonts w:asciiTheme="minorHAnsi" w:eastAsia="Times New Roman" w:hAnsiTheme="minorHAnsi" w:cstheme="minorBidi"/>
          <w:lang w:eastAsia="en-GB"/>
        </w:rPr>
        <w:t xml:space="preserve"> the review process</w:t>
      </w:r>
      <w:r w:rsidR="00AE2513" w:rsidRPr="00D33C9F">
        <w:rPr>
          <w:rFonts w:asciiTheme="minorHAnsi" w:eastAsia="Times New Roman" w:hAnsiTheme="minorHAnsi" w:cstheme="minorBidi"/>
          <w:lang w:eastAsia="en-GB"/>
        </w:rPr>
        <w:t xml:space="preserve"> to</w:t>
      </w:r>
      <w:r w:rsidR="00792500" w:rsidRPr="00D33C9F">
        <w:rPr>
          <w:rFonts w:asciiTheme="minorHAnsi" w:eastAsia="Times New Roman" w:hAnsiTheme="minorHAnsi" w:cstheme="minorBidi"/>
          <w:lang w:eastAsia="en-GB"/>
        </w:rPr>
        <w:t xml:space="preserve"> </w:t>
      </w:r>
      <w:r w:rsidR="005E2A25" w:rsidRPr="00D33C9F">
        <w:rPr>
          <w:rFonts w:asciiTheme="minorHAnsi" w:eastAsia="Times New Roman" w:hAnsiTheme="minorHAnsi" w:cstheme="minorBidi"/>
          <w:lang w:eastAsia="en-GB"/>
        </w:rPr>
        <w:t>reduce the risk of biases influencing the overall conclusions of the review.</w:t>
      </w:r>
      <w:r w:rsidR="001409CC" w:rsidRPr="00D33C9F">
        <w:rPr>
          <w:rFonts w:asciiTheme="minorHAnsi" w:eastAsia="Times New Roman" w:hAnsiTheme="minorHAnsi" w:cstheme="minorBidi"/>
          <w:lang w:eastAsia="en-GB"/>
        </w:rPr>
        <w:t xml:space="preserve"> </w:t>
      </w:r>
      <w:r w:rsidR="005228FC" w:rsidRPr="00D33C9F">
        <w:rPr>
          <w:rFonts w:asciiTheme="minorHAnsi" w:eastAsia="Times New Roman" w:hAnsiTheme="minorHAnsi" w:cstheme="minorBidi"/>
          <w:lang w:eastAsia="en-GB"/>
        </w:rPr>
        <w:t xml:space="preserve">In instances where discrepancies or conflicts arose </w:t>
      </w:r>
      <w:r w:rsidR="005228FC" w:rsidRPr="00D33C9F">
        <w:rPr>
          <w:rFonts w:asciiTheme="minorHAnsi" w:eastAsia="Times New Roman" w:hAnsiTheme="minorHAnsi" w:cstheme="minorBidi"/>
          <w:lang w:eastAsia="en-GB"/>
        </w:rPr>
        <w:lastRenderedPageBreak/>
        <w:t>between reviewers, we employed systematic methods to address and resolve them. This included meetings</w:t>
      </w:r>
      <w:r w:rsidR="009D2A30" w:rsidRPr="00D33C9F">
        <w:rPr>
          <w:rFonts w:asciiTheme="minorHAnsi" w:eastAsia="Times New Roman" w:hAnsiTheme="minorHAnsi" w:cstheme="minorBidi"/>
          <w:lang w:eastAsia="en-GB"/>
        </w:rPr>
        <w:t>,</w:t>
      </w:r>
      <w:r w:rsidR="005228FC" w:rsidRPr="00D33C9F">
        <w:rPr>
          <w:rFonts w:asciiTheme="minorHAnsi" w:eastAsia="Times New Roman" w:hAnsiTheme="minorHAnsi" w:cstheme="minorBidi"/>
          <w:lang w:eastAsia="en-GB"/>
        </w:rPr>
        <w:t xml:space="preserve"> where </w:t>
      </w:r>
      <w:r w:rsidR="00253051" w:rsidRPr="00D33C9F">
        <w:rPr>
          <w:rFonts w:asciiTheme="minorHAnsi" w:eastAsia="Times New Roman" w:hAnsiTheme="minorHAnsi" w:cstheme="minorBidi"/>
          <w:lang w:eastAsia="en-GB"/>
        </w:rPr>
        <w:t xml:space="preserve">we </w:t>
      </w:r>
      <w:r w:rsidR="005228FC" w:rsidRPr="00D33C9F">
        <w:rPr>
          <w:rFonts w:asciiTheme="minorHAnsi" w:eastAsia="Times New Roman" w:hAnsiTheme="minorHAnsi" w:cstheme="minorBidi"/>
          <w:lang w:eastAsia="en-GB"/>
        </w:rPr>
        <w:t>discussed and reconciled differences in interpretation</w:t>
      </w:r>
      <w:r w:rsidR="001409CC" w:rsidRPr="00D33C9F">
        <w:rPr>
          <w:rFonts w:asciiTheme="minorHAnsi" w:eastAsia="Times New Roman" w:hAnsiTheme="minorHAnsi" w:cstheme="minorBidi"/>
          <w:lang w:eastAsia="en-GB"/>
        </w:rPr>
        <w:t xml:space="preserve"> and </w:t>
      </w:r>
      <w:r w:rsidR="004B3E30" w:rsidRPr="00D33C9F">
        <w:rPr>
          <w:rFonts w:asciiTheme="minorHAnsi" w:eastAsia="Times New Roman" w:hAnsiTheme="minorHAnsi" w:cstheme="minorBidi"/>
          <w:lang w:eastAsia="en-GB"/>
        </w:rPr>
        <w:t xml:space="preserve">seeking agreement to mitigate potential selection bias. </w:t>
      </w:r>
      <w:r w:rsidRPr="00D33C9F">
        <w:rPr>
          <w:rFonts w:asciiTheme="minorHAnsi" w:eastAsia="Times New Roman" w:hAnsiTheme="minorHAnsi" w:cstheme="minorBidi"/>
          <w:lang w:eastAsia="en-GB"/>
        </w:rPr>
        <w:t xml:space="preserve">As a complementary approach, a </w:t>
      </w:r>
      <w:r w:rsidR="003C0070" w:rsidRPr="00D33C9F">
        <w:rPr>
          <w:rFonts w:asciiTheme="minorHAnsi" w:eastAsia="Times New Roman" w:hAnsiTheme="minorHAnsi" w:cstheme="minorBidi"/>
          <w:lang w:eastAsia="en-GB"/>
        </w:rPr>
        <w:t xml:space="preserve">manual search in the references of the selected articles was conducted to ensure that were no potential articles missing. </w:t>
      </w:r>
      <w:r w:rsidRPr="00D33C9F">
        <w:rPr>
          <w:rFonts w:asciiTheme="minorHAnsi" w:eastAsia="Times New Roman" w:hAnsiTheme="minorHAnsi" w:cstheme="minorBidi"/>
          <w:lang w:eastAsia="en-GB"/>
        </w:rPr>
        <w:t>Therefore, a total of 5</w:t>
      </w:r>
      <w:r w:rsidR="000D4C6E" w:rsidRPr="00D33C9F">
        <w:rPr>
          <w:rFonts w:asciiTheme="minorHAnsi" w:eastAsia="Times New Roman" w:hAnsiTheme="minorHAnsi" w:cstheme="minorBidi"/>
          <w:lang w:eastAsia="en-GB"/>
        </w:rPr>
        <w:t>5</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 xml:space="preserve">articles </w:t>
      </w:r>
      <w:r w:rsidR="009D4035" w:rsidRPr="00D33C9F">
        <w:rPr>
          <w:rFonts w:asciiTheme="minorHAnsi" w:eastAsia="Times New Roman" w:hAnsiTheme="minorHAnsi" w:cstheme="minorBidi"/>
          <w:highlight w:val="white"/>
          <w:lang w:eastAsia="en-GB"/>
        </w:rPr>
        <w:t xml:space="preserve">were </w:t>
      </w:r>
      <w:r w:rsidRPr="00D33C9F">
        <w:rPr>
          <w:rFonts w:asciiTheme="minorHAnsi" w:eastAsia="Times New Roman" w:hAnsiTheme="minorHAnsi" w:cstheme="minorBidi"/>
          <w:highlight w:val="white"/>
          <w:lang w:eastAsia="en-GB"/>
        </w:rPr>
        <w:t>included in this</w:t>
      </w:r>
      <w:r w:rsidRPr="00D33C9F">
        <w:rPr>
          <w:rFonts w:asciiTheme="minorHAnsi" w:eastAsia="Times New Roman" w:hAnsiTheme="minorHAnsi" w:cstheme="minorBidi"/>
          <w:lang w:eastAsia="en-GB"/>
        </w:rPr>
        <w:t xml:space="preserve"> literature review. Figure </w:t>
      </w:r>
      <w:r w:rsidR="00EA6673" w:rsidRPr="00D33C9F">
        <w:rPr>
          <w:rFonts w:asciiTheme="minorHAnsi" w:eastAsia="Times New Roman" w:hAnsiTheme="minorHAnsi" w:cstheme="minorBidi"/>
          <w:lang w:eastAsia="en-GB"/>
        </w:rPr>
        <w:t xml:space="preserve">1 </w:t>
      </w:r>
      <w:r w:rsidRPr="00D33C9F">
        <w:rPr>
          <w:rFonts w:asciiTheme="minorHAnsi" w:eastAsia="Times New Roman" w:hAnsiTheme="minorHAnsi" w:cstheme="minorBidi"/>
          <w:lang w:eastAsia="en-GB"/>
        </w:rPr>
        <w:t>presents the flowchart</w:t>
      </w:r>
      <w:r w:rsidR="004A0107" w:rsidRPr="00D33C9F">
        <w:rPr>
          <w:rFonts w:asciiTheme="minorHAnsi" w:eastAsia="Times New Roman" w:hAnsiTheme="minorHAnsi" w:cstheme="minorBidi"/>
          <w:lang w:eastAsia="en-GB"/>
        </w:rPr>
        <w:t>,</w:t>
      </w:r>
      <w:r w:rsidRPr="00D33C9F">
        <w:rPr>
          <w:rFonts w:asciiTheme="minorHAnsi" w:eastAsia="Times New Roman" w:hAnsiTheme="minorHAnsi" w:cstheme="minorBidi"/>
          <w:lang w:eastAsia="en-GB"/>
        </w:rPr>
        <w:t xml:space="preserve"> </w:t>
      </w:r>
      <w:r w:rsidR="004A0107" w:rsidRPr="00D33C9F">
        <w:rPr>
          <w:rFonts w:asciiTheme="minorHAnsi" w:eastAsia="Times New Roman" w:hAnsiTheme="minorHAnsi" w:cstheme="minorBidi"/>
          <w:lang w:eastAsia="en-GB"/>
        </w:rPr>
        <w:t>which illustrates the selection process for the articles included in this systematic literature review.</w:t>
      </w:r>
      <w:r w:rsidR="001409CC" w:rsidRPr="00D33C9F">
        <w:rPr>
          <w:rFonts w:asciiTheme="minorHAnsi" w:eastAsia="Times New Roman" w:hAnsiTheme="minorHAnsi" w:cstheme="minorBidi"/>
          <w:lang w:eastAsia="en-GB"/>
        </w:rPr>
        <w:t xml:space="preserve"> Table 3.1 provides a summary of the inclusion and exclusion criteria for evaluating studies for this systematic review. </w:t>
      </w:r>
      <w:r w:rsidR="008210C0" w:rsidRPr="00D33C9F">
        <w:rPr>
          <w:rFonts w:asciiTheme="minorHAnsi" w:eastAsia="Times New Roman" w:hAnsiTheme="minorHAnsi" w:cstheme="minorBidi"/>
          <w:lang w:eastAsia="en-GB"/>
        </w:rPr>
        <w:t>Appendix B</w:t>
      </w:r>
      <w:r w:rsidR="00363F2F" w:rsidRPr="00D33C9F">
        <w:rPr>
          <w:rFonts w:asciiTheme="minorHAnsi" w:eastAsia="Times New Roman" w:hAnsiTheme="minorHAnsi" w:cstheme="minorBidi"/>
          <w:lang w:eastAsia="en-GB"/>
        </w:rPr>
        <w:t xml:space="preserve"> pr</w:t>
      </w:r>
      <w:r w:rsidR="00DD79D3" w:rsidRPr="00D33C9F">
        <w:rPr>
          <w:rFonts w:asciiTheme="minorHAnsi" w:eastAsia="Times New Roman" w:hAnsiTheme="minorHAnsi" w:cstheme="minorBidi"/>
          <w:lang w:eastAsia="en-GB"/>
        </w:rPr>
        <w:t>esents how the systematic review addresses the PRISMA checklist (</w:t>
      </w:r>
      <w:r w:rsidR="00230212" w:rsidRPr="00D33C9F">
        <w:rPr>
          <w:rFonts w:asciiTheme="minorHAnsi" w:eastAsia="Times New Roman" w:hAnsiTheme="minorHAnsi" w:cstheme="minorBidi"/>
          <w:lang w:eastAsia="en-GB"/>
        </w:rPr>
        <w:t xml:space="preserve">Moher et al., 2020). </w:t>
      </w:r>
    </w:p>
    <w:p w14:paraId="117CD63C" w14:textId="5505D525" w:rsidR="00EA6673" w:rsidRDefault="00F63F23" w:rsidP="00EA6673">
      <w:pPr>
        <w:keepNext/>
        <w:spacing w:line="360" w:lineRule="auto"/>
        <w:jc w:val="both"/>
      </w:pPr>
      <w:r w:rsidRPr="00FF4B4F">
        <w:rPr>
          <w:noProof/>
        </w:rPr>
        <w:drawing>
          <wp:inline distT="0" distB="0" distL="0" distR="0" wp14:anchorId="419351E0" wp14:editId="44C549D3">
            <wp:extent cx="5024761" cy="5033033"/>
            <wp:effectExtent l="0" t="0" r="4445" b="0"/>
            <wp:docPr id="309319761" name="Picture 309319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319761" name="Picture 309319761"/>
                    <pic:cNvPicPr/>
                  </pic:nvPicPr>
                  <pic:blipFill>
                    <a:blip r:embed="rId9">
                      <a:extLst>
                        <a:ext uri="{28A0092B-C50C-407E-A947-70E740481C1C}">
                          <a14:useLocalDpi xmlns:a14="http://schemas.microsoft.com/office/drawing/2010/main" val="0"/>
                        </a:ext>
                      </a:extLst>
                    </a:blip>
                    <a:srcRect t="35" b="35"/>
                    <a:stretch>
                      <a:fillRect/>
                    </a:stretch>
                  </pic:blipFill>
                  <pic:spPr bwMode="auto">
                    <a:xfrm>
                      <a:off x="0" y="0"/>
                      <a:ext cx="5034851" cy="5043140"/>
                    </a:xfrm>
                    <a:prstGeom prst="rect">
                      <a:avLst/>
                    </a:prstGeom>
                    <a:ln>
                      <a:noFill/>
                    </a:ln>
                    <a:extLst>
                      <a:ext uri="{53640926-AAD7-44D8-BBD7-CCE9431645EC}">
                        <a14:shadowObscured xmlns:a14="http://schemas.microsoft.com/office/drawing/2010/main"/>
                      </a:ext>
                    </a:extLst>
                  </pic:spPr>
                </pic:pic>
              </a:graphicData>
            </a:graphic>
          </wp:inline>
        </w:drawing>
      </w:r>
      <w:r w:rsidR="00D55D3B">
        <w:t xml:space="preserve"> </w:t>
      </w:r>
    </w:p>
    <w:p w14:paraId="4ACF3E2E" w14:textId="7ADC451E" w:rsidR="001C6FE1" w:rsidRDefault="00297F36" w:rsidP="001C6FE1">
      <w:pPr>
        <w:pStyle w:val="Caption"/>
        <w:jc w:val="both"/>
      </w:pPr>
      <w:bookmarkStart w:id="14" w:name="_Toc166853958"/>
      <w:r>
        <w:rPr>
          <w:caps w:val="0"/>
        </w:rPr>
        <w:t xml:space="preserve">Figure </w:t>
      </w:r>
      <w:r>
        <w:fldChar w:fldCharType="begin"/>
      </w:r>
      <w:r>
        <w:instrText>SEQ Figure \* ARABIC</w:instrText>
      </w:r>
      <w:r>
        <w:fldChar w:fldCharType="separate"/>
      </w:r>
      <w:r>
        <w:rPr>
          <w:caps w:val="0"/>
          <w:noProof/>
        </w:rPr>
        <w:t>1</w:t>
      </w:r>
      <w:r>
        <w:fldChar w:fldCharType="end"/>
      </w:r>
      <w:r>
        <w:rPr>
          <w:caps w:val="0"/>
        </w:rPr>
        <w:t xml:space="preserve"> </w:t>
      </w:r>
      <w:r w:rsidR="007F09C5">
        <w:rPr>
          <w:caps w:val="0"/>
        </w:rPr>
        <w:t xml:space="preserve">PRISMA </w:t>
      </w:r>
      <w:r>
        <w:rPr>
          <w:caps w:val="0"/>
        </w:rPr>
        <w:t>Process</w:t>
      </w:r>
      <w:bookmarkEnd w:id="14"/>
    </w:p>
    <w:p w14:paraId="16FE6BAA" w14:textId="77777777" w:rsidR="001C6FE1" w:rsidRPr="001C6FE1" w:rsidRDefault="001C6FE1" w:rsidP="001C6FE1"/>
    <w:p w14:paraId="200F0269" w14:textId="01ACC490" w:rsidR="001C6FE1" w:rsidRDefault="001C6FE1" w:rsidP="00BD329B">
      <w:pPr>
        <w:pStyle w:val="Caption"/>
        <w:keepNext/>
      </w:pPr>
    </w:p>
    <w:p w14:paraId="289F2DBF" w14:textId="77777777" w:rsidR="009B796F" w:rsidRPr="009B796F" w:rsidRDefault="009B796F" w:rsidP="009B796F"/>
    <w:p w14:paraId="3BD1F3D7" w14:textId="3482FC1F" w:rsidR="00BD329B" w:rsidRDefault="00BD329B" w:rsidP="00BD329B">
      <w:pPr>
        <w:pStyle w:val="Caption"/>
        <w:keepNext/>
      </w:pPr>
      <w:bookmarkStart w:id="15" w:name="_Toc166853964"/>
      <w:r>
        <w:lastRenderedPageBreak/>
        <w:t xml:space="preserve">Table </w:t>
      </w:r>
      <w:r w:rsidR="00AE137A">
        <w:t>3.</w:t>
      </w:r>
      <w:r>
        <w:fldChar w:fldCharType="begin"/>
      </w:r>
      <w:r>
        <w:instrText xml:space="preserve"> SEQ Table \* ARABIC </w:instrText>
      </w:r>
      <w:r>
        <w:fldChar w:fldCharType="separate"/>
      </w:r>
      <w:r w:rsidR="009B3008">
        <w:rPr>
          <w:noProof/>
        </w:rPr>
        <w:t>1</w:t>
      </w:r>
      <w:r>
        <w:rPr>
          <w:noProof/>
        </w:rPr>
        <w:fldChar w:fldCharType="end"/>
      </w:r>
      <w:r>
        <w:rPr>
          <w:noProof/>
        </w:rPr>
        <w:t xml:space="preserve"> Summary of inclusion and exclusion criteria</w:t>
      </w:r>
      <w:bookmarkEnd w:id="15"/>
    </w:p>
    <w:tbl>
      <w:tblPr>
        <w:tblStyle w:val="GridTable3-Accent2"/>
        <w:tblW w:w="8610" w:type="dxa"/>
        <w:tblLook w:val="04A0" w:firstRow="1" w:lastRow="0" w:firstColumn="1" w:lastColumn="0" w:noHBand="0" w:noVBand="1"/>
      </w:tblPr>
      <w:tblGrid>
        <w:gridCol w:w="5245"/>
        <w:gridCol w:w="3365"/>
      </w:tblGrid>
      <w:tr w:rsidR="006178AB" w:rsidRPr="00DC60F9" w14:paraId="26E1B83C" w14:textId="77777777" w:rsidTr="008210C0">
        <w:trPr>
          <w:cnfStyle w:val="100000000000" w:firstRow="1" w:lastRow="0" w:firstColumn="0" w:lastColumn="0" w:oddVBand="0" w:evenVBand="0" w:oddHBand="0" w:evenHBand="0" w:firstRowFirstColumn="0" w:firstRowLastColumn="0" w:lastRowFirstColumn="0" w:lastRowLastColumn="0"/>
          <w:trHeight w:val="173"/>
        </w:trPr>
        <w:tc>
          <w:tcPr>
            <w:cnfStyle w:val="001000000100" w:firstRow="0" w:lastRow="0" w:firstColumn="1" w:lastColumn="0" w:oddVBand="0" w:evenVBand="0" w:oddHBand="0" w:evenHBand="0" w:firstRowFirstColumn="1" w:firstRowLastColumn="0" w:lastRowFirstColumn="0" w:lastRowLastColumn="0"/>
            <w:tcW w:w="5245" w:type="dxa"/>
            <w:noWrap/>
            <w:hideMark/>
          </w:tcPr>
          <w:p w14:paraId="467BF66B" w14:textId="77777777" w:rsidR="00DC60F9" w:rsidRPr="00770FD9" w:rsidRDefault="00DC60F9" w:rsidP="00DC60F9">
            <w:pPr>
              <w:spacing w:line="360" w:lineRule="auto"/>
              <w:jc w:val="both"/>
              <w:rPr>
                <w:rFonts w:asciiTheme="minorHAnsi" w:eastAsia="Times New Roman" w:hAnsiTheme="minorHAnsi" w:cstheme="minorBidi"/>
                <w:lang w:eastAsia="en-GB"/>
              </w:rPr>
            </w:pPr>
            <w:r w:rsidRPr="00770FD9">
              <w:rPr>
                <w:rFonts w:asciiTheme="minorHAnsi" w:eastAsia="Times New Roman" w:hAnsiTheme="minorHAnsi" w:cstheme="minorBidi"/>
                <w:lang w:eastAsia="en-GB"/>
              </w:rPr>
              <w:t>Inclusion Criteria</w:t>
            </w:r>
          </w:p>
        </w:tc>
        <w:tc>
          <w:tcPr>
            <w:tcW w:w="3365" w:type="dxa"/>
            <w:noWrap/>
            <w:hideMark/>
          </w:tcPr>
          <w:p w14:paraId="1CA952FF" w14:textId="77777777" w:rsidR="00DC60F9" w:rsidRPr="00770FD9" w:rsidRDefault="00DC60F9" w:rsidP="00DC60F9">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Exclusion Criteria</w:t>
            </w:r>
          </w:p>
        </w:tc>
      </w:tr>
      <w:tr w:rsidR="00C83DC8" w:rsidRPr="00DC60F9" w14:paraId="7298A351" w14:textId="77777777" w:rsidTr="008210C0">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5245" w:type="dxa"/>
            <w:vMerge w:val="restart"/>
            <w:noWrap/>
            <w:hideMark/>
          </w:tcPr>
          <w:p w14:paraId="3C65A718" w14:textId="035247EB" w:rsidR="00C83DC8" w:rsidRPr="00770FD9" w:rsidRDefault="00C83DC8" w:rsidP="0001598E">
            <w:pPr>
              <w:spacing w:line="360" w:lineRule="auto"/>
              <w:jc w:val="left"/>
              <w:rPr>
                <w:rFonts w:asciiTheme="minorHAnsi" w:eastAsia="Times New Roman" w:hAnsiTheme="minorHAnsi" w:cstheme="minorBidi"/>
                <w:lang w:eastAsia="en-GB"/>
              </w:rPr>
            </w:pPr>
            <w:r w:rsidRPr="00770FD9">
              <w:rPr>
                <w:rFonts w:asciiTheme="minorHAnsi" w:eastAsia="Times New Roman" w:hAnsiTheme="minorHAnsi" w:cstheme="minorBidi"/>
                <w:lang w:eastAsia="en-GB"/>
              </w:rPr>
              <w:t>A</w:t>
            </w:r>
            <w:r w:rsidR="00857EF3">
              <w:rPr>
                <w:rFonts w:asciiTheme="minorHAnsi" w:eastAsia="Times New Roman" w:hAnsiTheme="minorHAnsi" w:cstheme="minorBidi"/>
                <w:lang w:eastAsia="en-GB"/>
              </w:rPr>
              <w:t>rticles with the a</w:t>
            </w:r>
            <w:r w:rsidRPr="00770FD9">
              <w:rPr>
                <w:rFonts w:asciiTheme="minorHAnsi" w:eastAsia="Times New Roman" w:hAnsiTheme="minorHAnsi" w:cstheme="minorBidi"/>
                <w:lang w:eastAsia="en-GB"/>
              </w:rPr>
              <w:t xml:space="preserve">bstract contained "transplant" and "digital </w:t>
            </w:r>
            <w:proofErr w:type="spellStart"/>
            <w:r w:rsidRPr="00770FD9">
              <w:rPr>
                <w:rFonts w:asciiTheme="minorHAnsi" w:eastAsia="Times New Roman" w:hAnsiTheme="minorHAnsi" w:cstheme="minorBidi"/>
                <w:lang w:eastAsia="en-GB"/>
              </w:rPr>
              <w:t>health"</w:t>
            </w:r>
            <w:r w:rsidR="0001598E">
              <w:rPr>
                <w:rFonts w:asciiTheme="minorHAnsi" w:eastAsia="Times New Roman" w:hAnsiTheme="minorHAnsi" w:cstheme="minorBidi"/>
                <w:lang w:eastAsia="en-GB"/>
              </w:rPr>
              <w:t>;</w:t>
            </w:r>
            <w:r w:rsidRPr="00770FD9">
              <w:rPr>
                <w:rFonts w:asciiTheme="minorHAnsi" w:eastAsia="Times New Roman" w:hAnsiTheme="minorHAnsi" w:cstheme="minorBidi"/>
                <w:lang w:eastAsia="en-GB"/>
              </w:rPr>
              <w:t>"transplant</w:t>
            </w:r>
            <w:proofErr w:type="spellEnd"/>
            <w:r w:rsidRPr="00770FD9">
              <w:rPr>
                <w:rFonts w:asciiTheme="minorHAnsi" w:eastAsia="Times New Roman" w:hAnsiTheme="minorHAnsi" w:cstheme="minorBidi"/>
                <w:lang w:eastAsia="en-GB"/>
              </w:rPr>
              <w:t>" and "</w:t>
            </w:r>
            <w:proofErr w:type="spellStart"/>
            <w:r w:rsidRPr="00770FD9">
              <w:rPr>
                <w:rFonts w:asciiTheme="minorHAnsi" w:eastAsia="Times New Roman" w:hAnsiTheme="minorHAnsi" w:cstheme="minorBidi"/>
                <w:lang w:eastAsia="en-GB"/>
              </w:rPr>
              <w:t>ehealth</w:t>
            </w:r>
            <w:proofErr w:type="spellEnd"/>
            <w:r w:rsidRPr="00770FD9">
              <w:rPr>
                <w:rFonts w:asciiTheme="minorHAnsi" w:eastAsia="Times New Roman" w:hAnsiTheme="minorHAnsi" w:cstheme="minorBidi"/>
                <w:lang w:eastAsia="en-GB"/>
              </w:rPr>
              <w:t>"</w:t>
            </w:r>
            <w:r w:rsidR="0001598E">
              <w:rPr>
                <w:rFonts w:asciiTheme="minorHAnsi" w:eastAsia="Times New Roman" w:hAnsiTheme="minorHAnsi" w:cstheme="minorBidi"/>
                <w:lang w:eastAsia="en-GB"/>
              </w:rPr>
              <w:t>;</w:t>
            </w:r>
            <w:r w:rsidRPr="00770FD9">
              <w:rPr>
                <w:rFonts w:asciiTheme="minorHAnsi" w:eastAsia="Times New Roman" w:hAnsiTheme="minorHAnsi" w:cstheme="minorBidi"/>
                <w:lang w:eastAsia="en-GB"/>
              </w:rPr>
              <w:t>"transplant" and "</w:t>
            </w:r>
            <w:proofErr w:type="spellStart"/>
            <w:r w:rsidRPr="00770FD9">
              <w:rPr>
                <w:rFonts w:asciiTheme="minorHAnsi" w:eastAsia="Times New Roman" w:hAnsiTheme="minorHAnsi" w:cstheme="minorBidi"/>
                <w:lang w:eastAsia="en-GB"/>
              </w:rPr>
              <w:t>telehealth"</w:t>
            </w:r>
            <w:r w:rsidR="0001598E">
              <w:rPr>
                <w:rFonts w:asciiTheme="minorHAnsi" w:eastAsia="Times New Roman" w:hAnsiTheme="minorHAnsi" w:cstheme="minorBidi"/>
                <w:lang w:eastAsia="en-GB"/>
              </w:rPr>
              <w:t>;</w:t>
            </w:r>
            <w:r w:rsidRPr="00770FD9">
              <w:rPr>
                <w:rFonts w:asciiTheme="minorHAnsi" w:eastAsia="Times New Roman" w:hAnsiTheme="minorHAnsi" w:cstheme="minorBidi"/>
                <w:lang w:eastAsia="en-GB"/>
              </w:rPr>
              <w:t>"transplant</w:t>
            </w:r>
            <w:proofErr w:type="spellEnd"/>
            <w:r w:rsidRPr="00770FD9">
              <w:rPr>
                <w:rFonts w:asciiTheme="minorHAnsi" w:eastAsia="Times New Roman" w:hAnsiTheme="minorHAnsi" w:cstheme="minorBidi"/>
                <w:lang w:eastAsia="en-GB"/>
              </w:rPr>
              <w:t xml:space="preserve">" and "health </w:t>
            </w:r>
            <w:proofErr w:type="spellStart"/>
            <w:r w:rsidRPr="00770FD9">
              <w:rPr>
                <w:rFonts w:asciiTheme="minorHAnsi" w:eastAsia="Times New Roman" w:hAnsiTheme="minorHAnsi" w:cstheme="minorBidi"/>
                <w:lang w:eastAsia="en-GB"/>
              </w:rPr>
              <w:t>informatics"</w:t>
            </w:r>
            <w:r w:rsidR="0001598E">
              <w:rPr>
                <w:rFonts w:asciiTheme="minorHAnsi" w:eastAsia="Times New Roman" w:hAnsiTheme="minorHAnsi" w:cstheme="minorBidi"/>
                <w:lang w:eastAsia="en-GB"/>
              </w:rPr>
              <w:t>;</w:t>
            </w:r>
            <w:r w:rsidRPr="00770FD9">
              <w:rPr>
                <w:rFonts w:asciiTheme="minorHAnsi" w:eastAsia="Times New Roman" w:hAnsiTheme="minorHAnsi" w:cstheme="minorBidi"/>
                <w:lang w:eastAsia="en-GB"/>
              </w:rPr>
              <w:t>"transplant</w:t>
            </w:r>
            <w:proofErr w:type="spellEnd"/>
            <w:r w:rsidRPr="00770FD9">
              <w:rPr>
                <w:rFonts w:asciiTheme="minorHAnsi" w:eastAsia="Times New Roman" w:hAnsiTheme="minorHAnsi" w:cstheme="minorBidi"/>
                <w:lang w:eastAsia="en-GB"/>
              </w:rPr>
              <w:t xml:space="preserve">" and "electronic </w:t>
            </w:r>
            <w:proofErr w:type="spellStart"/>
            <w:r w:rsidRPr="00770FD9">
              <w:rPr>
                <w:rFonts w:asciiTheme="minorHAnsi" w:eastAsia="Times New Roman" w:hAnsiTheme="minorHAnsi" w:cstheme="minorBidi"/>
                <w:lang w:eastAsia="en-GB"/>
              </w:rPr>
              <w:t>health"</w:t>
            </w:r>
            <w:r w:rsidR="0001598E">
              <w:rPr>
                <w:rFonts w:asciiTheme="minorHAnsi" w:eastAsia="Times New Roman" w:hAnsiTheme="minorHAnsi" w:cstheme="minorBidi"/>
                <w:lang w:eastAsia="en-GB"/>
              </w:rPr>
              <w:t>;</w:t>
            </w:r>
            <w:r w:rsidRPr="00770FD9">
              <w:rPr>
                <w:rFonts w:asciiTheme="minorHAnsi" w:eastAsia="Times New Roman" w:hAnsiTheme="minorHAnsi" w:cstheme="minorBidi"/>
                <w:lang w:eastAsia="en-GB"/>
              </w:rPr>
              <w:t>"transplant</w:t>
            </w:r>
            <w:proofErr w:type="spellEnd"/>
            <w:r w:rsidRPr="00770FD9">
              <w:rPr>
                <w:rFonts w:asciiTheme="minorHAnsi" w:eastAsia="Times New Roman" w:hAnsiTheme="minorHAnsi" w:cstheme="minorBidi"/>
                <w:lang w:eastAsia="en-GB"/>
              </w:rPr>
              <w:t>" and "mHealth"</w:t>
            </w:r>
          </w:p>
        </w:tc>
        <w:tc>
          <w:tcPr>
            <w:tcW w:w="3365" w:type="dxa"/>
            <w:noWrap/>
            <w:hideMark/>
          </w:tcPr>
          <w:p w14:paraId="22C820A2" w14:textId="77777777" w:rsidR="00C83DC8" w:rsidRPr="00770FD9" w:rsidRDefault="00C83DC8" w:rsidP="006178AB">
            <w:pPr>
              <w:spacing w:line="360"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Duplicates</w:t>
            </w:r>
          </w:p>
        </w:tc>
      </w:tr>
      <w:tr w:rsidR="00C83DC8" w:rsidRPr="00DC60F9" w14:paraId="7ABB7792" w14:textId="77777777" w:rsidTr="008210C0">
        <w:trPr>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64BE4AAB" w14:textId="5038F82A" w:rsidR="00C83DC8" w:rsidRPr="00770FD9" w:rsidRDefault="00C83DC8" w:rsidP="006178AB">
            <w:pPr>
              <w:spacing w:line="360" w:lineRule="auto"/>
              <w:rPr>
                <w:rFonts w:asciiTheme="minorHAnsi" w:eastAsia="Times New Roman" w:hAnsiTheme="minorHAnsi" w:cstheme="minorBidi"/>
                <w:lang w:eastAsia="en-GB"/>
              </w:rPr>
            </w:pPr>
          </w:p>
        </w:tc>
        <w:tc>
          <w:tcPr>
            <w:tcW w:w="3365" w:type="dxa"/>
            <w:noWrap/>
            <w:hideMark/>
          </w:tcPr>
          <w:p w14:paraId="73435FB4" w14:textId="77777777" w:rsidR="00C83DC8" w:rsidRPr="00770FD9" w:rsidRDefault="00C83DC8" w:rsidP="006178AB">
            <w:pPr>
              <w:spacing w:line="360"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Non-English Articles</w:t>
            </w:r>
          </w:p>
        </w:tc>
      </w:tr>
      <w:tr w:rsidR="00C83DC8" w:rsidRPr="00DC60F9" w14:paraId="297F4CDB" w14:textId="77777777" w:rsidTr="008210C0">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04E70D8F" w14:textId="2AA4B8EC" w:rsidR="00C83DC8" w:rsidRPr="00770FD9" w:rsidRDefault="00C83DC8" w:rsidP="006178AB">
            <w:pPr>
              <w:spacing w:line="360" w:lineRule="auto"/>
              <w:rPr>
                <w:rFonts w:asciiTheme="minorHAnsi" w:eastAsia="Times New Roman" w:hAnsiTheme="minorHAnsi" w:cstheme="minorBidi"/>
                <w:lang w:eastAsia="en-GB"/>
              </w:rPr>
            </w:pPr>
          </w:p>
        </w:tc>
        <w:tc>
          <w:tcPr>
            <w:tcW w:w="3365" w:type="dxa"/>
            <w:noWrap/>
            <w:hideMark/>
          </w:tcPr>
          <w:p w14:paraId="2EFFE19F" w14:textId="77777777" w:rsidR="00C83DC8" w:rsidRPr="00770FD9" w:rsidRDefault="00C83DC8" w:rsidP="006178AB">
            <w:pPr>
              <w:spacing w:line="360"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Not Journal Articles</w:t>
            </w:r>
          </w:p>
        </w:tc>
      </w:tr>
      <w:tr w:rsidR="00C83DC8" w:rsidRPr="00DC60F9" w14:paraId="2888401D" w14:textId="77777777" w:rsidTr="008210C0">
        <w:trPr>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13B43AF6" w14:textId="1C2B05BC" w:rsidR="00C83DC8" w:rsidRPr="00770FD9" w:rsidRDefault="00C83DC8" w:rsidP="006178AB">
            <w:pPr>
              <w:spacing w:line="360" w:lineRule="auto"/>
              <w:rPr>
                <w:rFonts w:asciiTheme="minorHAnsi" w:eastAsia="Times New Roman" w:hAnsiTheme="minorHAnsi" w:cstheme="minorBidi"/>
                <w:lang w:eastAsia="en-GB"/>
              </w:rPr>
            </w:pPr>
          </w:p>
        </w:tc>
        <w:tc>
          <w:tcPr>
            <w:tcW w:w="3365" w:type="dxa"/>
            <w:noWrap/>
            <w:hideMark/>
          </w:tcPr>
          <w:p w14:paraId="0446BB33" w14:textId="77777777" w:rsidR="00C83DC8" w:rsidRPr="00770FD9" w:rsidRDefault="00C83DC8" w:rsidP="006178AB">
            <w:pPr>
              <w:spacing w:line="360"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Articles older than 2018</w:t>
            </w:r>
          </w:p>
        </w:tc>
      </w:tr>
      <w:tr w:rsidR="00C83DC8" w:rsidRPr="00DC60F9" w14:paraId="7AB593F6" w14:textId="77777777" w:rsidTr="008210C0">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0E104EF0" w14:textId="05346E5B" w:rsidR="00C83DC8" w:rsidRPr="00770FD9" w:rsidRDefault="00C83DC8" w:rsidP="006178AB">
            <w:pPr>
              <w:spacing w:line="360" w:lineRule="auto"/>
              <w:rPr>
                <w:rFonts w:asciiTheme="minorHAnsi" w:eastAsia="Times New Roman" w:hAnsiTheme="minorHAnsi" w:cstheme="minorBidi"/>
                <w:lang w:eastAsia="en-GB"/>
              </w:rPr>
            </w:pPr>
          </w:p>
        </w:tc>
        <w:tc>
          <w:tcPr>
            <w:tcW w:w="3365" w:type="dxa"/>
            <w:noWrap/>
            <w:hideMark/>
          </w:tcPr>
          <w:p w14:paraId="22B0FBB8" w14:textId="77777777" w:rsidR="00C83DC8" w:rsidRPr="00770FD9" w:rsidRDefault="00C83DC8" w:rsidP="006178AB">
            <w:pPr>
              <w:spacing w:line="360"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Full Text not available</w:t>
            </w:r>
          </w:p>
        </w:tc>
      </w:tr>
      <w:tr w:rsidR="00C83DC8" w:rsidRPr="00DC60F9" w14:paraId="4EE59901" w14:textId="77777777" w:rsidTr="008210C0">
        <w:trPr>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22FA4792" w14:textId="40180067" w:rsidR="00C83DC8" w:rsidRPr="00770FD9" w:rsidRDefault="00C83DC8" w:rsidP="006178AB">
            <w:pPr>
              <w:spacing w:line="360" w:lineRule="auto"/>
              <w:rPr>
                <w:rFonts w:asciiTheme="minorHAnsi" w:eastAsia="Times New Roman" w:hAnsiTheme="minorHAnsi" w:cstheme="minorBidi"/>
                <w:lang w:eastAsia="en-GB"/>
              </w:rPr>
            </w:pPr>
          </w:p>
        </w:tc>
        <w:tc>
          <w:tcPr>
            <w:tcW w:w="3365" w:type="dxa"/>
            <w:noWrap/>
            <w:hideMark/>
          </w:tcPr>
          <w:p w14:paraId="7698619C" w14:textId="77777777" w:rsidR="00C83DC8" w:rsidRPr="00770FD9" w:rsidRDefault="00C83DC8" w:rsidP="006178AB">
            <w:pPr>
              <w:spacing w:line="360"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Not Peer Reviewed</w:t>
            </w:r>
          </w:p>
        </w:tc>
      </w:tr>
      <w:tr w:rsidR="00C83DC8" w:rsidRPr="00DC60F9" w14:paraId="0D3FF3CC" w14:textId="77777777" w:rsidTr="008210C0">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592B9474" w14:textId="77777777" w:rsidR="00C83DC8" w:rsidRPr="00770FD9" w:rsidRDefault="00C83DC8" w:rsidP="00DC60F9">
            <w:pPr>
              <w:spacing w:line="360" w:lineRule="auto"/>
              <w:jc w:val="both"/>
              <w:rPr>
                <w:rFonts w:asciiTheme="minorHAnsi" w:eastAsia="Times New Roman" w:hAnsiTheme="minorHAnsi" w:cstheme="minorBidi"/>
                <w:lang w:eastAsia="en-GB"/>
              </w:rPr>
            </w:pPr>
          </w:p>
        </w:tc>
        <w:tc>
          <w:tcPr>
            <w:tcW w:w="3365" w:type="dxa"/>
            <w:noWrap/>
            <w:hideMark/>
          </w:tcPr>
          <w:p w14:paraId="77EAFEDA" w14:textId="77777777" w:rsidR="00C83DC8" w:rsidRPr="00770FD9" w:rsidRDefault="00C83DC8" w:rsidP="006178AB">
            <w:pPr>
              <w:spacing w:line="360"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Search Terms not found in Abstract</w:t>
            </w:r>
          </w:p>
        </w:tc>
      </w:tr>
      <w:tr w:rsidR="00C83DC8" w:rsidRPr="00DC60F9" w14:paraId="23E712F9" w14:textId="77777777" w:rsidTr="008210C0">
        <w:trPr>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6978A3A9" w14:textId="77777777" w:rsidR="00C83DC8" w:rsidRPr="00770FD9" w:rsidRDefault="00C83DC8" w:rsidP="00DC60F9">
            <w:pPr>
              <w:spacing w:line="360" w:lineRule="auto"/>
              <w:jc w:val="both"/>
              <w:rPr>
                <w:rFonts w:asciiTheme="minorHAnsi" w:eastAsia="Times New Roman" w:hAnsiTheme="minorHAnsi" w:cstheme="minorBidi"/>
                <w:lang w:eastAsia="en-GB"/>
              </w:rPr>
            </w:pPr>
          </w:p>
        </w:tc>
        <w:tc>
          <w:tcPr>
            <w:tcW w:w="3365" w:type="dxa"/>
            <w:noWrap/>
            <w:hideMark/>
          </w:tcPr>
          <w:p w14:paraId="542B8055" w14:textId="77777777" w:rsidR="00C83DC8" w:rsidRPr="00770FD9" w:rsidRDefault="00C83DC8" w:rsidP="006178AB">
            <w:pPr>
              <w:spacing w:line="360"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Articles irrelevant to the topic of this research</w:t>
            </w:r>
          </w:p>
        </w:tc>
      </w:tr>
      <w:tr w:rsidR="00C83DC8" w:rsidRPr="00DC60F9" w14:paraId="4830C321" w14:textId="77777777" w:rsidTr="008210C0">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5245" w:type="dxa"/>
            <w:vMerge/>
            <w:noWrap/>
            <w:hideMark/>
          </w:tcPr>
          <w:p w14:paraId="72CFA8FB" w14:textId="77777777" w:rsidR="00C83DC8" w:rsidRPr="00770FD9" w:rsidRDefault="00C83DC8" w:rsidP="00DC60F9">
            <w:pPr>
              <w:spacing w:line="360" w:lineRule="auto"/>
              <w:jc w:val="both"/>
              <w:rPr>
                <w:rFonts w:asciiTheme="minorHAnsi" w:eastAsia="Times New Roman" w:hAnsiTheme="minorHAnsi" w:cstheme="minorBidi"/>
                <w:lang w:eastAsia="en-GB"/>
              </w:rPr>
            </w:pPr>
          </w:p>
        </w:tc>
        <w:tc>
          <w:tcPr>
            <w:tcW w:w="3365" w:type="dxa"/>
            <w:noWrap/>
            <w:hideMark/>
          </w:tcPr>
          <w:p w14:paraId="23928CD0" w14:textId="77777777" w:rsidR="00C83DC8" w:rsidRPr="00770FD9" w:rsidRDefault="00C83DC8" w:rsidP="006178AB">
            <w:pPr>
              <w:spacing w:line="360"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lang w:eastAsia="en-GB"/>
              </w:rPr>
            </w:pPr>
            <w:r w:rsidRPr="00770FD9">
              <w:rPr>
                <w:rFonts w:asciiTheme="minorHAnsi" w:eastAsia="Times New Roman" w:hAnsiTheme="minorHAnsi" w:cstheme="minorBidi"/>
                <w:lang w:eastAsia="en-GB"/>
              </w:rPr>
              <w:t>Not an empirical study</w:t>
            </w:r>
          </w:p>
        </w:tc>
      </w:tr>
    </w:tbl>
    <w:p w14:paraId="0AB66AF3" w14:textId="77777777" w:rsidR="008210C0" w:rsidRDefault="008210C0" w:rsidP="26F64964">
      <w:pPr>
        <w:spacing w:line="360" w:lineRule="auto"/>
        <w:jc w:val="both"/>
        <w:rPr>
          <w:rFonts w:asciiTheme="minorHAnsi" w:eastAsia="Times New Roman" w:hAnsiTheme="minorHAnsi" w:cstheme="minorBidi"/>
          <w:color w:val="212121"/>
          <w:lang w:eastAsia="en-GB"/>
        </w:rPr>
      </w:pPr>
    </w:p>
    <w:p w14:paraId="78D61124" w14:textId="53AC0E88" w:rsidR="00F63F23" w:rsidRPr="00F656D2" w:rsidRDefault="00F63F23" w:rsidP="26F64964">
      <w:pPr>
        <w:spacing w:line="360" w:lineRule="auto"/>
        <w:jc w:val="both"/>
        <w:rPr>
          <w:rFonts w:asciiTheme="minorHAnsi" w:eastAsia="Times New Roman" w:hAnsiTheme="minorHAnsi" w:cstheme="minorBidi"/>
          <w:color w:val="212121"/>
          <w:lang w:val="en-GB" w:eastAsia="en-GB"/>
        </w:rPr>
      </w:pPr>
      <w:r w:rsidRPr="26F64964">
        <w:rPr>
          <w:rFonts w:asciiTheme="minorHAnsi" w:eastAsia="Times New Roman" w:hAnsiTheme="minorHAnsi" w:cstheme="minorBidi"/>
          <w:color w:val="212121"/>
          <w:lang w:eastAsia="en-GB"/>
        </w:rPr>
        <w:t xml:space="preserve">With the </w:t>
      </w:r>
      <w:r w:rsidRPr="26F64964">
        <w:rPr>
          <w:rFonts w:asciiTheme="minorHAnsi" w:eastAsia="Times New Roman" w:hAnsiTheme="minorHAnsi" w:cstheme="minorBidi"/>
          <w:color w:val="212121"/>
          <w:highlight w:val="white"/>
          <w:lang w:eastAsia="en-GB"/>
        </w:rPr>
        <w:t>final list of</w:t>
      </w:r>
      <w:r w:rsidRPr="26F64964">
        <w:rPr>
          <w:rFonts w:asciiTheme="minorHAnsi" w:eastAsia="Times New Roman" w:hAnsiTheme="minorHAnsi" w:cstheme="minorBidi"/>
          <w:color w:val="212121"/>
          <w:lang w:eastAsia="en-GB"/>
        </w:rPr>
        <w:t xml:space="preserve"> 5</w:t>
      </w:r>
      <w:r w:rsidR="00D30D96" w:rsidRPr="26F64964">
        <w:rPr>
          <w:rFonts w:asciiTheme="minorHAnsi" w:eastAsia="Times New Roman" w:hAnsiTheme="minorHAnsi" w:cstheme="minorBidi"/>
          <w:color w:val="212121"/>
          <w:lang w:eastAsia="en-GB"/>
        </w:rPr>
        <w:t>5</w:t>
      </w:r>
      <w:r w:rsidRPr="26F64964">
        <w:rPr>
          <w:rFonts w:asciiTheme="minorHAnsi" w:eastAsia="Times New Roman" w:hAnsiTheme="minorHAnsi" w:cstheme="minorBidi"/>
          <w:color w:val="212121"/>
          <w:lang w:eastAsia="en-GB"/>
        </w:rPr>
        <w:t xml:space="preserve"> </w:t>
      </w:r>
      <w:r w:rsidRPr="26F64964">
        <w:rPr>
          <w:rFonts w:asciiTheme="minorHAnsi" w:eastAsia="Times New Roman" w:hAnsiTheme="minorHAnsi" w:cstheme="minorBidi"/>
          <w:color w:val="212121"/>
          <w:highlight w:val="white"/>
          <w:lang w:eastAsia="en-GB"/>
        </w:rPr>
        <w:t>articles to be included in this</w:t>
      </w:r>
      <w:r w:rsidRPr="26F64964">
        <w:rPr>
          <w:rFonts w:asciiTheme="minorHAnsi" w:eastAsia="Times New Roman" w:hAnsiTheme="minorHAnsi" w:cstheme="minorBidi"/>
          <w:color w:val="212121"/>
          <w:lang w:eastAsia="en-GB"/>
        </w:rPr>
        <w:t xml:space="preserve"> systematic literature review, </w:t>
      </w:r>
      <w:r w:rsidRPr="26F64964">
        <w:rPr>
          <w:rFonts w:asciiTheme="minorHAnsi" w:eastAsia="Times New Roman" w:hAnsiTheme="minorHAnsi" w:cstheme="minorBidi"/>
          <w:color w:val="212121"/>
          <w:highlight w:val="white"/>
          <w:lang w:eastAsia="en-GB"/>
        </w:rPr>
        <w:t>thematic analysis was used to</w:t>
      </w:r>
      <w:r w:rsidRPr="26F64964">
        <w:rPr>
          <w:rFonts w:asciiTheme="minorHAnsi" w:eastAsia="Times New Roman" w:hAnsiTheme="minorHAnsi" w:cstheme="minorBidi"/>
          <w:color w:val="212121"/>
          <w:lang w:eastAsia="en-GB"/>
        </w:rPr>
        <w:t xml:space="preserve"> </w:t>
      </w:r>
      <w:r w:rsidR="009D4035" w:rsidRPr="26F64964">
        <w:rPr>
          <w:rFonts w:asciiTheme="minorHAnsi" w:eastAsia="Times New Roman" w:hAnsiTheme="minorHAnsi" w:cstheme="minorBidi"/>
          <w:color w:val="212121"/>
          <w:lang w:eastAsia="en-GB"/>
        </w:rPr>
        <w:t xml:space="preserve">synthesize </w:t>
      </w:r>
      <w:r w:rsidRPr="26F64964">
        <w:rPr>
          <w:rFonts w:asciiTheme="minorHAnsi" w:eastAsia="Times New Roman" w:hAnsiTheme="minorHAnsi" w:cstheme="minorBidi"/>
          <w:color w:val="212121"/>
          <w:highlight w:val="white"/>
          <w:lang w:eastAsia="en-GB"/>
        </w:rPr>
        <w:t xml:space="preserve">the data. </w:t>
      </w:r>
      <w:r w:rsidRPr="26F64964">
        <w:rPr>
          <w:rFonts w:asciiTheme="minorHAnsi" w:eastAsia="Times New Roman" w:hAnsiTheme="minorHAnsi" w:cstheme="minorBidi"/>
          <w:color w:val="212121"/>
          <w:highlight w:val="white"/>
          <w:lang w:val="en-GB" w:eastAsia="en-GB"/>
        </w:rPr>
        <w:t>Thematic analysis</w:t>
      </w:r>
      <w:r w:rsidRPr="26F64964">
        <w:rPr>
          <w:rFonts w:asciiTheme="minorHAnsi" w:eastAsia="Times New Roman" w:hAnsiTheme="minorHAnsi" w:cstheme="minorBidi"/>
          <w:color w:val="212121"/>
          <w:lang w:val="en-GB" w:eastAsia="en-GB"/>
        </w:rPr>
        <w:t xml:space="preserve"> has several benefits that allow for an effective way for a researcher to process large amounts of data and turn them into digestible summaries for easier interpretation. The use of thematic analysis methodology provides a descriptive approach to </w:t>
      </w:r>
      <w:proofErr w:type="spellStart"/>
      <w:r w:rsidR="009D4035" w:rsidRPr="26F64964">
        <w:rPr>
          <w:rFonts w:asciiTheme="minorHAnsi" w:eastAsia="Times New Roman" w:hAnsiTheme="minorHAnsi" w:cstheme="minorBidi"/>
          <w:color w:val="212121"/>
          <w:lang w:val="en-GB" w:eastAsia="en-GB"/>
        </w:rPr>
        <w:t>analyzing</w:t>
      </w:r>
      <w:proofErr w:type="spellEnd"/>
      <w:r w:rsidR="009D4035" w:rsidRPr="26F64964">
        <w:rPr>
          <w:rFonts w:asciiTheme="minorHAnsi" w:eastAsia="Times New Roman" w:hAnsiTheme="minorHAnsi" w:cstheme="minorBidi"/>
          <w:color w:val="212121"/>
          <w:lang w:val="en-GB" w:eastAsia="en-GB"/>
        </w:rPr>
        <w:t xml:space="preserve"> </w:t>
      </w:r>
      <w:r w:rsidRPr="26F64964">
        <w:rPr>
          <w:rFonts w:asciiTheme="minorHAnsi" w:eastAsia="Times New Roman" w:hAnsiTheme="minorHAnsi" w:cstheme="minorBidi"/>
          <w:color w:val="212121"/>
          <w:lang w:val="en-GB" w:eastAsia="en-GB"/>
        </w:rPr>
        <w:t xml:space="preserve">informational contexts of large amounts of textual data </w:t>
      </w:r>
      <w:r w:rsidRPr="26F64964">
        <w:rPr>
          <w:rFonts w:asciiTheme="minorHAnsi" w:eastAsia="Times New Roman" w:hAnsiTheme="minorHAnsi" w:cstheme="minorBidi"/>
          <w:color w:val="212121"/>
          <w:lang w:val="en-US" w:eastAsia="en-GB"/>
        </w:rPr>
        <w:t>(Braun &amp; Clarke, 2012)</w:t>
      </w:r>
      <w:r w:rsidRPr="26F64964">
        <w:rPr>
          <w:rFonts w:asciiTheme="minorHAnsi" w:eastAsia="Times New Roman" w:hAnsiTheme="minorHAnsi" w:cstheme="minorBidi"/>
          <w:color w:val="212121"/>
          <w:lang w:val="en-GB" w:eastAsia="en-GB"/>
        </w:rPr>
        <w:t xml:space="preserve">. Thematic analysis helps </w:t>
      </w:r>
      <w:r w:rsidRPr="26F64964">
        <w:rPr>
          <w:rFonts w:asciiTheme="minorHAnsi" w:eastAsia="Times New Roman" w:hAnsiTheme="minorHAnsi" w:cstheme="minorBidi"/>
          <w:color w:val="212121"/>
          <w:highlight w:val="white"/>
          <w:lang w:val="en-GB" w:eastAsia="en-GB"/>
        </w:rPr>
        <w:t xml:space="preserve">to </w:t>
      </w:r>
      <w:r w:rsidRPr="00053C73">
        <w:rPr>
          <w:rFonts w:asciiTheme="minorHAnsi" w:eastAsia="Times New Roman" w:hAnsiTheme="minorHAnsi" w:cstheme="minorBidi"/>
          <w:color w:val="212121"/>
          <w:lang w:val="en-GB" w:eastAsia="en-GB"/>
        </w:rPr>
        <w:t xml:space="preserve">identify, </w:t>
      </w:r>
      <w:proofErr w:type="spellStart"/>
      <w:r w:rsidR="009D4035" w:rsidRPr="00053C73">
        <w:rPr>
          <w:rFonts w:asciiTheme="minorHAnsi" w:eastAsia="Times New Roman" w:hAnsiTheme="minorHAnsi" w:cstheme="minorBidi"/>
          <w:color w:val="212121"/>
          <w:lang w:val="en-GB" w:eastAsia="en-GB"/>
        </w:rPr>
        <w:t>analyze</w:t>
      </w:r>
      <w:proofErr w:type="spellEnd"/>
      <w:r w:rsidRPr="00053C73">
        <w:rPr>
          <w:rFonts w:asciiTheme="minorHAnsi" w:eastAsia="Times New Roman" w:hAnsiTheme="minorHAnsi" w:cstheme="minorBidi"/>
          <w:color w:val="212121"/>
          <w:lang w:val="en-GB" w:eastAsia="en-GB"/>
        </w:rPr>
        <w:t xml:space="preserve">, and report patterns </w:t>
      </w:r>
      <w:r w:rsidRPr="26F64964">
        <w:rPr>
          <w:rFonts w:asciiTheme="minorHAnsi" w:eastAsia="Times New Roman" w:hAnsiTheme="minorHAnsi" w:cstheme="minorBidi"/>
          <w:color w:val="212121"/>
          <w:highlight w:val="white"/>
          <w:lang w:val="en-GB" w:eastAsia="en-GB"/>
        </w:rPr>
        <w:t>within</w:t>
      </w:r>
      <w:r w:rsidRPr="26F64964">
        <w:rPr>
          <w:rFonts w:asciiTheme="minorHAnsi" w:eastAsia="Times New Roman" w:hAnsiTheme="minorHAnsi" w:cstheme="minorBidi"/>
          <w:color w:val="212121"/>
          <w:lang w:val="en-GB" w:eastAsia="en-GB"/>
        </w:rPr>
        <w:t xml:space="preserve"> each literature </w:t>
      </w:r>
      <w:r w:rsidRPr="26F64964">
        <w:rPr>
          <w:rFonts w:asciiTheme="minorHAnsi" w:eastAsia="Times New Roman" w:hAnsiTheme="minorHAnsi" w:cstheme="minorBidi"/>
          <w:color w:val="212121"/>
          <w:lang w:val="en-US" w:eastAsia="en-GB"/>
        </w:rPr>
        <w:t>(</w:t>
      </w:r>
      <w:proofErr w:type="spellStart"/>
      <w:r w:rsidRPr="26F64964">
        <w:rPr>
          <w:rFonts w:asciiTheme="minorHAnsi" w:eastAsia="Times New Roman" w:hAnsiTheme="minorHAnsi" w:cstheme="minorBidi"/>
          <w:color w:val="212121"/>
          <w:highlight w:val="white"/>
          <w:lang w:val="en-US" w:eastAsia="en-GB"/>
        </w:rPr>
        <w:t>Vaismoradi</w:t>
      </w:r>
      <w:proofErr w:type="spellEnd"/>
      <w:r w:rsidRPr="26F64964">
        <w:rPr>
          <w:rFonts w:asciiTheme="minorHAnsi" w:eastAsia="Times New Roman" w:hAnsiTheme="minorHAnsi" w:cstheme="minorBidi"/>
          <w:color w:val="212121"/>
          <w:highlight w:val="white"/>
          <w:lang w:val="en-US" w:eastAsia="en-GB"/>
        </w:rPr>
        <w:t xml:space="preserve">, Turunen, &amp; </w:t>
      </w:r>
      <w:proofErr w:type="spellStart"/>
      <w:r w:rsidRPr="26F64964">
        <w:rPr>
          <w:rFonts w:asciiTheme="minorHAnsi" w:eastAsia="Times New Roman" w:hAnsiTheme="minorHAnsi" w:cstheme="minorBidi"/>
          <w:color w:val="212121"/>
          <w:highlight w:val="white"/>
          <w:lang w:val="en-US" w:eastAsia="en-GB"/>
        </w:rPr>
        <w:t>Bondas</w:t>
      </w:r>
      <w:proofErr w:type="spellEnd"/>
      <w:r w:rsidRPr="26F64964">
        <w:rPr>
          <w:rFonts w:asciiTheme="minorHAnsi" w:eastAsia="Times New Roman" w:hAnsiTheme="minorHAnsi" w:cstheme="minorBidi"/>
          <w:color w:val="212121"/>
          <w:highlight w:val="white"/>
          <w:lang w:val="en-US" w:eastAsia="en-GB"/>
        </w:rPr>
        <w:t>, 2013)</w:t>
      </w:r>
      <w:r w:rsidRPr="26F64964">
        <w:rPr>
          <w:rFonts w:asciiTheme="minorHAnsi" w:eastAsia="Times New Roman" w:hAnsiTheme="minorHAnsi" w:cstheme="minorBidi"/>
          <w:color w:val="212121"/>
          <w:highlight w:val="white"/>
          <w:lang w:val="en-GB" w:eastAsia="en-GB"/>
        </w:rPr>
        <w:t>.</w:t>
      </w:r>
    </w:p>
    <w:p w14:paraId="475C78CE" w14:textId="34CE9249" w:rsidR="00F63F23" w:rsidRPr="00F656D2" w:rsidRDefault="00F63F23" w:rsidP="00F63F23">
      <w:pPr>
        <w:spacing w:line="360" w:lineRule="auto"/>
        <w:jc w:val="both"/>
        <w:rPr>
          <w:rFonts w:asciiTheme="minorHAnsi" w:eastAsia="Times New Roman" w:hAnsiTheme="minorHAnsi" w:cstheme="minorHAnsi"/>
          <w:color w:val="212121"/>
          <w:lang w:eastAsia="en-GB"/>
        </w:rPr>
      </w:pPr>
      <w:r w:rsidRPr="00F656D2">
        <w:rPr>
          <w:rFonts w:asciiTheme="minorHAnsi" w:eastAsia="Times New Roman" w:hAnsiTheme="minorHAnsi" w:cstheme="minorHAnsi"/>
          <w:color w:val="212121"/>
          <w:lang w:val="en-GB" w:eastAsia="en-GB"/>
        </w:rPr>
        <w:t>The process of thematic analysis went as follows</w:t>
      </w:r>
      <w:r w:rsidR="009D4035">
        <w:rPr>
          <w:rFonts w:asciiTheme="minorHAnsi" w:eastAsia="Times New Roman" w:hAnsiTheme="minorHAnsi" w:cstheme="minorHAnsi"/>
          <w:color w:val="212121"/>
          <w:lang w:val="en-GB" w:eastAsia="en-GB"/>
        </w:rPr>
        <w:t>:</w:t>
      </w:r>
      <w:r w:rsidR="009D4035" w:rsidRPr="00F656D2">
        <w:rPr>
          <w:rFonts w:asciiTheme="minorHAnsi" w:eastAsia="Times New Roman" w:hAnsiTheme="minorHAnsi" w:cstheme="minorHAnsi"/>
          <w:color w:val="212121"/>
          <w:lang w:val="en-GB" w:eastAsia="en-GB"/>
        </w:rPr>
        <w:t xml:space="preserve"> </w:t>
      </w:r>
      <w:r w:rsidRPr="00F656D2">
        <w:rPr>
          <w:rFonts w:asciiTheme="minorHAnsi" w:eastAsia="Times New Roman" w:hAnsiTheme="minorHAnsi" w:cstheme="minorHAnsi"/>
          <w:color w:val="212121"/>
          <w:lang w:val="en-GB" w:eastAsia="en-GB"/>
        </w:rPr>
        <w:t xml:space="preserve">the first step was familiarizing myself with the textual data. So, with the </w:t>
      </w:r>
      <w:r w:rsidR="009D4035" w:rsidRPr="00F656D2">
        <w:rPr>
          <w:rFonts w:asciiTheme="minorHAnsi" w:eastAsia="Times New Roman" w:hAnsiTheme="minorHAnsi" w:cstheme="minorHAnsi"/>
          <w:color w:val="212121"/>
          <w:lang w:val="en-GB" w:eastAsia="en-GB"/>
        </w:rPr>
        <w:t>finali</w:t>
      </w:r>
      <w:r w:rsidR="009D4035">
        <w:rPr>
          <w:rFonts w:asciiTheme="minorHAnsi" w:eastAsia="Times New Roman" w:hAnsiTheme="minorHAnsi" w:cstheme="minorHAnsi"/>
          <w:color w:val="212121"/>
          <w:lang w:val="en-GB" w:eastAsia="en-GB"/>
        </w:rPr>
        <w:t>z</w:t>
      </w:r>
      <w:r w:rsidR="009D4035" w:rsidRPr="00F656D2">
        <w:rPr>
          <w:rFonts w:asciiTheme="minorHAnsi" w:eastAsia="Times New Roman" w:hAnsiTheme="minorHAnsi" w:cstheme="minorHAnsi"/>
          <w:color w:val="212121"/>
          <w:lang w:val="en-GB" w:eastAsia="en-GB"/>
        </w:rPr>
        <w:t xml:space="preserve">ed </w:t>
      </w:r>
      <w:r w:rsidRPr="00F656D2">
        <w:rPr>
          <w:rFonts w:asciiTheme="minorHAnsi" w:eastAsia="Times New Roman" w:hAnsiTheme="minorHAnsi" w:cstheme="minorHAnsi"/>
          <w:color w:val="212121"/>
          <w:lang w:val="en-GB" w:eastAsia="en-GB"/>
        </w:rPr>
        <w:t xml:space="preserve">list of articles, I thoroughly read through each piece of literature. The second step was identifying and defining coding categories of the data. Using Microsoft Excel, I highlighted words, phrases, patterns and interesting information. The characteristics of the selected studies were identified based on the </w:t>
      </w:r>
      <w:r w:rsidR="00EB7CF4">
        <w:rPr>
          <w:rFonts w:asciiTheme="minorHAnsi" w:eastAsia="Times New Roman" w:hAnsiTheme="minorHAnsi" w:cstheme="minorHAnsi"/>
          <w:color w:val="212121"/>
          <w:lang w:val="en-GB" w:eastAsia="en-GB"/>
        </w:rPr>
        <w:t>methodology</w:t>
      </w:r>
      <w:r w:rsidR="000065FA" w:rsidRPr="00F656D2">
        <w:rPr>
          <w:rFonts w:asciiTheme="minorHAnsi" w:eastAsia="Times New Roman" w:hAnsiTheme="minorHAnsi" w:cstheme="minorHAnsi"/>
          <w:color w:val="212121"/>
          <w:lang w:val="en-GB" w:eastAsia="en-GB"/>
        </w:rPr>
        <w:t>, applied</w:t>
      </w:r>
      <w:r w:rsidRPr="00F656D2">
        <w:rPr>
          <w:rFonts w:asciiTheme="minorHAnsi" w:eastAsia="Times New Roman" w:hAnsiTheme="minorHAnsi" w:cstheme="minorHAnsi"/>
          <w:color w:val="212121"/>
          <w:lang w:val="en-GB" w:eastAsia="en-GB"/>
        </w:rPr>
        <w:t xml:space="preserve"> theory/framework/model, investigated variables/factors, type of transplant, perspectives of the studies or studied participants (e.g., providers/patients/caregivers/families of patients), type of studied health technology, number of participants, country of study, and main findings of the study. We used a systematic approach to extract information from each eligible article. </w:t>
      </w:r>
      <w:r w:rsidRPr="00F656D2">
        <w:rPr>
          <w:rFonts w:asciiTheme="minorHAnsi" w:eastAsia="Times New Roman" w:hAnsiTheme="minorHAnsi" w:cstheme="minorHAnsi"/>
          <w:color w:val="212121"/>
          <w:lang w:eastAsia="en-GB"/>
        </w:rPr>
        <w:t xml:space="preserve">Appendix A outlines an overview of the current state of knowledge in relation to the use of eHealth in transplant. </w:t>
      </w:r>
    </w:p>
    <w:p w14:paraId="4C62A3B2" w14:textId="77777777" w:rsidR="00FC1947" w:rsidRPr="000D387B" w:rsidRDefault="00FC1947" w:rsidP="000D387B">
      <w:pPr>
        <w:spacing w:line="360" w:lineRule="auto"/>
        <w:jc w:val="both"/>
        <w:rPr>
          <w:rFonts w:ascii="Calibri" w:eastAsia="Times New Roman" w:hAnsi="Calibri" w:cs="Calibri"/>
          <w:color w:val="212121"/>
          <w:lang w:val="en-GB" w:eastAsia="en-GB"/>
        </w:rPr>
      </w:pPr>
    </w:p>
    <w:p w14:paraId="647A8AB8" w14:textId="77777777" w:rsidR="00BC54DA" w:rsidRDefault="00BC54DA" w:rsidP="00734E32">
      <w:pPr>
        <w:jc w:val="both"/>
        <w:rPr>
          <w:rFonts w:eastAsia="Times New Roman"/>
          <w:lang w:eastAsia="en-GB"/>
        </w:rPr>
        <w:sectPr w:rsidR="00BC54DA" w:rsidSect="001124D5">
          <w:footerReference w:type="even" r:id="rId10"/>
          <w:footerReference w:type="default" r:id="rId11"/>
          <w:pgSz w:w="11906" w:h="16838"/>
          <w:pgMar w:top="1134" w:right="1134" w:bottom="1134" w:left="2268" w:header="709" w:footer="709" w:gutter="0"/>
          <w:cols w:space="708"/>
          <w:titlePg/>
          <w:docGrid w:linePitch="360"/>
        </w:sectPr>
      </w:pPr>
    </w:p>
    <w:p w14:paraId="36991649" w14:textId="09130AE6" w:rsidR="00596A18" w:rsidRPr="00596A18" w:rsidRDefault="00AF4D76" w:rsidP="00DC2BD6">
      <w:pPr>
        <w:pStyle w:val="Heading1"/>
        <w:rPr>
          <w:rFonts w:eastAsia="Times New Roman"/>
          <w:lang w:eastAsia="en-GB"/>
        </w:rPr>
      </w:pPr>
      <w:bookmarkStart w:id="16" w:name="_Toc166853985"/>
      <w:r>
        <w:rPr>
          <w:rFonts w:eastAsia="Times New Roman"/>
          <w:lang w:eastAsia="en-GB"/>
        </w:rPr>
        <w:lastRenderedPageBreak/>
        <w:t>Chapter 4: Findings</w:t>
      </w:r>
      <w:bookmarkEnd w:id="16"/>
    </w:p>
    <w:p w14:paraId="74D60BE9" w14:textId="3C3EC990" w:rsidR="00735F64" w:rsidRPr="00361E72" w:rsidRDefault="00A86623" w:rsidP="26F64964">
      <w:pPr>
        <w:spacing w:line="360" w:lineRule="auto"/>
        <w:jc w:val="both"/>
        <w:rPr>
          <w:rFonts w:asciiTheme="minorHAnsi" w:hAnsiTheme="minorHAnsi" w:cstheme="minorBidi"/>
          <w:sz w:val="24"/>
          <w:szCs w:val="24"/>
          <w:lang w:val="en-US"/>
        </w:rPr>
      </w:pPr>
      <w:r w:rsidRPr="26F64964">
        <w:rPr>
          <w:rFonts w:asciiTheme="minorHAnsi" w:eastAsia="Times New Roman" w:hAnsiTheme="minorHAnsi" w:cstheme="minorBidi"/>
          <w:color w:val="212121"/>
          <w:lang w:val="en-US" w:eastAsia="en-GB"/>
        </w:rPr>
        <w:t xml:space="preserve">Following the thematic analysis process outlined in the methodology section, this </w:t>
      </w:r>
      <w:r w:rsidRPr="26F64964">
        <w:rPr>
          <w:rFonts w:asciiTheme="minorHAnsi" w:eastAsia="Times New Roman" w:hAnsiTheme="minorHAnsi" w:cstheme="minorBidi"/>
          <w:color w:val="212121"/>
          <w:highlight w:val="white"/>
          <w:lang w:val="en-US" w:eastAsia="en-GB"/>
        </w:rPr>
        <w:t>chapter will</w:t>
      </w:r>
      <w:r w:rsidRPr="26F64964">
        <w:rPr>
          <w:rFonts w:asciiTheme="minorHAnsi" w:eastAsia="Times New Roman" w:hAnsiTheme="minorHAnsi" w:cstheme="minorBidi"/>
          <w:color w:val="212121"/>
          <w:lang w:val="en-US" w:eastAsia="en-GB"/>
        </w:rPr>
        <w:t xml:space="preserve"> discuss </w:t>
      </w:r>
      <w:r w:rsidRPr="26F64964">
        <w:rPr>
          <w:rFonts w:asciiTheme="minorHAnsi" w:eastAsia="Times New Roman" w:hAnsiTheme="minorHAnsi" w:cstheme="minorBidi"/>
          <w:color w:val="212121"/>
          <w:highlight w:val="white"/>
          <w:lang w:val="en-US" w:eastAsia="en-GB"/>
        </w:rPr>
        <w:t>the findings and</w:t>
      </w:r>
      <w:r w:rsidRPr="26F64964">
        <w:rPr>
          <w:rFonts w:asciiTheme="minorHAnsi" w:eastAsia="Times New Roman" w:hAnsiTheme="minorHAnsi" w:cstheme="minorBidi"/>
          <w:color w:val="212121"/>
          <w:lang w:val="en-US" w:eastAsia="en-GB"/>
        </w:rPr>
        <w:t xml:space="preserve"> a synthesized analysis of the </w:t>
      </w:r>
      <w:r w:rsidR="00E815BA" w:rsidRPr="26F64964">
        <w:rPr>
          <w:rFonts w:asciiTheme="minorHAnsi" w:eastAsia="Times New Roman" w:hAnsiTheme="minorHAnsi" w:cstheme="minorBidi"/>
          <w:color w:val="212121"/>
          <w:lang w:val="en-US" w:eastAsia="en-GB"/>
        </w:rPr>
        <w:t>s</w:t>
      </w:r>
      <w:r w:rsidR="00520C36" w:rsidRPr="26F64964">
        <w:rPr>
          <w:rFonts w:asciiTheme="minorHAnsi" w:eastAsia="Times New Roman" w:hAnsiTheme="minorHAnsi" w:cstheme="minorBidi"/>
          <w:color w:val="212121"/>
          <w:lang w:val="en-US" w:eastAsia="en-GB"/>
        </w:rPr>
        <w:t>elected</w:t>
      </w:r>
      <w:r w:rsidR="00E815BA" w:rsidRPr="26F64964">
        <w:rPr>
          <w:rFonts w:asciiTheme="minorHAnsi" w:eastAsia="Times New Roman" w:hAnsiTheme="minorHAnsi" w:cstheme="minorBidi"/>
          <w:color w:val="212121"/>
          <w:lang w:val="en-US" w:eastAsia="en-GB"/>
        </w:rPr>
        <w:t xml:space="preserve"> </w:t>
      </w:r>
      <w:r w:rsidRPr="26F64964">
        <w:rPr>
          <w:rFonts w:asciiTheme="minorHAnsi" w:eastAsia="Times New Roman" w:hAnsiTheme="minorHAnsi" w:cstheme="minorBidi"/>
          <w:color w:val="212121"/>
          <w:lang w:val="en-US" w:eastAsia="en-GB"/>
        </w:rPr>
        <w:t xml:space="preserve">articles, that will </w:t>
      </w:r>
      <w:r w:rsidRPr="26F64964">
        <w:rPr>
          <w:rFonts w:asciiTheme="minorHAnsi" w:eastAsia="Times New Roman" w:hAnsiTheme="minorHAnsi" w:cstheme="minorBidi"/>
          <w:color w:val="212121"/>
          <w:highlight w:val="white"/>
          <w:lang w:val="en-US" w:eastAsia="en-GB"/>
        </w:rPr>
        <w:t>answer the research question "What are the</w:t>
      </w:r>
      <w:r w:rsidRPr="26F64964">
        <w:rPr>
          <w:rFonts w:asciiTheme="minorHAnsi" w:eastAsia="Times New Roman" w:hAnsiTheme="minorHAnsi" w:cstheme="minorBidi"/>
          <w:color w:val="212121"/>
          <w:lang w:val="en-US" w:eastAsia="en-GB"/>
        </w:rPr>
        <w:t xml:space="preserve"> major benefits and challenges of using eHealth for transplant purposes?".</w:t>
      </w:r>
      <w:r w:rsidR="00870E10" w:rsidRPr="26F64964">
        <w:rPr>
          <w:rFonts w:asciiTheme="minorHAnsi" w:hAnsiTheme="minorHAnsi" w:cstheme="minorBidi"/>
          <w:lang w:val="en-US"/>
        </w:rPr>
        <w:t xml:space="preserve"> </w:t>
      </w:r>
      <w:r w:rsidR="002C1786" w:rsidRPr="26F64964">
        <w:rPr>
          <w:rFonts w:asciiTheme="minorHAnsi" w:hAnsiTheme="minorHAnsi" w:cstheme="minorBidi"/>
          <w:highlight w:val="white"/>
          <w:lang w:val="en-US"/>
        </w:rPr>
        <w:t>In this chapter, we first provide</w:t>
      </w:r>
      <w:r w:rsidR="002C1786" w:rsidRPr="26F64964">
        <w:rPr>
          <w:rFonts w:asciiTheme="minorHAnsi" w:hAnsiTheme="minorHAnsi" w:cstheme="minorBidi"/>
          <w:lang w:val="en-US"/>
        </w:rPr>
        <w:t xml:space="preserve"> a descriptive overview of the </w:t>
      </w:r>
      <w:r w:rsidR="005F4E11" w:rsidRPr="26F64964">
        <w:rPr>
          <w:rFonts w:asciiTheme="minorHAnsi" w:hAnsiTheme="minorHAnsi" w:cstheme="minorBidi"/>
          <w:lang w:val="en-US"/>
        </w:rPr>
        <w:t>studies analyzed in this SLR. Then we propose a</w:t>
      </w:r>
      <w:r w:rsidR="00405C4D" w:rsidRPr="26F64964">
        <w:rPr>
          <w:rFonts w:asciiTheme="minorHAnsi" w:hAnsiTheme="minorHAnsi" w:cstheme="minorBidi"/>
          <w:lang w:val="en-US"/>
        </w:rPr>
        <w:t xml:space="preserve"> conceptual framework</w:t>
      </w:r>
      <w:r w:rsidR="00051973" w:rsidRPr="26F64964">
        <w:rPr>
          <w:rFonts w:asciiTheme="minorHAnsi" w:hAnsiTheme="minorHAnsi" w:cstheme="minorBidi"/>
          <w:lang w:val="en-US"/>
        </w:rPr>
        <w:t xml:space="preserve">, </w:t>
      </w:r>
      <w:r w:rsidR="009D4035" w:rsidRPr="26F64964">
        <w:rPr>
          <w:rFonts w:asciiTheme="minorHAnsi" w:hAnsiTheme="minorHAnsi" w:cstheme="minorBidi"/>
          <w:lang w:val="en-US"/>
        </w:rPr>
        <w:t xml:space="preserve">that </w:t>
      </w:r>
      <w:r w:rsidR="006479C9" w:rsidRPr="26F64964">
        <w:rPr>
          <w:rFonts w:asciiTheme="minorHAnsi" w:hAnsiTheme="minorHAnsi" w:cstheme="minorBidi"/>
          <w:lang w:val="en-US"/>
        </w:rPr>
        <w:t>is</w:t>
      </w:r>
      <w:r w:rsidR="00405C4D" w:rsidRPr="26F64964">
        <w:rPr>
          <w:rFonts w:asciiTheme="minorHAnsi" w:hAnsiTheme="minorHAnsi" w:cstheme="minorBidi"/>
          <w:lang w:val="en-US"/>
        </w:rPr>
        <w:t xml:space="preserve"> de</w:t>
      </w:r>
      <w:r w:rsidR="00051973" w:rsidRPr="26F64964">
        <w:rPr>
          <w:rFonts w:asciiTheme="minorHAnsi" w:hAnsiTheme="minorHAnsi" w:cstheme="minorBidi"/>
          <w:lang w:val="en-US"/>
        </w:rPr>
        <w:t>rived from</w:t>
      </w:r>
      <w:r w:rsidR="006479C9" w:rsidRPr="26F64964">
        <w:rPr>
          <w:rFonts w:asciiTheme="minorHAnsi" w:hAnsiTheme="minorHAnsi" w:cstheme="minorBidi"/>
          <w:lang w:val="en-US"/>
        </w:rPr>
        <w:t xml:space="preserve"> </w:t>
      </w:r>
      <w:r w:rsidR="00562954" w:rsidRPr="26F64964">
        <w:rPr>
          <w:rFonts w:asciiTheme="minorHAnsi" w:hAnsiTheme="minorHAnsi" w:cstheme="minorBidi"/>
          <w:lang w:val="en-US"/>
        </w:rPr>
        <w:t xml:space="preserve">the emerged themes </w:t>
      </w:r>
      <w:r w:rsidR="00C12D2C" w:rsidRPr="26F64964">
        <w:rPr>
          <w:rFonts w:asciiTheme="minorHAnsi" w:hAnsiTheme="minorHAnsi" w:cstheme="minorBidi"/>
          <w:lang w:val="en-US"/>
        </w:rPr>
        <w:t xml:space="preserve">of this </w:t>
      </w:r>
      <w:r w:rsidR="006479C9" w:rsidRPr="26F64964">
        <w:rPr>
          <w:rFonts w:asciiTheme="minorHAnsi" w:hAnsiTheme="minorHAnsi" w:cstheme="minorBidi"/>
          <w:lang w:val="en-US"/>
        </w:rPr>
        <w:t xml:space="preserve">SLR </w:t>
      </w:r>
      <w:r w:rsidR="00C12D2C" w:rsidRPr="26F64964">
        <w:rPr>
          <w:rFonts w:asciiTheme="minorHAnsi" w:hAnsiTheme="minorHAnsi" w:cstheme="minorBidi"/>
          <w:lang w:val="en-US"/>
        </w:rPr>
        <w:t>study</w:t>
      </w:r>
      <w:r w:rsidR="00405C4D" w:rsidRPr="26F64964">
        <w:rPr>
          <w:rFonts w:asciiTheme="minorHAnsi" w:hAnsiTheme="minorHAnsi" w:cstheme="minorBidi"/>
          <w:lang w:val="en-US"/>
        </w:rPr>
        <w:t xml:space="preserve">. </w:t>
      </w:r>
    </w:p>
    <w:p w14:paraId="71D14D73" w14:textId="1AC733FC" w:rsidR="00361E72" w:rsidRDefault="00361E72" w:rsidP="00361E72">
      <w:pPr>
        <w:pStyle w:val="Heading2"/>
        <w:jc w:val="left"/>
        <w:rPr>
          <w:rFonts w:eastAsia="Times New Roman"/>
          <w:lang w:eastAsia="en-GB"/>
        </w:rPr>
      </w:pPr>
      <w:bookmarkStart w:id="17" w:name="_Toc166853986"/>
      <w:r w:rsidRPr="003B6A82">
        <w:rPr>
          <w:rFonts w:eastAsia="Times New Roman"/>
          <w:lang w:eastAsia="en-GB"/>
        </w:rPr>
        <w:t xml:space="preserve">4.1 </w:t>
      </w:r>
      <w:r>
        <w:rPr>
          <w:rFonts w:eastAsia="Times New Roman"/>
          <w:lang w:eastAsia="en-GB"/>
        </w:rPr>
        <w:t>Descriptive Overview</w:t>
      </w:r>
      <w:bookmarkEnd w:id="17"/>
    </w:p>
    <w:p w14:paraId="05951836" w14:textId="35DF8EFD" w:rsidR="00361E72" w:rsidRPr="003B6A82" w:rsidRDefault="00361E72" w:rsidP="26F64964">
      <w:pPr>
        <w:spacing w:line="360" w:lineRule="auto"/>
        <w:jc w:val="both"/>
        <w:rPr>
          <w:rFonts w:asciiTheme="minorHAnsi" w:eastAsia="Times New Roman" w:hAnsiTheme="minorHAnsi" w:cstheme="minorBidi"/>
          <w:color w:val="7030A0"/>
          <w:lang w:eastAsia="en-GB"/>
        </w:rPr>
      </w:pPr>
      <w:r w:rsidRPr="26F64964">
        <w:rPr>
          <w:rFonts w:asciiTheme="minorHAnsi" w:eastAsia="Times New Roman" w:hAnsiTheme="minorHAnsi" w:cstheme="minorBidi"/>
          <w:lang w:eastAsia="en-GB"/>
        </w:rPr>
        <w:t xml:space="preserve">In this section, </w:t>
      </w:r>
      <w:r w:rsidR="003C6744" w:rsidRPr="26F64964">
        <w:rPr>
          <w:rFonts w:asciiTheme="minorHAnsi" w:eastAsia="Times New Roman" w:hAnsiTheme="minorHAnsi" w:cstheme="minorBidi"/>
          <w:lang w:eastAsia="en-GB"/>
        </w:rPr>
        <w:t>w</w:t>
      </w:r>
      <w:r w:rsidRPr="26F64964">
        <w:rPr>
          <w:rFonts w:asciiTheme="minorHAnsi" w:eastAsia="Times New Roman" w:hAnsiTheme="minorHAnsi" w:cstheme="minorBidi"/>
          <w:lang w:eastAsia="en-GB"/>
        </w:rPr>
        <w:t xml:space="preserve">e begin by describing the key attributes of the articles we collected. Out of </w:t>
      </w:r>
      <w:r w:rsidR="003C6744" w:rsidRPr="26F64964">
        <w:rPr>
          <w:rFonts w:asciiTheme="minorHAnsi" w:eastAsia="Times New Roman" w:hAnsiTheme="minorHAnsi" w:cstheme="minorBidi"/>
          <w:lang w:eastAsia="en-GB"/>
        </w:rPr>
        <w:t>5</w:t>
      </w:r>
      <w:r w:rsidR="004218FB" w:rsidRPr="26F64964">
        <w:rPr>
          <w:rFonts w:asciiTheme="minorHAnsi" w:eastAsia="Times New Roman" w:hAnsiTheme="minorHAnsi" w:cstheme="minorBidi"/>
          <w:lang w:eastAsia="en-GB"/>
        </w:rPr>
        <w:t>5</w:t>
      </w:r>
      <w:r w:rsidRPr="26F64964">
        <w:rPr>
          <w:rFonts w:asciiTheme="minorHAnsi" w:eastAsia="Times New Roman" w:hAnsiTheme="minorHAnsi" w:cstheme="minorBidi"/>
          <w:lang w:eastAsia="en-GB"/>
        </w:rPr>
        <w:t xml:space="preserve"> studies, </w:t>
      </w:r>
      <w:r w:rsidR="00D51031" w:rsidRPr="26F64964">
        <w:rPr>
          <w:rFonts w:asciiTheme="minorHAnsi" w:eastAsia="Times New Roman" w:hAnsiTheme="minorHAnsi" w:cstheme="minorBidi"/>
          <w:lang w:eastAsia="en-GB"/>
        </w:rPr>
        <w:t>36</w:t>
      </w:r>
      <w:r w:rsidRPr="26F64964">
        <w:rPr>
          <w:rFonts w:asciiTheme="minorHAnsi" w:eastAsia="Times New Roman" w:hAnsiTheme="minorHAnsi" w:cstheme="minorBidi"/>
          <w:lang w:eastAsia="en-GB"/>
        </w:rPr>
        <w:t xml:space="preserve"> (</w:t>
      </w:r>
      <w:r w:rsidR="00866086" w:rsidRPr="26F64964">
        <w:rPr>
          <w:rFonts w:asciiTheme="minorHAnsi" w:eastAsia="Times New Roman" w:hAnsiTheme="minorHAnsi" w:cstheme="minorBidi"/>
          <w:lang w:eastAsia="en-GB"/>
        </w:rPr>
        <w:t>65</w:t>
      </w:r>
      <w:r w:rsidRPr="26F64964">
        <w:rPr>
          <w:rFonts w:asciiTheme="minorHAnsi" w:eastAsia="Times New Roman" w:hAnsiTheme="minorHAnsi" w:cstheme="minorBidi"/>
          <w:lang w:eastAsia="en-GB"/>
        </w:rPr>
        <w:t xml:space="preserve">%) of them used quantitative methods, </w:t>
      </w:r>
      <w:r w:rsidR="00866086" w:rsidRPr="26F64964">
        <w:rPr>
          <w:rFonts w:asciiTheme="minorHAnsi" w:eastAsia="Times New Roman" w:hAnsiTheme="minorHAnsi" w:cstheme="minorBidi"/>
          <w:lang w:eastAsia="en-GB"/>
        </w:rPr>
        <w:t>9</w:t>
      </w:r>
      <w:r w:rsidRPr="26F64964">
        <w:rPr>
          <w:rFonts w:asciiTheme="minorHAnsi" w:eastAsia="Times New Roman" w:hAnsiTheme="minorHAnsi" w:cstheme="minorBidi"/>
          <w:lang w:eastAsia="en-GB"/>
        </w:rPr>
        <w:t xml:space="preserve"> (</w:t>
      </w:r>
      <w:r w:rsidR="00866086" w:rsidRPr="26F64964">
        <w:rPr>
          <w:rFonts w:asciiTheme="minorHAnsi" w:eastAsia="Times New Roman" w:hAnsiTheme="minorHAnsi" w:cstheme="minorBidi"/>
          <w:lang w:eastAsia="en-GB"/>
        </w:rPr>
        <w:t>16</w:t>
      </w:r>
      <w:r w:rsidRPr="26F64964">
        <w:rPr>
          <w:rFonts w:asciiTheme="minorHAnsi" w:eastAsia="Times New Roman" w:hAnsiTheme="minorHAnsi" w:cstheme="minorBidi"/>
          <w:lang w:eastAsia="en-GB"/>
        </w:rPr>
        <w:t xml:space="preserve">%) studies used qualitative methods, and </w:t>
      </w:r>
      <w:r w:rsidR="00866086" w:rsidRPr="26F64964">
        <w:rPr>
          <w:rFonts w:asciiTheme="minorHAnsi" w:eastAsia="Times New Roman" w:hAnsiTheme="minorHAnsi" w:cstheme="minorBidi"/>
          <w:lang w:eastAsia="en-GB"/>
        </w:rPr>
        <w:t>10</w:t>
      </w:r>
      <w:r w:rsidRPr="26F64964">
        <w:rPr>
          <w:rFonts w:asciiTheme="minorHAnsi" w:eastAsia="Times New Roman" w:hAnsiTheme="minorHAnsi" w:cstheme="minorBidi"/>
          <w:lang w:eastAsia="en-GB"/>
        </w:rPr>
        <w:t xml:space="preserve"> (</w:t>
      </w:r>
      <w:r w:rsidR="008877CD" w:rsidRPr="26F64964">
        <w:rPr>
          <w:rFonts w:asciiTheme="minorHAnsi" w:eastAsia="Times New Roman" w:hAnsiTheme="minorHAnsi" w:cstheme="minorBidi"/>
          <w:lang w:eastAsia="en-GB"/>
        </w:rPr>
        <w:t>18</w:t>
      </w:r>
      <w:r w:rsidRPr="26F64964">
        <w:rPr>
          <w:rFonts w:asciiTheme="minorHAnsi" w:eastAsia="Times New Roman" w:hAnsiTheme="minorHAnsi" w:cstheme="minorBidi"/>
          <w:lang w:eastAsia="en-GB"/>
        </w:rPr>
        <w:t>%) applied mixed methods</w:t>
      </w:r>
      <w:r w:rsidR="00D71EE2" w:rsidRPr="26F64964">
        <w:rPr>
          <w:rFonts w:asciiTheme="minorHAnsi" w:eastAsia="Times New Roman" w:hAnsiTheme="minorHAnsi" w:cstheme="minorBidi"/>
          <w:lang w:eastAsia="en-GB"/>
        </w:rPr>
        <w:t xml:space="preserve"> approach</w:t>
      </w:r>
      <w:r w:rsidRPr="26F64964">
        <w:rPr>
          <w:rFonts w:asciiTheme="minorHAnsi" w:eastAsia="Times New Roman" w:hAnsiTheme="minorHAnsi" w:cstheme="minorBidi"/>
          <w:lang w:eastAsia="en-GB"/>
        </w:rPr>
        <w:t xml:space="preserve">. In terms of the </w:t>
      </w:r>
      <w:r w:rsidR="008877CD" w:rsidRPr="26F64964">
        <w:rPr>
          <w:rFonts w:asciiTheme="minorHAnsi" w:eastAsia="Times New Roman" w:hAnsiTheme="minorHAnsi" w:cstheme="minorBidi"/>
          <w:lang w:eastAsia="en-GB"/>
        </w:rPr>
        <w:t>transplant</w:t>
      </w:r>
      <w:r w:rsidRPr="26F64964">
        <w:rPr>
          <w:rFonts w:asciiTheme="minorHAnsi" w:eastAsia="Times New Roman" w:hAnsiTheme="minorHAnsi" w:cstheme="minorBidi"/>
          <w:lang w:eastAsia="en-GB"/>
        </w:rPr>
        <w:t xml:space="preserve"> context, </w:t>
      </w:r>
      <w:r w:rsidR="0015756C" w:rsidRPr="26F64964">
        <w:rPr>
          <w:rFonts w:asciiTheme="minorHAnsi" w:eastAsia="Times New Roman" w:hAnsiTheme="minorHAnsi" w:cstheme="minorBidi"/>
          <w:lang w:eastAsia="en-GB"/>
        </w:rPr>
        <w:t>15</w:t>
      </w:r>
      <w:r w:rsidRPr="26F64964">
        <w:rPr>
          <w:rFonts w:asciiTheme="minorHAnsi" w:eastAsia="Times New Roman" w:hAnsiTheme="minorHAnsi" w:cstheme="minorBidi"/>
          <w:lang w:eastAsia="en-GB"/>
        </w:rPr>
        <w:t xml:space="preserve"> (</w:t>
      </w:r>
      <w:r w:rsidR="0015756C" w:rsidRPr="26F64964">
        <w:rPr>
          <w:rFonts w:asciiTheme="minorHAnsi" w:eastAsia="Times New Roman" w:hAnsiTheme="minorHAnsi" w:cstheme="minorBidi"/>
          <w:lang w:eastAsia="en-GB"/>
        </w:rPr>
        <w:t>27</w:t>
      </w:r>
      <w:r w:rsidRPr="26F64964">
        <w:rPr>
          <w:rFonts w:asciiTheme="minorHAnsi" w:eastAsia="Times New Roman" w:hAnsiTheme="minorHAnsi" w:cstheme="minorBidi"/>
          <w:lang w:eastAsia="en-GB"/>
        </w:rPr>
        <w:t xml:space="preserve">%) studies </w:t>
      </w:r>
      <w:r w:rsidR="00826B70" w:rsidRPr="26F64964">
        <w:rPr>
          <w:rFonts w:asciiTheme="minorHAnsi" w:eastAsia="Times New Roman" w:hAnsiTheme="minorHAnsi" w:cstheme="minorBidi"/>
          <w:lang w:eastAsia="en-GB"/>
        </w:rPr>
        <w:t>covered</w:t>
      </w:r>
      <w:r w:rsidR="00837F31" w:rsidRPr="26F64964">
        <w:rPr>
          <w:rFonts w:asciiTheme="minorHAnsi" w:eastAsia="Times New Roman" w:hAnsiTheme="minorHAnsi" w:cstheme="minorBidi"/>
          <w:lang w:eastAsia="en-GB"/>
        </w:rPr>
        <w:t xml:space="preserve"> the use of digital tools</w:t>
      </w:r>
      <w:r w:rsidRPr="26F64964">
        <w:rPr>
          <w:rFonts w:asciiTheme="minorHAnsi" w:eastAsia="Times New Roman" w:hAnsiTheme="minorHAnsi" w:cstheme="minorBidi"/>
          <w:lang w:eastAsia="en-GB"/>
        </w:rPr>
        <w:t xml:space="preserve">; </w:t>
      </w:r>
      <w:r w:rsidR="00826B70" w:rsidRPr="26F64964">
        <w:rPr>
          <w:rFonts w:asciiTheme="minorHAnsi" w:eastAsia="Times New Roman" w:hAnsiTheme="minorHAnsi" w:cstheme="minorBidi"/>
          <w:lang w:eastAsia="en-GB"/>
        </w:rPr>
        <w:t>16</w:t>
      </w:r>
      <w:r w:rsidRPr="26F64964">
        <w:rPr>
          <w:rFonts w:asciiTheme="minorHAnsi" w:eastAsia="Times New Roman" w:hAnsiTheme="minorHAnsi" w:cstheme="minorBidi"/>
          <w:lang w:eastAsia="en-GB"/>
        </w:rPr>
        <w:t xml:space="preserve"> (</w:t>
      </w:r>
      <w:r w:rsidR="00826B70" w:rsidRPr="26F64964">
        <w:rPr>
          <w:rFonts w:asciiTheme="minorHAnsi" w:eastAsia="Times New Roman" w:hAnsiTheme="minorHAnsi" w:cstheme="minorBidi"/>
          <w:lang w:eastAsia="en-GB"/>
        </w:rPr>
        <w:t>29</w:t>
      </w:r>
      <w:r w:rsidRPr="26F64964">
        <w:rPr>
          <w:rFonts w:asciiTheme="minorHAnsi" w:eastAsia="Times New Roman" w:hAnsiTheme="minorHAnsi" w:cstheme="minorBidi"/>
          <w:lang w:eastAsia="en-GB"/>
        </w:rPr>
        <w:t xml:space="preserve">%) of them studied </w:t>
      </w:r>
      <w:r w:rsidRPr="26F64964">
        <w:rPr>
          <w:rFonts w:asciiTheme="minorHAnsi" w:eastAsia="Times New Roman" w:hAnsiTheme="minorHAnsi" w:cstheme="minorBidi"/>
          <w:highlight w:val="white"/>
          <w:lang w:eastAsia="en-GB"/>
        </w:rPr>
        <w:t>the role of digital health tools in</w:t>
      </w:r>
      <w:r w:rsidRPr="26F64964">
        <w:rPr>
          <w:rFonts w:asciiTheme="minorHAnsi" w:eastAsia="Times New Roman" w:hAnsiTheme="minorHAnsi" w:cstheme="minorBidi"/>
          <w:lang w:eastAsia="en-GB"/>
        </w:rPr>
        <w:t xml:space="preserve"> kidney transplant; </w:t>
      </w:r>
      <w:r w:rsidR="00837F31" w:rsidRPr="26F64964">
        <w:rPr>
          <w:rFonts w:asciiTheme="minorHAnsi" w:eastAsia="Times New Roman" w:hAnsiTheme="minorHAnsi" w:cstheme="minorBidi"/>
          <w:lang w:eastAsia="en-GB"/>
        </w:rPr>
        <w:t>6</w:t>
      </w:r>
      <w:r w:rsidRPr="26F64964">
        <w:rPr>
          <w:rFonts w:asciiTheme="minorHAnsi" w:eastAsia="Times New Roman" w:hAnsiTheme="minorHAnsi" w:cstheme="minorBidi"/>
          <w:lang w:eastAsia="en-GB"/>
        </w:rPr>
        <w:t xml:space="preserve"> (</w:t>
      </w:r>
      <w:r w:rsidR="00837F31" w:rsidRPr="26F64964">
        <w:rPr>
          <w:rFonts w:asciiTheme="minorHAnsi" w:eastAsia="Times New Roman" w:hAnsiTheme="minorHAnsi" w:cstheme="minorBidi"/>
          <w:lang w:eastAsia="en-GB"/>
        </w:rPr>
        <w:t>11</w:t>
      </w:r>
      <w:r w:rsidRPr="26F64964">
        <w:rPr>
          <w:rFonts w:asciiTheme="minorHAnsi" w:eastAsia="Times New Roman" w:hAnsiTheme="minorHAnsi" w:cstheme="minorBidi"/>
          <w:lang w:eastAsia="en-GB"/>
        </w:rPr>
        <w:t>%) studies investigated</w:t>
      </w:r>
      <w:r w:rsidR="00D102EF" w:rsidRPr="26F64964">
        <w:rPr>
          <w:rFonts w:asciiTheme="minorHAnsi" w:eastAsia="Times New Roman" w:hAnsiTheme="minorHAnsi" w:cstheme="minorBidi"/>
          <w:lang w:eastAsia="en-GB"/>
        </w:rPr>
        <w:t xml:space="preserve"> the role of digital health tools f</w:t>
      </w:r>
      <w:r w:rsidRPr="26F64964">
        <w:rPr>
          <w:rFonts w:asciiTheme="minorHAnsi" w:eastAsia="Times New Roman" w:hAnsiTheme="minorHAnsi" w:cstheme="minorBidi"/>
          <w:lang w:eastAsia="en-GB"/>
        </w:rPr>
        <w:t>or heart transplant</w:t>
      </w:r>
      <w:r w:rsidR="00D102EF" w:rsidRPr="26F64964">
        <w:rPr>
          <w:rFonts w:asciiTheme="minorHAnsi" w:eastAsia="Times New Roman" w:hAnsiTheme="minorHAnsi" w:cstheme="minorBidi"/>
          <w:lang w:eastAsia="en-GB"/>
        </w:rPr>
        <w:t>s</w:t>
      </w:r>
      <w:r w:rsidRPr="26F64964">
        <w:rPr>
          <w:rFonts w:asciiTheme="minorHAnsi" w:eastAsia="Times New Roman" w:hAnsiTheme="minorHAnsi" w:cstheme="minorBidi"/>
          <w:lang w:eastAsia="en-GB"/>
        </w:rPr>
        <w:t>. Most studies</w:t>
      </w:r>
      <w:r w:rsidR="00825ED0" w:rsidRPr="26F64964">
        <w:rPr>
          <w:rFonts w:asciiTheme="minorHAnsi" w:eastAsia="Times New Roman" w:hAnsiTheme="minorHAnsi" w:cstheme="minorBidi"/>
          <w:lang w:eastAsia="en-GB"/>
        </w:rPr>
        <w:t xml:space="preserve"> 3</w:t>
      </w:r>
      <w:r w:rsidR="008F06E4" w:rsidRPr="26F64964">
        <w:rPr>
          <w:rFonts w:asciiTheme="minorHAnsi" w:eastAsia="Times New Roman" w:hAnsiTheme="minorHAnsi" w:cstheme="minorBidi"/>
          <w:lang w:eastAsia="en-GB"/>
        </w:rPr>
        <w:t>8</w:t>
      </w:r>
      <w:r w:rsidRPr="26F64964">
        <w:rPr>
          <w:rFonts w:asciiTheme="minorHAnsi" w:eastAsia="Times New Roman" w:hAnsiTheme="minorHAnsi" w:cstheme="minorBidi"/>
          <w:lang w:eastAsia="en-GB"/>
        </w:rPr>
        <w:t xml:space="preserve"> (</w:t>
      </w:r>
      <w:r w:rsidR="0048777E" w:rsidRPr="26F64964">
        <w:rPr>
          <w:rFonts w:asciiTheme="minorHAnsi" w:eastAsia="Times New Roman" w:hAnsiTheme="minorHAnsi" w:cstheme="minorBidi"/>
          <w:lang w:eastAsia="en-GB"/>
        </w:rPr>
        <w:t>6</w:t>
      </w:r>
      <w:r w:rsidR="008F06E4" w:rsidRPr="26F64964">
        <w:rPr>
          <w:rFonts w:asciiTheme="minorHAnsi" w:eastAsia="Times New Roman" w:hAnsiTheme="minorHAnsi" w:cstheme="minorBidi"/>
          <w:lang w:eastAsia="en-GB"/>
        </w:rPr>
        <w:t>9</w:t>
      </w:r>
      <w:r w:rsidRPr="26F64964">
        <w:rPr>
          <w:rFonts w:asciiTheme="minorHAnsi" w:eastAsia="Times New Roman" w:hAnsiTheme="minorHAnsi" w:cstheme="minorBidi"/>
          <w:lang w:eastAsia="en-GB"/>
        </w:rPr>
        <w:t xml:space="preserve">%) have been conducted in America; </w:t>
      </w:r>
      <w:r w:rsidR="001B4940" w:rsidRPr="26F64964">
        <w:rPr>
          <w:rFonts w:asciiTheme="minorHAnsi" w:eastAsia="Times New Roman" w:hAnsiTheme="minorHAnsi" w:cstheme="minorBidi"/>
          <w:lang w:eastAsia="en-GB"/>
        </w:rPr>
        <w:t>9</w:t>
      </w:r>
      <w:r w:rsidRPr="26F64964">
        <w:rPr>
          <w:rFonts w:asciiTheme="minorHAnsi" w:eastAsia="Times New Roman" w:hAnsiTheme="minorHAnsi" w:cstheme="minorBidi"/>
          <w:lang w:eastAsia="en-GB"/>
        </w:rPr>
        <w:t xml:space="preserve"> (1</w:t>
      </w:r>
      <w:r w:rsidR="00FD5640" w:rsidRPr="26F64964">
        <w:rPr>
          <w:rFonts w:asciiTheme="minorHAnsi" w:eastAsia="Times New Roman" w:hAnsiTheme="minorHAnsi" w:cstheme="minorBidi"/>
          <w:lang w:eastAsia="en-GB"/>
        </w:rPr>
        <w:t>6</w:t>
      </w:r>
      <w:r w:rsidRPr="26F64964">
        <w:rPr>
          <w:rFonts w:asciiTheme="minorHAnsi" w:eastAsia="Times New Roman" w:hAnsiTheme="minorHAnsi" w:cstheme="minorBidi"/>
          <w:lang w:eastAsia="en-GB"/>
        </w:rPr>
        <w:t xml:space="preserve">%) studies in Europe; </w:t>
      </w:r>
      <w:r w:rsidR="00FD5640" w:rsidRPr="26F64964">
        <w:rPr>
          <w:rFonts w:asciiTheme="minorHAnsi" w:eastAsia="Times New Roman" w:hAnsiTheme="minorHAnsi" w:cstheme="minorBidi"/>
          <w:lang w:eastAsia="en-GB"/>
        </w:rPr>
        <w:t>7</w:t>
      </w:r>
      <w:r w:rsidRPr="26F64964">
        <w:rPr>
          <w:rFonts w:asciiTheme="minorHAnsi" w:eastAsia="Times New Roman" w:hAnsiTheme="minorHAnsi" w:cstheme="minorBidi"/>
          <w:lang w:eastAsia="en-GB"/>
        </w:rPr>
        <w:t xml:space="preserve"> (</w:t>
      </w:r>
      <w:r w:rsidR="00FD5640" w:rsidRPr="26F64964">
        <w:rPr>
          <w:rFonts w:asciiTheme="minorHAnsi" w:eastAsia="Times New Roman" w:hAnsiTheme="minorHAnsi" w:cstheme="minorBidi"/>
          <w:lang w:eastAsia="en-GB"/>
        </w:rPr>
        <w:t>13</w:t>
      </w:r>
      <w:r w:rsidRPr="26F64964">
        <w:rPr>
          <w:rFonts w:asciiTheme="minorHAnsi" w:eastAsia="Times New Roman" w:hAnsiTheme="minorHAnsi" w:cstheme="minorBidi"/>
          <w:lang w:eastAsia="en-GB"/>
        </w:rPr>
        <w:t xml:space="preserve">%) of them in Asia-Pacific; </w:t>
      </w:r>
      <w:r w:rsidR="00260C69" w:rsidRPr="26F64964">
        <w:rPr>
          <w:rFonts w:asciiTheme="minorHAnsi" w:eastAsia="Times New Roman" w:hAnsiTheme="minorHAnsi" w:cstheme="minorBidi"/>
          <w:lang w:eastAsia="en-GB"/>
        </w:rPr>
        <w:t xml:space="preserve">only </w:t>
      </w:r>
      <w:r w:rsidR="00677B50" w:rsidRPr="26F64964">
        <w:rPr>
          <w:rFonts w:asciiTheme="minorHAnsi" w:eastAsia="Times New Roman" w:hAnsiTheme="minorHAnsi" w:cstheme="minorBidi"/>
          <w:lang w:eastAsia="en-GB"/>
        </w:rPr>
        <w:t xml:space="preserve">1 (2%) study in </w:t>
      </w:r>
      <w:r w:rsidR="000A126A" w:rsidRPr="26F64964">
        <w:rPr>
          <w:rFonts w:asciiTheme="minorHAnsi" w:eastAsia="Times New Roman" w:hAnsiTheme="minorHAnsi" w:cstheme="minorBidi"/>
          <w:lang w:eastAsia="en-GB"/>
        </w:rPr>
        <w:t xml:space="preserve">the </w:t>
      </w:r>
      <w:r w:rsidR="00260C69" w:rsidRPr="26F64964">
        <w:rPr>
          <w:rFonts w:asciiTheme="minorHAnsi" w:eastAsia="Times New Roman" w:hAnsiTheme="minorHAnsi" w:cstheme="minorBidi"/>
          <w:lang w:eastAsia="en-GB"/>
        </w:rPr>
        <w:t>Middle East</w:t>
      </w:r>
      <w:r w:rsidR="00677B50"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lang w:eastAsia="en-GB"/>
        </w:rPr>
        <w:t xml:space="preserve">In terms of participants, </w:t>
      </w:r>
      <w:r w:rsidR="008C782D" w:rsidRPr="26F64964">
        <w:rPr>
          <w:rFonts w:asciiTheme="minorHAnsi" w:eastAsia="Times New Roman" w:hAnsiTheme="minorHAnsi" w:cstheme="minorBidi"/>
          <w:lang w:eastAsia="en-GB"/>
        </w:rPr>
        <w:t>43</w:t>
      </w:r>
      <w:r w:rsidRPr="26F64964">
        <w:rPr>
          <w:rFonts w:asciiTheme="minorHAnsi" w:eastAsia="Times New Roman" w:hAnsiTheme="minorHAnsi" w:cstheme="minorBidi"/>
          <w:lang w:eastAsia="en-GB"/>
        </w:rPr>
        <w:t xml:space="preserve"> (7</w:t>
      </w:r>
      <w:r w:rsidR="008C782D" w:rsidRPr="26F64964">
        <w:rPr>
          <w:rFonts w:asciiTheme="minorHAnsi" w:eastAsia="Times New Roman" w:hAnsiTheme="minorHAnsi" w:cstheme="minorBidi"/>
          <w:lang w:eastAsia="en-GB"/>
        </w:rPr>
        <w:t>8</w:t>
      </w:r>
      <w:r w:rsidRPr="26F64964">
        <w:rPr>
          <w:rFonts w:asciiTheme="minorHAnsi" w:eastAsia="Times New Roman" w:hAnsiTheme="minorHAnsi" w:cstheme="minorBidi"/>
          <w:lang w:eastAsia="en-GB"/>
        </w:rPr>
        <w:t>%) studies were conducted among patients as the users of the digital health devices</w:t>
      </w:r>
      <w:r w:rsidR="00260C69" w:rsidRPr="26F64964">
        <w:rPr>
          <w:rFonts w:asciiTheme="minorHAnsi" w:eastAsia="Times New Roman" w:hAnsiTheme="minorHAnsi" w:cstheme="minorBidi"/>
          <w:lang w:eastAsia="en-GB"/>
        </w:rPr>
        <w:t xml:space="preserve">; </w:t>
      </w:r>
      <w:r w:rsidR="008C782D" w:rsidRPr="26F64964">
        <w:rPr>
          <w:rFonts w:asciiTheme="minorHAnsi" w:eastAsia="Times New Roman" w:hAnsiTheme="minorHAnsi" w:cstheme="minorBidi"/>
          <w:lang w:eastAsia="en-GB"/>
        </w:rPr>
        <w:t>4</w:t>
      </w:r>
      <w:r w:rsidRPr="26F64964">
        <w:rPr>
          <w:rFonts w:asciiTheme="minorHAnsi" w:eastAsia="Times New Roman" w:hAnsiTheme="minorHAnsi" w:cstheme="minorBidi"/>
          <w:lang w:eastAsia="en-GB"/>
        </w:rPr>
        <w:t xml:space="preserve"> (</w:t>
      </w:r>
      <w:r w:rsidR="008C782D" w:rsidRPr="26F64964">
        <w:rPr>
          <w:rFonts w:asciiTheme="minorHAnsi" w:eastAsia="Times New Roman" w:hAnsiTheme="minorHAnsi" w:cstheme="minorBidi"/>
          <w:lang w:eastAsia="en-GB"/>
        </w:rPr>
        <w:t>7</w:t>
      </w:r>
      <w:r w:rsidRPr="26F64964">
        <w:rPr>
          <w:rFonts w:asciiTheme="minorHAnsi" w:eastAsia="Times New Roman" w:hAnsiTheme="minorHAnsi" w:cstheme="minorBidi"/>
          <w:lang w:eastAsia="en-GB"/>
        </w:rPr>
        <w:t xml:space="preserve">%) of them were among family members; </w:t>
      </w:r>
      <w:r w:rsidR="008C782D" w:rsidRPr="26F64964">
        <w:rPr>
          <w:rFonts w:asciiTheme="minorHAnsi" w:eastAsia="Times New Roman" w:hAnsiTheme="minorHAnsi" w:cstheme="minorBidi"/>
          <w:lang w:eastAsia="en-GB"/>
        </w:rPr>
        <w:t>8</w:t>
      </w:r>
      <w:r w:rsidRPr="26F64964">
        <w:rPr>
          <w:rFonts w:asciiTheme="minorHAnsi" w:eastAsia="Times New Roman" w:hAnsiTheme="minorHAnsi" w:cstheme="minorBidi"/>
          <w:lang w:eastAsia="en-GB"/>
        </w:rPr>
        <w:t xml:space="preserve"> (</w:t>
      </w:r>
      <w:r w:rsidR="008C782D" w:rsidRPr="26F64964">
        <w:rPr>
          <w:rFonts w:asciiTheme="minorHAnsi" w:eastAsia="Times New Roman" w:hAnsiTheme="minorHAnsi" w:cstheme="minorBidi"/>
          <w:lang w:eastAsia="en-GB"/>
        </w:rPr>
        <w:t>15</w:t>
      </w:r>
      <w:r w:rsidRPr="26F64964">
        <w:rPr>
          <w:rFonts w:asciiTheme="minorHAnsi" w:eastAsia="Times New Roman" w:hAnsiTheme="minorHAnsi" w:cstheme="minorBidi"/>
          <w:lang w:eastAsia="en-GB"/>
        </w:rPr>
        <w:t>%) of them among care providers</w:t>
      </w:r>
      <w:r w:rsidR="008C782D"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lang w:eastAsia="en-GB"/>
        </w:rPr>
        <w:t xml:space="preserve">Table </w:t>
      </w:r>
      <w:r w:rsidR="009C3509">
        <w:rPr>
          <w:rFonts w:asciiTheme="minorHAnsi" w:eastAsia="Times New Roman" w:hAnsiTheme="minorHAnsi" w:cstheme="minorBidi"/>
          <w:lang w:eastAsia="en-GB"/>
        </w:rPr>
        <w:t>4.</w:t>
      </w:r>
      <w:r w:rsidR="00965EEC" w:rsidRPr="26F64964">
        <w:rPr>
          <w:rFonts w:asciiTheme="minorHAnsi" w:eastAsia="Times New Roman" w:hAnsiTheme="minorHAnsi" w:cstheme="minorBidi"/>
          <w:lang w:eastAsia="en-GB"/>
        </w:rPr>
        <w:t xml:space="preserve">1 </w:t>
      </w:r>
      <w:r w:rsidRPr="26F64964">
        <w:rPr>
          <w:rFonts w:asciiTheme="minorHAnsi" w:eastAsia="Times New Roman" w:hAnsiTheme="minorHAnsi" w:cstheme="minorBidi"/>
          <w:lang w:eastAsia="en-GB"/>
        </w:rPr>
        <w:t>presents these descriptive findings in detail.</w:t>
      </w:r>
      <w:r w:rsidR="00D102EF" w:rsidRPr="26F64964">
        <w:rPr>
          <w:rFonts w:asciiTheme="minorHAnsi" w:eastAsia="Times New Roman" w:hAnsiTheme="minorHAnsi" w:cstheme="minorBidi"/>
          <w:lang w:eastAsia="en-GB"/>
        </w:rPr>
        <w:t xml:space="preserve"> </w:t>
      </w:r>
    </w:p>
    <w:p w14:paraId="3CB33171" w14:textId="77777777" w:rsidR="003D6FE8" w:rsidRDefault="003D6FE8" w:rsidP="00361E72">
      <w:pPr>
        <w:spacing w:line="360" w:lineRule="auto"/>
        <w:jc w:val="both"/>
        <w:rPr>
          <w:rFonts w:asciiTheme="minorHAnsi" w:eastAsia="Times New Roman" w:hAnsiTheme="minorHAnsi" w:cstheme="minorHAnsi"/>
          <w:sz w:val="24"/>
          <w:szCs w:val="24"/>
          <w:lang w:eastAsia="en-GB"/>
        </w:rPr>
      </w:pPr>
    </w:p>
    <w:p w14:paraId="651EAB86" w14:textId="77777777" w:rsidR="003D6FE8" w:rsidRDefault="003D6FE8" w:rsidP="00361E72">
      <w:pPr>
        <w:spacing w:line="360" w:lineRule="auto"/>
        <w:jc w:val="both"/>
        <w:rPr>
          <w:rFonts w:asciiTheme="minorHAnsi" w:eastAsia="Times New Roman" w:hAnsiTheme="minorHAnsi" w:cstheme="minorHAnsi"/>
          <w:sz w:val="24"/>
          <w:szCs w:val="24"/>
          <w:lang w:eastAsia="en-GB"/>
        </w:rPr>
      </w:pPr>
    </w:p>
    <w:p w14:paraId="192B40CA" w14:textId="77777777" w:rsidR="003D6FE8" w:rsidRDefault="003D6FE8" w:rsidP="00361E72">
      <w:pPr>
        <w:spacing w:line="360" w:lineRule="auto"/>
        <w:jc w:val="both"/>
        <w:rPr>
          <w:rFonts w:asciiTheme="minorHAnsi" w:eastAsia="Times New Roman" w:hAnsiTheme="minorHAnsi" w:cstheme="minorHAnsi"/>
          <w:sz w:val="24"/>
          <w:szCs w:val="24"/>
          <w:lang w:eastAsia="en-GB"/>
        </w:rPr>
      </w:pPr>
    </w:p>
    <w:p w14:paraId="2392CFAA" w14:textId="77777777" w:rsidR="003D6FE8" w:rsidRDefault="003D6FE8" w:rsidP="00361E72">
      <w:pPr>
        <w:spacing w:line="360" w:lineRule="auto"/>
        <w:jc w:val="both"/>
        <w:rPr>
          <w:rFonts w:asciiTheme="minorHAnsi" w:eastAsia="Times New Roman" w:hAnsiTheme="minorHAnsi" w:cstheme="minorHAnsi"/>
          <w:sz w:val="24"/>
          <w:szCs w:val="24"/>
          <w:lang w:eastAsia="en-GB"/>
        </w:rPr>
      </w:pPr>
    </w:p>
    <w:p w14:paraId="2C6E5A3D" w14:textId="77777777" w:rsidR="003B6A82" w:rsidRPr="00361E72" w:rsidRDefault="003B6A82" w:rsidP="00361E72">
      <w:pPr>
        <w:spacing w:line="360" w:lineRule="auto"/>
        <w:jc w:val="both"/>
        <w:rPr>
          <w:rFonts w:asciiTheme="minorHAnsi" w:eastAsia="Times New Roman" w:hAnsiTheme="minorHAnsi" w:cstheme="minorHAnsi"/>
          <w:sz w:val="24"/>
          <w:szCs w:val="24"/>
          <w:lang w:eastAsia="en-GB"/>
        </w:rPr>
      </w:pPr>
    </w:p>
    <w:p w14:paraId="21D8A564" w14:textId="015457B7" w:rsidR="006F6934" w:rsidRPr="00370D69" w:rsidRDefault="00AC766B" w:rsidP="00370D69">
      <w:pPr>
        <w:rPr>
          <w:caps/>
          <w:spacing w:val="10"/>
          <w:sz w:val="18"/>
          <w:szCs w:val="18"/>
        </w:rPr>
      </w:pPr>
      <w:r>
        <w:br w:type="page"/>
      </w:r>
    </w:p>
    <w:p w14:paraId="14ED910C" w14:textId="62E2073F" w:rsidR="009B3008" w:rsidRDefault="009B3008" w:rsidP="009B3008">
      <w:pPr>
        <w:pStyle w:val="Caption"/>
        <w:keepNext/>
      </w:pPr>
      <w:bookmarkStart w:id="18" w:name="_Toc166853965"/>
      <w:r>
        <w:lastRenderedPageBreak/>
        <w:t>Table 4.</w:t>
      </w:r>
      <w:r>
        <w:fldChar w:fldCharType="begin"/>
      </w:r>
      <w:r>
        <w:instrText xml:space="preserve"> SEQ Table \* ARABIC </w:instrText>
      </w:r>
      <w:r>
        <w:fldChar w:fldCharType="separate"/>
      </w:r>
      <w:r>
        <w:rPr>
          <w:noProof/>
        </w:rPr>
        <w:t>3</w:t>
      </w:r>
      <w:r>
        <w:rPr>
          <w:noProof/>
        </w:rPr>
        <w:fldChar w:fldCharType="end"/>
      </w:r>
      <w:r>
        <w:t xml:space="preserve"> </w:t>
      </w:r>
      <w:r w:rsidRPr="00B94E9E">
        <w:t>D</w:t>
      </w:r>
      <w:r w:rsidR="00370D69" w:rsidRPr="00B94E9E">
        <w:rPr>
          <w:caps w:val="0"/>
        </w:rPr>
        <w:t xml:space="preserve">escriptive Attributes </w:t>
      </w:r>
      <w:r w:rsidR="00370D69">
        <w:rPr>
          <w:caps w:val="0"/>
        </w:rPr>
        <w:t>o</w:t>
      </w:r>
      <w:r w:rsidR="00370D69" w:rsidRPr="00B94E9E">
        <w:rPr>
          <w:caps w:val="0"/>
        </w:rPr>
        <w:t>f Studies</w:t>
      </w:r>
      <w:bookmarkEnd w:id="18"/>
    </w:p>
    <w:tbl>
      <w:tblPr>
        <w:tblStyle w:val="GridTable3-Accent1"/>
        <w:tblW w:w="8392"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8"/>
        <w:gridCol w:w="2985"/>
        <w:gridCol w:w="1386"/>
        <w:gridCol w:w="1243"/>
      </w:tblGrid>
      <w:tr w:rsidR="006F6B27" w:rsidRPr="000C1E36" w14:paraId="6E5ECF1F" w14:textId="77777777" w:rsidTr="009B3008">
        <w:trPr>
          <w:cnfStyle w:val="100000000000" w:firstRow="1" w:lastRow="0" w:firstColumn="0" w:lastColumn="0" w:oddVBand="0" w:evenVBand="0" w:oddHBand="0" w:evenHBand="0" w:firstRowFirstColumn="0" w:firstRowLastColumn="0" w:lastRowFirstColumn="0" w:lastRowLastColumn="0"/>
          <w:trHeight w:val="428"/>
        </w:trPr>
        <w:tc>
          <w:tcPr>
            <w:cnfStyle w:val="001000000100" w:firstRow="0" w:lastRow="0" w:firstColumn="1" w:lastColumn="0" w:oddVBand="0" w:evenVBand="0" w:oddHBand="0" w:evenHBand="0" w:firstRowFirstColumn="1" w:firstRowLastColumn="0" w:lastRowFirstColumn="0" w:lastRowLastColumn="0"/>
            <w:tcW w:w="5763" w:type="dxa"/>
            <w:gridSpan w:val="2"/>
          </w:tcPr>
          <w:p w14:paraId="43CE8497" w14:textId="3ED79D45" w:rsidR="00361E72" w:rsidRPr="009A5769" w:rsidRDefault="00EC5A1B" w:rsidP="00C97D3E">
            <w:pPr>
              <w:spacing w:after="60"/>
              <w:jc w:val="both"/>
              <w:rPr>
                <w:rFonts w:asciiTheme="minorHAnsi" w:eastAsia="Calibri" w:hAnsiTheme="minorHAnsi" w:cstheme="minorHAnsi"/>
                <w:i w:val="0"/>
                <w:iCs w:val="0"/>
                <w:lang w:val="en-US"/>
              </w:rPr>
            </w:pPr>
            <w:r>
              <w:rPr>
                <w:rFonts w:asciiTheme="minorHAnsi" w:eastAsia="Calibri" w:hAnsiTheme="minorHAnsi" w:cstheme="minorHAnsi"/>
                <w:i w:val="0"/>
                <w:iCs w:val="0"/>
                <w:lang w:val="en-US"/>
              </w:rPr>
              <w:t>Descriptive Attributes</w:t>
            </w:r>
          </w:p>
        </w:tc>
        <w:tc>
          <w:tcPr>
            <w:tcW w:w="1386" w:type="dxa"/>
          </w:tcPr>
          <w:p w14:paraId="64C17ECD" w14:textId="77777777" w:rsidR="00361E72" w:rsidRPr="000C1E36" w:rsidRDefault="00361E72" w:rsidP="00C97D3E">
            <w:pPr>
              <w:spacing w:after="60"/>
              <w:jc w:val="both"/>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b w:val="0"/>
                <w:bCs w:val="0"/>
                <w:lang w:val="en-US"/>
              </w:rPr>
            </w:pPr>
            <w:r w:rsidRPr="000C1E36">
              <w:rPr>
                <w:rFonts w:asciiTheme="minorHAnsi" w:eastAsia="Calibri" w:hAnsiTheme="minorHAnsi" w:cstheme="minorHAnsi"/>
                <w:lang w:val="en-US"/>
              </w:rPr>
              <w:t>Frequency</w:t>
            </w:r>
          </w:p>
        </w:tc>
        <w:tc>
          <w:tcPr>
            <w:tcW w:w="1243" w:type="dxa"/>
          </w:tcPr>
          <w:p w14:paraId="6E2A7887" w14:textId="77777777" w:rsidR="00361E72" w:rsidRPr="000C1E36" w:rsidRDefault="00361E72" w:rsidP="00C97D3E">
            <w:pPr>
              <w:spacing w:after="60"/>
              <w:jc w:val="both"/>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b w:val="0"/>
                <w:bCs w:val="0"/>
                <w:lang w:val="en-US"/>
              </w:rPr>
            </w:pPr>
            <w:r w:rsidRPr="000C1E36">
              <w:rPr>
                <w:rFonts w:asciiTheme="minorHAnsi" w:eastAsia="Calibri" w:hAnsiTheme="minorHAnsi" w:cstheme="minorHAnsi"/>
                <w:lang w:val="en-US"/>
              </w:rPr>
              <w:t>Percentage</w:t>
            </w:r>
          </w:p>
        </w:tc>
      </w:tr>
      <w:tr w:rsidR="001F1E50" w:rsidRPr="000C1E36" w14:paraId="376DBAC1" w14:textId="77777777" w:rsidTr="009B300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778" w:type="dxa"/>
            <w:vMerge w:val="restart"/>
          </w:tcPr>
          <w:p w14:paraId="463CD0AC" w14:textId="77777777" w:rsidR="00361E72" w:rsidRPr="000C1E36" w:rsidRDefault="00361E72" w:rsidP="00C97D3E">
            <w:pPr>
              <w:spacing w:after="60"/>
              <w:jc w:val="both"/>
              <w:rPr>
                <w:rFonts w:asciiTheme="minorHAnsi" w:eastAsia="Calibri" w:hAnsiTheme="minorHAnsi" w:cstheme="minorHAnsi"/>
                <w:b/>
                <w:bCs/>
                <w:lang w:val="en-US"/>
              </w:rPr>
            </w:pPr>
            <w:r w:rsidRPr="000C1E36">
              <w:rPr>
                <w:rFonts w:asciiTheme="minorHAnsi" w:eastAsia="Calibri" w:hAnsiTheme="minorHAnsi" w:cstheme="minorHAnsi"/>
                <w:lang w:val="en-US"/>
              </w:rPr>
              <w:t>Method</w:t>
            </w:r>
          </w:p>
        </w:tc>
        <w:tc>
          <w:tcPr>
            <w:tcW w:w="2985" w:type="dxa"/>
          </w:tcPr>
          <w:p w14:paraId="261E2C6E" w14:textId="63519F37" w:rsidR="00361E72" w:rsidRPr="000C1E36" w:rsidRDefault="00361E72"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 xml:space="preserve">Quantitative </w:t>
            </w:r>
          </w:p>
        </w:tc>
        <w:tc>
          <w:tcPr>
            <w:tcW w:w="1386" w:type="dxa"/>
          </w:tcPr>
          <w:p w14:paraId="6E9B388C" w14:textId="15DB68A9" w:rsidR="00361E72" w:rsidRPr="000C1E36" w:rsidRDefault="0044499C"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3</w:t>
            </w:r>
            <w:r w:rsidR="005169E0" w:rsidRPr="000C1E36">
              <w:rPr>
                <w:rFonts w:asciiTheme="minorHAnsi" w:eastAsia="Calibri" w:hAnsiTheme="minorHAnsi" w:cstheme="minorHAnsi"/>
                <w:lang w:val="en-US"/>
              </w:rPr>
              <w:t>6</w:t>
            </w:r>
          </w:p>
        </w:tc>
        <w:tc>
          <w:tcPr>
            <w:tcW w:w="1243" w:type="dxa"/>
          </w:tcPr>
          <w:p w14:paraId="53D542BA" w14:textId="644803A7" w:rsidR="00361E72" w:rsidRPr="000C1E36" w:rsidRDefault="004520D6"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65</w:t>
            </w:r>
            <w:r w:rsidR="0044499C" w:rsidRPr="000C1E36">
              <w:rPr>
                <w:rFonts w:asciiTheme="minorHAnsi" w:eastAsia="Calibri" w:hAnsiTheme="minorHAnsi" w:cstheme="minorHAnsi"/>
                <w:lang w:val="en-US"/>
              </w:rPr>
              <w:t>%</w:t>
            </w:r>
          </w:p>
        </w:tc>
      </w:tr>
      <w:tr w:rsidR="000C1E36" w:rsidRPr="000C1E36" w14:paraId="50EEB582"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36CD6CA3" w14:textId="77777777" w:rsidR="00361E72" w:rsidRPr="000C1E36" w:rsidRDefault="00361E72" w:rsidP="00C97D3E">
            <w:pPr>
              <w:spacing w:after="60"/>
              <w:jc w:val="both"/>
              <w:rPr>
                <w:rFonts w:asciiTheme="minorHAnsi" w:eastAsia="Calibri" w:hAnsiTheme="minorHAnsi" w:cstheme="minorHAnsi"/>
                <w:b/>
                <w:bCs/>
                <w:lang w:val="en-US"/>
              </w:rPr>
            </w:pPr>
          </w:p>
        </w:tc>
        <w:tc>
          <w:tcPr>
            <w:tcW w:w="2985" w:type="dxa"/>
          </w:tcPr>
          <w:p w14:paraId="01CD7E7D" w14:textId="77777777" w:rsidR="00361E72" w:rsidRPr="000C1E36" w:rsidRDefault="00361E72"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Qualitative</w:t>
            </w:r>
          </w:p>
        </w:tc>
        <w:tc>
          <w:tcPr>
            <w:tcW w:w="1386" w:type="dxa"/>
          </w:tcPr>
          <w:p w14:paraId="437A29A6" w14:textId="73D32523" w:rsidR="00361E72" w:rsidRPr="000C1E36" w:rsidRDefault="004E450E"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9</w:t>
            </w:r>
          </w:p>
        </w:tc>
        <w:tc>
          <w:tcPr>
            <w:tcW w:w="1243" w:type="dxa"/>
          </w:tcPr>
          <w:p w14:paraId="409C8D8A" w14:textId="4DAFB41A" w:rsidR="00361E72" w:rsidRPr="000C1E36" w:rsidRDefault="004E450E"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16%</w:t>
            </w:r>
          </w:p>
        </w:tc>
      </w:tr>
      <w:tr w:rsidR="001F1E50" w:rsidRPr="000C1E36" w14:paraId="3D3B7AD7"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70B615EA" w14:textId="77777777" w:rsidR="00361E72" w:rsidRPr="000C1E36" w:rsidRDefault="00361E72" w:rsidP="00C97D3E">
            <w:pPr>
              <w:spacing w:after="60"/>
              <w:jc w:val="both"/>
              <w:rPr>
                <w:rFonts w:asciiTheme="minorHAnsi" w:eastAsia="Calibri" w:hAnsiTheme="minorHAnsi" w:cstheme="minorHAnsi"/>
                <w:b/>
                <w:bCs/>
                <w:lang w:val="en-US"/>
              </w:rPr>
            </w:pPr>
          </w:p>
        </w:tc>
        <w:tc>
          <w:tcPr>
            <w:tcW w:w="2985" w:type="dxa"/>
          </w:tcPr>
          <w:p w14:paraId="14739C1C" w14:textId="77777777" w:rsidR="00361E72" w:rsidRPr="000C1E36" w:rsidRDefault="00361E72"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Mixed method</w:t>
            </w:r>
          </w:p>
        </w:tc>
        <w:tc>
          <w:tcPr>
            <w:tcW w:w="1386" w:type="dxa"/>
          </w:tcPr>
          <w:p w14:paraId="32389971" w14:textId="15628A36" w:rsidR="00361E72" w:rsidRPr="000C1E36" w:rsidRDefault="004E450E"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10</w:t>
            </w:r>
          </w:p>
        </w:tc>
        <w:tc>
          <w:tcPr>
            <w:tcW w:w="1243" w:type="dxa"/>
          </w:tcPr>
          <w:p w14:paraId="40635187" w14:textId="0A3EBE5F" w:rsidR="00361E72" w:rsidRPr="000C1E36" w:rsidRDefault="004E450E"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18%</w:t>
            </w:r>
          </w:p>
        </w:tc>
      </w:tr>
      <w:tr w:rsidR="000C1E36" w:rsidRPr="000C1E36" w14:paraId="54E49A1A" w14:textId="77777777" w:rsidTr="009B3008">
        <w:trPr>
          <w:trHeight w:val="283"/>
        </w:trPr>
        <w:tc>
          <w:tcPr>
            <w:cnfStyle w:val="001000000000" w:firstRow="0" w:lastRow="0" w:firstColumn="1" w:lastColumn="0" w:oddVBand="0" w:evenVBand="0" w:oddHBand="0" w:evenHBand="0" w:firstRowFirstColumn="0" w:firstRowLastColumn="0" w:lastRowFirstColumn="0" w:lastRowLastColumn="0"/>
            <w:tcW w:w="2778" w:type="dxa"/>
            <w:vMerge w:val="restart"/>
          </w:tcPr>
          <w:p w14:paraId="2DE458EE" w14:textId="0B4A64D2" w:rsidR="00F329DB" w:rsidRPr="000C1E36" w:rsidRDefault="00F329DB" w:rsidP="00C97D3E">
            <w:pPr>
              <w:spacing w:after="60"/>
              <w:jc w:val="both"/>
              <w:rPr>
                <w:rFonts w:asciiTheme="minorHAnsi" w:eastAsia="Calibri" w:hAnsiTheme="minorHAnsi" w:cstheme="minorHAnsi"/>
                <w:lang w:val="en-US"/>
              </w:rPr>
            </w:pPr>
            <w:r w:rsidRPr="000C1E36">
              <w:rPr>
                <w:rFonts w:asciiTheme="minorHAnsi" w:eastAsia="Calibri" w:hAnsiTheme="minorHAnsi" w:cstheme="minorHAnsi"/>
                <w:lang w:val="en-US"/>
              </w:rPr>
              <w:t>Type of Transplant</w:t>
            </w:r>
          </w:p>
        </w:tc>
        <w:tc>
          <w:tcPr>
            <w:tcW w:w="2985" w:type="dxa"/>
          </w:tcPr>
          <w:p w14:paraId="2C347F99" w14:textId="661F6BCE" w:rsidR="00F329DB" w:rsidRPr="000C1E36" w:rsidRDefault="00F329D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General</w:t>
            </w:r>
            <w:r w:rsidR="00334135" w:rsidRPr="000C1E36">
              <w:rPr>
                <w:rFonts w:asciiTheme="minorHAnsi" w:eastAsia="Calibri" w:hAnsiTheme="minorHAnsi" w:cstheme="minorHAnsi"/>
                <w:lang w:val="en-US"/>
              </w:rPr>
              <w:t xml:space="preserve"> (multi-organ)</w:t>
            </w:r>
          </w:p>
        </w:tc>
        <w:tc>
          <w:tcPr>
            <w:tcW w:w="1386" w:type="dxa"/>
          </w:tcPr>
          <w:p w14:paraId="750FE1F4" w14:textId="1756B257" w:rsidR="00F329DB" w:rsidRPr="000C1E36" w:rsidRDefault="00F329D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w:t>
            </w:r>
            <w:r w:rsidR="004C685C" w:rsidRPr="000C1E36">
              <w:rPr>
                <w:rFonts w:asciiTheme="minorHAnsi" w:eastAsia="Calibri" w:hAnsiTheme="minorHAnsi" w:cstheme="minorHAnsi"/>
                <w:lang w:val="en-US"/>
              </w:rPr>
              <w:t>5</w:t>
            </w:r>
          </w:p>
        </w:tc>
        <w:tc>
          <w:tcPr>
            <w:tcW w:w="1243" w:type="dxa"/>
          </w:tcPr>
          <w:p w14:paraId="7D5C3184" w14:textId="11156AB3" w:rsidR="00F329DB" w:rsidRPr="000C1E36" w:rsidRDefault="000B2D87"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27</w:t>
            </w:r>
            <w:r w:rsidR="00F329DB" w:rsidRPr="000C1E36">
              <w:rPr>
                <w:rFonts w:asciiTheme="minorHAnsi" w:eastAsia="Calibri" w:hAnsiTheme="minorHAnsi" w:cstheme="minorHAnsi"/>
                <w:lang w:val="en-US"/>
              </w:rPr>
              <w:t>%</w:t>
            </w:r>
          </w:p>
        </w:tc>
      </w:tr>
      <w:tr w:rsidR="001F1E50" w:rsidRPr="000C1E36" w14:paraId="0CB1823C"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60F8A8BE" w14:textId="77777777" w:rsidR="00F329DB" w:rsidRPr="000C1E36" w:rsidRDefault="00F329DB" w:rsidP="00C97D3E">
            <w:pPr>
              <w:spacing w:after="60"/>
              <w:jc w:val="both"/>
              <w:rPr>
                <w:rFonts w:asciiTheme="minorHAnsi" w:eastAsia="Calibri" w:hAnsiTheme="minorHAnsi" w:cstheme="minorHAnsi"/>
                <w:b/>
                <w:bCs/>
                <w:lang w:val="en-US"/>
              </w:rPr>
            </w:pPr>
          </w:p>
        </w:tc>
        <w:tc>
          <w:tcPr>
            <w:tcW w:w="2985" w:type="dxa"/>
          </w:tcPr>
          <w:p w14:paraId="3E6E5DEF" w14:textId="77777777" w:rsidR="00F329DB" w:rsidRPr="000C1E36" w:rsidRDefault="00F329D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Kidney</w:t>
            </w:r>
          </w:p>
        </w:tc>
        <w:tc>
          <w:tcPr>
            <w:tcW w:w="1386" w:type="dxa"/>
          </w:tcPr>
          <w:p w14:paraId="2B167CA8" w14:textId="21C655A3" w:rsidR="00F329DB" w:rsidRPr="000C1E36" w:rsidRDefault="00F329D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w:t>
            </w:r>
            <w:r w:rsidR="007A03F1" w:rsidRPr="000C1E36">
              <w:rPr>
                <w:rFonts w:asciiTheme="minorHAnsi" w:eastAsia="Calibri" w:hAnsiTheme="minorHAnsi" w:cstheme="minorHAnsi"/>
                <w:lang w:val="en-US"/>
              </w:rPr>
              <w:t>6</w:t>
            </w:r>
          </w:p>
        </w:tc>
        <w:tc>
          <w:tcPr>
            <w:tcW w:w="1243" w:type="dxa"/>
          </w:tcPr>
          <w:p w14:paraId="18B902EA" w14:textId="2613074B" w:rsidR="00F329DB" w:rsidRPr="000C1E36" w:rsidRDefault="000B2D87"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29</w:t>
            </w:r>
            <w:r w:rsidR="00F329DB" w:rsidRPr="000C1E36">
              <w:rPr>
                <w:rFonts w:asciiTheme="minorHAnsi" w:eastAsia="Calibri" w:hAnsiTheme="minorHAnsi" w:cstheme="minorHAnsi"/>
                <w:lang w:val="en-US"/>
              </w:rPr>
              <w:t>%</w:t>
            </w:r>
          </w:p>
        </w:tc>
      </w:tr>
      <w:tr w:rsidR="000C1E36" w:rsidRPr="000C1E36" w14:paraId="0ED22F34"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10DDE641" w14:textId="77777777" w:rsidR="00F329DB" w:rsidRPr="000C1E36" w:rsidRDefault="00F329DB" w:rsidP="00C97D3E">
            <w:pPr>
              <w:spacing w:after="60"/>
              <w:jc w:val="both"/>
              <w:rPr>
                <w:rFonts w:asciiTheme="minorHAnsi" w:eastAsia="Calibri" w:hAnsiTheme="minorHAnsi" w:cstheme="minorHAnsi"/>
                <w:b/>
                <w:bCs/>
                <w:lang w:val="en-US"/>
              </w:rPr>
            </w:pPr>
          </w:p>
        </w:tc>
        <w:tc>
          <w:tcPr>
            <w:tcW w:w="2985" w:type="dxa"/>
          </w:tcPr>
          <w:p w14:paraId="2BD716C5" w14:textId="77777777" w:rsidR="00F329DB" w:rsidRPr="000C1E36" w:rsidRDefault="00F329D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Heart</w:t>
            </w:r>
          </w:p>
        </w:tc>
        <w:tc>
          <w:tcPr>
            <w:tcW w:w="1386" w:type="dxa"/>
          </w:tcPr>
          <w:p w14:paraId="75913E28" w14:textId="346BBC19" w:rsidR="00F329DB" w:rsidRPr="000C1E36" w:rsidRDefault="00F329D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6</w:t>
            </w:r>
          </w:p>
        </w:tc>
        <w:tc>
          <w:tcPr>
            <w:tcW w:w="1243" w:type="dxa"/>
          </w:tcPr>
          <w:p w14:paraId="600A8661" w14:textId="2E2F7EE2" w:rsidR="00F329DB" w:rsidRPr="000C1E36" w:rsidRDefault="00B94711"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11</w:t>
            </w:r>
            <w:r w:rsidR="00F329DB" w:rsidRPr="000C1E36">
              <w:rPr>
                <w:rFonts w:asciiTheme="minorHAnsi" w:eastAsia="Calibri" w:hAnsiTheme="minorHAnsi" w:cstheme="minorHAnsi"/>
                <w:lang w:val="en-US"/>
              </w:rPr>
              <w:t>%</w:t>
            </w:r>
          </w:p>
        </w:tc>
      </w:tr>
      <w:tr w:rsidR="001F1E50" w:rsidRPr="000C1E36" w14:paraId="3A8D84FC"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306989F3" w14:textId="77777777" w:rsidR="00F329DB" w:rsidRPr="000C1E36" w:rsidRDefault="00F329DB" w:rsidP="00C97D3E">
            <w:pPr>
              <w:spacing w:after="60"/>
              <w:jc w:val="both"/>
              <w:rPr>
                <w:rFonts w:asciiTheme="minorHAnsi" w:eastAsia="Calibri" w:hAnsiTheme="minorHAnsi" w:cstheme="minorHAnsi"/>
                <w:b/>
                <w:bCs/>
                <w:lang w:val="en-US"/>
              </w:rPr>
            </w:pPr>
          </w:p>
        </w:tc>
        <w:tc>
          <w:tcPr>
            <w:tcW w:w="2985" w:type="dxa"/>
          </w:tcPr>
          <w:p w14:paraId="5BDE019F" w14:textId="1A4F2B1A" w:rsidR="00F329DB" w:rsidRPr="000C1E36" w:rsidRDefault="00F329D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Hematopoietic Stem Cell</w:t>
            </w:r>
          </w:p>
        </w:tc>
        <w:tc>
          <w:tcPr>
            <w:tcW w:w="1386" w:type="dxa"/>
          </w:tcPr>
          <w:p w14:paraId="6EF12280" w14:textId="241BCE12" w:rsidR="00F329DB" w:rsidRPr="000C1E36" w:rsidRDefault="00F329D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p>
        </w:tc>
        <w:tc>
          <w:tcPr>
            <w:tcW w:w="1243" w:type="dxa"/>
          </w:tcPr>
          <w:p w14:paraId="33C57E5D" w14:textId="6F2364FD" w:rsidR="00F329DB" w:rsidRPr="000C1E36" w:rsidRDefault="00B94711"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7</w:t>
            </w:r>
            <w:r w:rsidR="00F329DB" w:rsidRPr="000C1E36">
              <w:rPr>
                <w:rFonts w:asciiTheme="minorHAnsi" w:eastAsia="Calibri" w:hAnsiTheme="minorHAnsi" w:cstheme="minorHAnsi"/>
                <w:lang w:val="en-US"/>
              </w:rPr>
              <w:t>%</w:t>
            </w:r>
          </w:p>
        </w:tc>
      </w:tr>
      <w:tr w:rsidR="000C1E36" w:rsidRPr="000C1E36" w14:paraId="6FD3FE43"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77FB7138" w14:textId="77777777" w:rsidR="00F329DB" w:rsidRPr="000C1E36" w:rsidRDefault="00F329DB" w:rsidP="00C97D3E">
            <w:pPr>
              <w:spacing w:after="60"/>
              <w:jc w:val="both"/>
              <w:rPr>
                <w:rFonts w:asciiTheme="minorHAnsi" w:eastAsia="Calibri" w:hAnsiTheme="minorHAnsi" w:cstheme="minorHAnsi"/>
                <w:b/>
                <w:bCs/>
                <w:lang w:val="en-US"/>
              </w:rPr>
            </w:pPr>
          </w:p>
        </w:tc>
        <w:tc>
          <w:tcPr>
            <w:tcW w:w="2985" w:type="dxa"/>
          </w:tcPr>
          <w:p w14:paraId="04336FAD" w14:textId="5500FE2B" w:rsidR="00F329DB" w:rsidRPr="000C1E36" w:rsidRDefault="00F329D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Liver</w:t>
            </w:r>
          </w:p>
        </w:tc>
        <w:tc>
          <w:tcPr>
            <w:tcW w:w="1386" w:type="dxa"/>
          </w:tcPr>
          <w:p w14:paraId="444FFCC4" w14:textId="7E0DB918" w:rsidR="00F329DB" w:rsidRPr="000C1E36" w:rsidRDefault="00501913"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9</w:t>
            </w:r>
          </w:p>
        </w:tc>
        <w:tc>
          <w:tcPr>
            <w:tcW w:w="1243" w:type="dxa"/>
          </w:tcPr>
          <w:p w14:paraId="4BA0B887" w14:textId="0BA485A9" w:rsidR="00F329DB" w:rsidRPr="000C1E36" w:rsidRDefault="00B94711"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16%</w:t>
            </w:r>
          </w:p>
        </w:tc>
      </w:tr>
      <w:tr w:rsidR="001F1E50" w:rsidRPr="000C1E36" w14:paraId="5504EB84"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697BE87F" w14:textId="77777777" w:rsidR="00F329DB" w:rsidRPr="000C1E36" w:rsidRDefault="00F329DB" w:rsidP="00C97D3E">
            <w:pPr>
              <w:spacing w:after="60"/>
              <w:jc w:val="both"/>
              <w:rPr>
                <w:rFonts w:asciiTheme="minorHAnsi" w:eastAsia="Calibri" w:hAnsiTheme="minorHAnsi" w:cstheme="minorHAnsi"/>
                <w:b/>
                <w:bCs/>
                <w:lang w:val="en-US"/>
              </w:rPr>
            </w:pPr>
          </w:p>
        </w:tc>
        <w:tc>
          <w:tcPr>
            <w:tcW w:w="2985" w:type="dxa"/>
          </w:tcPr>
          <w:p w14:paraId="51933ACB" w14:textId="04201756" w:rsidR="00F329DB" w:rsidRPr="000C1E36" w:rsidRDefault="00F329D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Lungs</w:t>
            </w:r>
          </w:p>
        </w:tc>
        <w:tc>
          <w:tcPr>
            <w:tcW w:w="1386" w:type="dxa"/>
          </w:tcPr>
          <w:p w14:paraId="1843697F" w14:textId="4DED5D85" w:rsidR="00F329DB" w:rsidRPr="000C1E36" w:rsidRDefault="00F329D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p>
        </w:tc>
        <w:tc>
          <w:tcPr>
            <w:tcW w:w="1243" w:type="dxa"/>
          </w:tcPr>
          <w:p w14:paraId="6D32E841" w14:textId="72C9D179" w:rsidR="00F329DB" w:rsidRPr="000C1E36" w:rsidRDefault="00B94711"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7%</w:t>
            </w:r>
          </w:p>
        </w:tc>
      </w:tr>
      <w:tr w:rsidR="000C1E36" w:rsidRPr="000C1E36" w14:paraId="3C011E6D"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2A8F5D49" w14:textId="77777777" w:rsidR="00F329DB" w:rsidRPr="000C1E36" w:rsidRDefault="00F329DB" w:rsidP="00C97D3E">
            <w:pPr>
              <w:spacing w:after="60"/>
              <w:jc w:val="both"/>
              <w:rPr>
                <w:rFonts w:asciiTheme="minorHAnsi" w:eastAsia="Calibri" w:hAnsiTheme="minorHAnsi" w:cstheme="minorHAnsi"/>
                <w:b/>
                <w:bCs/>
                <w:lang w:val="en-US"/>
              </w:rPr>
            </w:pPr>
          </w:p>
        </w:tc>
        <w:tc>
          <w:tcPr>
            <w:tcW w:w="2985" w:type="dxa"/>
          </w:tcPr>
          <w:p w14:paraId="58FA941B" w14:textId="0FE39483" w:rsidR="00F329DB" w:rsidRPr="000C1E36" w:rsidRDefault="00D73979"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Blood &amp; Marrow</w:t>
            </w:r>
          </w:p>
        </w:tc>
        <w:tc>
          <w:tcPr>
            <w:tcW w:w="1386" w:type="dxa"/>
          </w:tcPr>
          <w:p w14:paraId="2010C0CD" w14:textId="28C5322B" w:rsidR="00F329DB" w:rsidRPr="000C1E36" w:rsidRDefault="00D73979"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w:t>
            </w:r>
          </w:p>
        </w:tc>
        <w:tc>
          <w:tcPr>
            <w:tcW w:w="1243" w:type="dxa"/>
          </w:tcPr>
          <w:p w14:paraId="3DC14F04" w14:textId="40AF2387" w:rsidR="00F329DB" w:rsidRPr="000C1E36" w:rsidRDefault="003A4753"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w:t>
            </w:r>
          </w:p>
        </w:tc>
      </w:tr>
      <w:tr w:rsidR="001F1E50" w:rsidRPr="000C1E36" w14:paraId="1DEA4F6B"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val="restart"/>
          </w:tcPr>
          <w:p w14:paraId="62339129" w14:textId="77777777" w:rsidR="0021418A" w:rsidRPr="000C1E36" w:rsidRDefault="0021418A" w:rsidP="00C97D3E">
            <w:pPr>
              <w:spacing w:after="60"/>
              <w:jc w:val="both"/>
              <w:rPr>
                <w:rFonts w:asciiTheme="minorHAnsi" w:eastAsia="Calibri" w:hAnsiTheme="minorHAnsi" w:cstheme="minorHAnsi"/>
                <w:b/>
                <w:bCs/>
                <w:lang w:val="en-US"/>
              </w:rPr>
            </w:pPr>
            <w:r w:rsidRPr="000C1E36">
              <w:rPr>
                <w:rFonts w:asciiTheme="minorHAnsi" w:eastAsia="Calibri" w:hAnsiTheme="minorHAnsi" w:cstheme="minorHAnsi"/>
                <w:lang w:val="en-US"/>
              </w:rPr>
              <w:t>Type of Digital Health</w:t>
            </w:r>
          </w:p>
        </w:tc>
        <w:tc>
          <w:tcPr>
            <w:tcW w:w="2985" w:type="dxa"/>
          </w:tcPr>
          <w:p w14:paraId="6F54B506" w14:textId="4D97321C" w:rsidR="0021418A" w:rsidRPr="000C1E36" w:rsidRDefault="0021418A" w:rsidP="00EB7CF4">
            <w:pPr>
              <w:spacing w:after="60"/>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Telehealth</w:t>
            </w:r>
          </w:p>
        </w:tc>
        <w:tc>
          <w:tcPr>
            <w:tcW w:w="1386" w:type="dxa"/>
          </w:tcPr>
          <w:p w14:paraId="1FB18CEF" w14:textId="01647DB8" w:rsidR="0021418A" w:rsidRPr="000C1E36" w:rsidRDefault="0021418A"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w:t>
            </w:r>
            <w:r w:rsidR="008F06E4" w:rsidRPr="000C1E36">
              <w:rPr>
                <w:rFonts w:asciiTheme="minorHAnsi" w:eastAsia="Calibri" w:hAnsiTheme="minorHAnsi" w:cstheme="minorHAnsi"/>
                <w:lang w:val="en-US"/>
              </w:rPr>
              <w:t>7</w:t>
            </w:r>
          </w:p>
        </w:tc>
        <w:tc>
          <w:tcPr>
            <w:tcW w:w="1243" w:type="dxa"/>
          </w:tcPr>
          <w:p w14:paraId="797879EC" w14:textId="00029ACF" w:rsidR="0021418A" w:rsidRPr="000C1E36" w:rsidRDefault="00984B41"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3</w:t>
            </w:r>
            <w:r w:rsidR="008F06E4" w:rsidRPr="000C1E36">
              <w:rPr>
                <w:rFonts w:asciiTheme="minorHAnsi" w:eastAsia="Calibri" w:hAnsiTheme="minorHAnsi" w:cstheme="minorHAnsi"/>
                <w:lang w:val="en-US"/>
              </w:rPr>
              <w:t>1</w:t>
            </w:r>
            <w:r w:rsidR="000C70B6" w:rsidRPr="000C1E36">
              <w:rPr>
                <w:rFonts w:asciiTheme="minorHAnsi" w:eastAsia="Calibri" w:hAnsiTheme="minorHAnsi" w:cstheme="minorHAnsi"/>
                <w:lang w:val="en-US"/>
              </w:rPr>
              <w:t>%</w:t>
            </w:r>
          </w:p>
        </w:tc>
      </w:tr>
      <w:tr w:rsidR="000C1E36" w:rsidRPr="000C1E36" w14:paraId="288CB497"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40F578F0" w14:textId="77777777" w:rsidR="0021418A" w:rsidRPr="000C1E36" w:rsidRDefault="0021418A" w:rsidP="00C97D3E">
            <w:pPr>
              <w:spacing w:after="60"/>
              <w:jc w:val="both"/>
              <w:rPr>
                <w:rFonts w:asciiTheme="minorHAnsi" w:eastAsia="Calibri" w:hAnsiTheme="minorHAnsi" w:cstheme="minorHAnsi"/>
                <w:b/>
                <w:bCs/>
                <w:lang w:val="en-US"/>
              </w:rPr>
            </w:pPr>
          </w:p>
        </w:tc>
        <w:tc>
          <w:tcPr>
            <w:tcW w:w="2985" w:type="dxa"/>
          </w:tcPr>
          <w:p w14:paraId="242D6A74" w14:textId="77777777" w:rsidR="0021418A" w:rsidRPr="000C1E36" w:rsidRDefault="0021418A" w:rsidP="00EB7CF4">
            <w:pPr>
              <w:spacing w:after="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proofErr w:type="spellStart"/>
            <w:r w:rsidRPr="000C1E36">
              <w:rPr>
                <w:rFonts w:asciiTheme="minorHAnsi" w:eastAsia="Calibri" w:hAnsiTheme="minorHAnsi" w:cstheme="minorHAnsi"/>
                <w:lang w:val="en-US"/>
              </w:rPr>
              <w:t>Mhealth</w:t>
            </w:r>
            <w:proofErr w:type="spellEnd"/>
          </w:p>
        </w:tc>
        <w:tc>
          <w:tcPr>
            <w:tcW w:w="1386" w:type="dxa"/>
          </w:tcPr>
          <w:p w14:paraId="7D59A0C1" w14:textId="4B1B5033" w:rsidR="0021418A" w:rsidRPr="000C1E36" w:rsidRDefault="0021418A"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22</w:t>
            </w:r>
          </w:p>
        </w:tc>
        <w:tc>
          <w:tcPr>
            <w:tcW w:w="1243" w:type="dxa"/>
          </w:tcPr>
          <w:p w14:paraId="72790A4A" w14:textId="6974C80B" w:rsidR="0021418A" w:rsidRPr="000C1E36" w:rsidRDefault="00984B41"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40</w:t>
            </w:r>
            <w:r w:rsidR="000C70B6" w:rsidRPr="000C1E36">
              <w:rPr>
                <w:rFonts w:asciiTheme="minorHAnsi" w:eastAsia="Calibri" w:hAnsiTheme="minorHAnsi" w:cstheme="minorHAnsi"/>
                <w:lang w:val="en-US"/>
              </w:rPr>
              <w:t>%</w:t>
            </w:r>
          </w:p>
        </w:tc>
      </w:tr>
      <w:tr w:rsidR="001F1E50" w:rsidRPr="000C1E36" w14:paraId="312C9F5B"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38F8DA80" w14:textId="77777777" w:rsidR="0021418A" w:rsidRPr="000C1E36" w:rsidRDefault="0021418A" w:rsidP="00C97D3E">
            <w:pPr>
              <w:spacing w:after="60"/>
              <w:jc w:val="both"/>
              <w:rPr>
                <w:rFonts w:asciiTheme="minorHAnsi" w:eastAsia="Calibri" w:hAnsiTheme="minorHAnsi" w:cstheme="minorHAnsi"/>
                <w:b/>
                <w:bCs/>
                <w:lang w:val="en-US"/>
              </w:rPr>
            </w:pPr>
          </w:p>
        </w:tc>
        <w:tc>
          <w:tcPr>
            <w:tcW w:w="2985" w:type="dxa"/>
          </w:tcPr>
          <w:p w14:paraId="3DE32B94" w14:textId="12E64442" w:rsidR="0021418A" w:rsidRPr="000C1E36" w:rsidRDefault="00334135" w:rsidP="00EB7CF4">
            <w:pPr>
              <w:spacing w:after="60"/>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Electronic app/devices</w:t>
            </w:r>
            <w:r w:rsidR="00BE6CB3">
              <w:rPr>
                <w:rFonts w:asciiTheme="minorHAnsi" w:eastAsia="Calibri" w:hAnsiTheme="minorHAnsi" w:cstheme="minorHAnsi"/>
                <w:lang w:val="en-US"/>
              </w:rPr>
              <w:t xml:space="preserve"> (e.g., d</w:t>
            </w:r>
            <w:r w:rsidR="00BE6CB3" w:rsidRPr="00BE6CB3">
              <w:rPr>
                <w:rFonts w:asciiTheme="minorHAnsi" w:eastAsia="Calibri" w:hAnsiTheme="minorHAnsi" w:cstheme="minorHAnsi"/>
                <w:lang w:val="en-US"/>
              </w:rPr>
              <w:t xml:space="preserve">igital </w:t>
            </w:r>
            <w:r w:rsidR="00BE6CB3">
              <w:rPr>
                <w:rFonts w:asciiTheme="minorHAnsi" w:eastAsia="Calibri" w:hAnsiTheme="minorHAnsi" w:cstheme="minorHAnsi"/>
                <w:lang w:val="en-US"/>
              </w:rPr>
              <w:t>h</w:t>
            </w:r>
            <w:r w:rsidR="00BE6CB3" w:rsidRPr="00BE6CB3">
              <w:rPr>
                <w:rFonts w:asciiTheme="minorHAnsi" w:eastAsia="Calibri" w:hAnsiTheme="minorHAnsi" w:cstheme="minorHAnsi"/>
                <w:lang w:val="en-US"/>
              </w:rPr>
              <w:t xml:space="preserve">ealth </w:t>
            </w:r>
            <w:r w:rsidR="00BE6CB3">
              <w:rPr>
                <w:rFonts w:asciiTheme="minorHAnsi" w:eastAsia="Calibri" w:hAnsiTheme="minorHAnsi" w:cstheme="minorHAnsi"/>
                <w:lang w:val="en-US"/>
              </w:rPr>
              <w:t>h</w:t>
            </w:r>
            <w:r w:rsidR="00BE6CB3" w:rsidRPr="00BE6CB3">
              <w:rPr>
                <w:rFonts w:asciiTheme="minorHAnsi" w:eastAsia="Calibri" w:hAnsiTheme="minorHAnsi" w:cstheme="minorHAnsi"/>
                <w:lang w:val="en-US"/>
              </w:rPr>
              <w:t xml:space="preserve">ome spirometry, </w:t>
            </w:r>
            <w:r w:rsidR="00BE6CB3">
              <w:rPr>
                <w:rFonts w:asciiTheme="minorHAnsi" w:eastAsia="Calibri" w:hAnsiTheme="minorHAnsi" w:cstheme="minorHAnsi"/>
                <w:lang w:val="en-US"/>
              </w:rPr>
              <w:t>e</w:t>
            </w:r>
            <w:r w:rsidR="00BE6CB3" w:rsidRPr="00BE6CB3">
              <w:rPr>
                <w:rFonts w:asciiTheme="minorHAnsi" w:eastAsia="Calibri" w:hAnsiTheme="minorHAnsi" w:cstheme="minorHAnsi"/>
                <w:lang w:val="en-US"/>
              </w:rPr>
              <w:t xml:space="preserve">lectronic </w:t>
            </w:r>
            <w:r w:rsidR="00BE6CB3">
              <w:rPr>
                <w:rFonts w:asciiTheme="minorHAnsi" w:eastAsia="Calibri" w:hAnsiTheme="minorHAnsi" w:cstheme="minorHAnsi"/>
                <w:lang w:val="en-US"/>
              </w:rPr>
              <w:t>m</w:t>
            </w:r>
            <w:r w:rsidR="00BE6CB3" w:rsidRPr="00BE6CB3">
              <w:rPr>
                <w:rFonts w:asciiTheme="minorHAnsi" w:eastAsia="Calibri" w:hAnsiTheme="minorHAnsi" w:cstheme="minorHAnsi"/>
                <w:lang w:val="en-US"/>
              </w:rPr>
              <w:t xml:space="preserve">ental </w:t>
            </w:r>
            <w:r w:rsidR="00BE6CB3">
              <w:rPr>
                <w:rFonts w:asciiTheme="minorHAnsi" w:eastAsia="Calibri" w:hAnsiTheme="minorHAnsi" w:cstheme="minorHAnsi"/>
                <w:lang w:val="en-US"/>
              </w:rPr>
              <w:t>h</w:t>
            </w:r>
            <w:r w:rsidR="00BE6CB3" w:rsidRPr="00BE6CB3">
              <w:rPr>
                <w:rFonts w:asciiTheme="minorHAnsi" w:eastAsia="Calibri" w:hAnsiTheme="minorHAnsi" w:cstheme="minorHAnsi"/>
                <w:lang w:val="en-US"/>
              </w:rPr>
              <w:t xml:space="preserve">ealth </w:t>
            </w:r>
            <w:r w:rsidR="00BE6CB3">
              <w:rPr>
                <w:rFonts w:asciiTheme="minorHAnsi" w:eastAsia="Calibri" w:hAnsiTheme="minorHAnsi" w:cstheme="minorHAnsi"/>
                <w:lang w:val="en-US"/>
              </w:rPr>
              <w:t>s</w:t>
            </w:r>
            <w:r w:rsidR="00BE6CB3" w:rsidRPr="00BE6CB3">
              <w:rPr>
                <w:rFonts w:asciiTheme="minorHAnsi" w:eastAsia="Calibri" w:hAnsiTheme="minorHAnsi" w:cstheme="minorHAnsi"/>
                <w:lang w:val="en-US"/>
              </w:rPr>
              <w:t>creening</w:t>
            </w:r>
            <w:r w:rsidR="00BE6CB3">
              <w:rPr>
                <w:rFonts w:asciiTheme="minorHAnsi" w:eastAsia="Calibri" w:hAnsiTheme="minorHAnsi" w:cstheme="minorHAnsi"/>
                <w:lang w:val="en-US"/>
              </w:rPr>
              <w:t>)</w:t>
            </w:r>
          </w:p>
        </w:tc>
        <w:tc>
          <w:tcPr>
            <w:tcW w:w="1386" w:type="dxa"/>
          </w:tcPr>
          <w:p w14:paraId="4F0BA6C1" w14:textId="34FBA889" w:rsidR="0021418A" w:rsidRPr="000C1E36" w:rsidRDefault="00CE7B2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7</w:t>
            </w:r>
          </w:p>
        </w:tc>
        <w:tc>
          <w:tcPr>
            <w:tcW w:w="1243" w:type="dxa"/>
          </w:tcPr>
          <w:p w14:paraId="0D0919BA" w14:textId="5B170D5C" w:rsidR="0021418A" w:rsidRPr="000C1E36" w:rsidRDefault="00CE7B2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13</w:t>
            </w:r>
            <w:r w:rsidR="000C70B6" w:rsidRPr="000C1E36">
              <w:rPr>
                <w:rFonts w:asciiTheme="minorHAnsi" w:eastAsia="Calibri" w:hAnsiTheme="minorHAnsi" w:cstheme="minorHAnsi"/>
                <w:lang w:val="en-US"/>
              </w:rPr>
              <w:t>%</w:t>
            </w:r>
          </w:p>
        </w:tc>
      </w:tr>
      <w:tr w:rsidR="000C1E36" w:rsidRPr="000C1E36" w14:paraId="29D04EE7"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273DF2A2" w14:textId="77777777" w:rsidR="0021418A" w:rsidRPr="000C1E36" w:rsidRDefault="0021418A" w:rsidP="00C97D3E">
            <w:pPr>
              <w:spacing w:after="60"/>
              <w:jc w:val="both"/>
              <w:rPr>
                <w:rFonts w:asciiTheme="minorHAnsi" w:eastAsia="Calibri" w:hAnsiTheme="minorHAnsi" w:cstheme="minorHAnsi"/>
                <w:b/>
                <w:bCs/>
                <w:lang w:val="en-US"/>
              </w:rPr>
            </w:pPr>
          </w:p>
        </w:tc>
        <w:tc>
          <w:tcPr>
            <w:tcW w:w="2985" w:type="dxa"/>
          </w:tcPr>
          <w:p w14:paraId="0E920107" w14:textId="4B422D02" w:rsidR="0021418A" w:rsidRPr="000C1E36" w:rsidRDefault="00334135" w:rsidP="00EB7CF4">
            <w:pPr>
              <w:spacing w:after="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Emerging technologies</w:t>
            </w:r>
            <w:r w:rsidR="00BE6CB3">
              <w:rPr>
                <w:rFonts w:asciiTheme="minorHAnsi" w:eastAsia="Calibri" w:hAnsiTheme="minorHAnsi" w:cstheme="minorHAnsi"/>
                <w:lang w:val="en-US"/>
              </w:rPr>
              <w:t xml:space="preserve"> (e.g., </w:t>
            </w:r>
            <w:r w:rsidR="00BE6CB3" w:rsidRPr="00BE6CB3">
              <w:rPr>
                <w:rFonts w:asciiTheme="minorHAnsi" w:eastAsia="Calibri" w:hAnsiTheme="minorHAnsi" w:cstheme="minorHAnsi"/>
                <w:lang w:val="en-US"/>
              </w:rPr>
              <w:t>AI, Wearables)</w:t>
            </w:r>
          </w:p>
        </w:tc>
        <w:tc>
          <w:tcPr>
            <w:tcW w:w="1386" w:type="dxa"/>
          </w:tcPr>
          <w:p w14:paraId="123E2AA9" w14:textId="1E6858BE" w:rsidR="0021418A" w:rsidRPr="000C1E36" w:rsidRDefault="00CE7B2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w:t>
            </w:r>
          </w:p>
        </w:tc>
        <w:tc>
          <w:tcPr>
            <w:tcW w:w="1243" w:type="dxa"/>
          </w:tcPr>
          <w:p w14:paraId="75F742F3" w14:textId="24214518" w:rsidR="0021418A" w:rsidRPr="000C1E36" w:rsidRDefault="00CE7B2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r w:rsidR="000C70B6" w:rsidRPr="000C1E36">
              <w:rPr>
                <w:rFonts w:asciiTheme="minorHAnsi" w:eastAsia="Calibri" w:hAnsiTheme="minorHAnsi" w:cstheme="minorHAnsi"/>
                <w:lang w:val="en-US"/>
              </w:rPr>
              <w:t>%</w:t>
            </w:r>
          </w:p>
        </w:tc>
      </w:tr>
      <w:tr w:rsidR="001F1E50" w:rsidRPr="000C1E36" w14:paraId="3742E131"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376FB9AD" w14:textId="77777777" w:rsidR="0021418A" w:rsidRPr="000C1E36" w:rsidRDefault="0021418A" w:rsidP="00C97D3E">
            <w:pPr>
              <w:spacing w:after="60"/>
              <w:jc w:val="both"/>
              <w:rPr>
                <w:rFonts w:asciiTheme="minorHAnsi" w:eastAsia="Calibri" w:hAnsiTheme="minorHAnsi" w:cstheme="minorHAnsi"/>
                <w:b/>
                <w:bCs/>
                <w:lang w:val="en-US"/>
              </w:rPr>
            </w:pPr>
          </w:p>
        </w:tc>
        <w:tc>
          <w:tcPr>
            <w:tcW w:w="2985" w:type="dxa"/>
          </w:tcPr>
          <w:p w14:paraId="5432FFCF" w14:textId="1D7A5D3A" w:rsidR="0021418A" w:rsidRPr="000C1E36" w:rsidRDefault="00CE7B2B" w:rsidP="00EB7CF4">
            <w:pPr>
              <w:spacing w:after="60"/>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Telemedicine</w:t>
            </w:r>
          </w:p>
        </w:tc>
        <w:tc>
          <w:tcPr>
            <w:tcW w:w="1386" w:type="dxa"/>
          </w:tcPr>
          <w:p w14:paraId="438C797F" w14:textId="7A5733D6" w:rsidR="0021418A" w:rsidRPr="000C1E36" w:rsidRDefault="00CE7B2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w:t>
            </w:r>
          </w:p>
        </w:tc>
        <w:tc>
          <w:tcPr>
            <w:tcW w:w="1243" w:type="dxa"/>
          </w:tcPr>
          <w:p w14:paraId="7F1DDA0B" w14:textId="7E6C9AAA" w:rsidR="0021418A" w:rsidRPr="000C1E36" w:rsidRDefault="00CE7B2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r w:rsidR="000C70B6" w:rsidRPr="000C1E36">
              <w:rPr>
                <w:rFonts w:asciiTheme="minorHAnsi" w:eastAsia="Calibri" w:hAnsiTheme="minorHAnsi" w:cstheme="minorHAnsi"/>
                <w:lang w:val="en-US"/>
              </w:rPr>
              <w:t>%</w:t>
            </w:r>
          </w:p>
        </w:tc>
      </w:tr>
      <w:tr w:rsidR="000C1E36" w:rsidRPr="000C1E36" w14:paraId="4E8445A8"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tcPr>
          <w:p w14:paraId="092DAA98" w14:textId="77777777" w:rsidR="00CE7B2B" w:rsidRPr="000C1E36" w:rsidRDefault="00CE7B2B" w:rsidP="00C97D3E">
            <w:pPr>
              <w:spacing w:after="60"/>
              <w:jc w:val="both"/>
              <w:rPr>
                <w:rFonts w:asciiTheme="minorHAnsi" w:eastAsia="Calibri" w:hAnsiTheme="minorHAnsi" w:cstheme="minorHAnsi"/>
                <w:b/>
                <w:bCs/>
                <w:lang w:val="en-US"/>
              </w:rPr>
            </w:pPr>
          </w:p>
        </w:tc>
        <w:tc>
          <w:tcPr>
            <w:tcW w:w="2985" w:type="dxa"/>
          </w:tcPr>
          <w:p w14:paraId="37F634C1" w14:textId="4CE6CEC5" w:rsidR="00CE7B2B" w:rsidRPr="000C1E36" w:rsidRDefault="00CE7B2B" w:rsidP="00EB7CF4">
            <w:pPr>
              <w:spacing w:after="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Web-based portals</w:t>
            </w:r>
          </w:p>
        </w:tc>
        <w:tc>
          <w:tcPr>
            <w:tcW w:w="1386" w:type="dxa"/>
          </w:tcPr>
          <w:p w14:paraId="7B52980B" w14:textId="27766A9D" w:rsidR="00CE7B2B" w:rsidRPr="000C1E36" w:rsidRDefault="00CE7B2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3</w:t>
            </w:r>
          </w:p>
        </w:tc>
        <w:tc>
          <w:tcPr>
            <w:tcW w:w="1243" w:type="dxa"/>
          </w:tcPr>
          <w:p w14:paraId="2A9FC639" w14:textId="591D5CDC" w:rsidR="00CE7B2B" w:rsidRPr="000C1E36" w:rsidRDefault="00CE7B2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5%</w:t>
            </w:r>
          </w:p>
        </w:tc>
      </w:tr>
      <w:tr w:rsidR="001F1E50" w:rsidRPr="000C1E36" w14:paraId="32133FBA"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tcPr>
          <w:p w14:paraId="00AD4668" w14:textId="77777777" w:rsidR="00CE7B2B" w:rsidRPr="000C1E36" w:rsidRDefault="00CE7B2B" w:rsidP="00C97D3E">
            <w:pPr>
              <w:spacing w:after="60"/>
              <w:jc w:val="both"/>
              <w:rPr>
                <w:rFonts w:asciiTheme="minorHAnsi" w:eastAsia="Calibri" w:hAnsiTheme="minorHAnsi" w:cstheme="minorHAnsi"/>
                <w:b/>
                <w:bCs/>
                <w:lang w:val="en-US"/>
              </w:rPr>
            </w:pPr>
          </w:p>
        </w:tc>
        <w:tc>
          <w:tcPr>
            <w:tcW w:w="2985" w:type="dxa"/>
          </w:tcPr>
          <w:p w14:paraId="1272B89C" w14:textId="402336AF" w:rsidR="00CE7B2B" w:rsidRPr="000C1E36" w:rsidRDefault="00CE7B2B" w:rsidP="00EB7CF4">
            <w:pPr>
              <w:spacing w:after="60"/>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Others</w:t>
            </w:r>
          </w:p>
        </w:tc>
        <w:tc>
          <w:tcPr>
            <w:tcW w:w="1386" w:type="dxa"/>
          </w:tcPr>
          <w:p w14:paraId="5620EE52" w14:textId="5F569097" w:rsidR="00CE7B2B" w:rsidRPr="000C1E36" w:rsidRDefault="00CE7B2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w:t>
            </w:r>
          </w:p>
        </w:tc>
        <w:tc>
          <w:tcPr>
            <w:tcW w:w="1243" w:type="dxa"/>
          </w:tcPr>
          <w:p w14:paraId="4863A73A" w14:textId="6F6AD4F4" w:rsidR="00CE7B2B" w:rsidRPr="000C1E36" w:rsidRDefault="00CE7B2B"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p>
        </w:tc>
      </w:tr>
      <w:tr w:rsidR="000C1E36" w:rsidRPr="000C1E36" w14:paraId="24EE06F8" w14:textId="77777777" w:rsidTr="009B3008">
        <w:trPr>
          <w:trHeight w:val="283"/>
        </w:trPr>
        <w:tc>
          <w:tcPr>
            <w:cnfStyle w:val="001000000000" w:firstRow="0" w:lastRow="0" w:firstColumn="1" w:lastColumn="0" w:oddVBand="0" w:evenVBand="0" w:oddHBand="0" w:evenHBand="0" w:firstRowFirstColumn="0" w:firstRowLastColumn="0" w:lastRowFirstColumn="0" w:lastRowLastColumn="0"/>
            <w:tcW w:w="2778" w:type="dxa"/>
            <w:vMerge w:val="restart"/>
          </w:tcPr>
          <w:p w14:paraId="17EA3509" w14:textId="77777777" w:rsidR="00361E72" w:rsidRPr="000C1E36" w:rsidRDefault="00361E72" w:rsidP="00C97D3E">
            <w:pPr>
              <w:spacing w:after="60"/>
              <w:jc w:val="both"/>
              <w:rPr>
                <w:rFonts w:asciiTheme="minorHAnsi" w:eastAsia="Calibri" w:hAnsiTheme="minorHAnsi" w:cstheme="minorHAnsi"/>
                <w:b/>
                <w:bCs/>
                <w:lang w:val="en-US"/>
              </w:rPr>
            </w:pPr>
            <w:r w:rsidRPr="000C1E36">
              <w:rPr>
                <w:rFonts w:asciiTheme="minorHAnsi" w:eastAsia="Calibri" w:hAnsiTheme="minorHAnsi" w:cstheme="minorHAnsi"/>
                <w:lang w:val="en-US"/>
              </w:rPr>
              <w:t>Location</w:t>
            </w:r>
          </w:p>
        </w:tc>
        <w:tc>
          <w:tcPr>
            <w:tcW w:w="2985" w:type="dxa"/>
          </w:tcPr>
          <w:p w14:paraId="0F015EFB" w14:textId="3F870BA7" w:rsidR="00361E72" w:rsidRPr="000C1E36" w:rsidRDefault="00260C69" w:rsidP="00EB7CF4">
            <w:pPr>
              <w:spacing w:after="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America (</w:t>
            </w:r>
            <w:r w:rsidR="00361E72" w:rsidRPr="000C1E36">
              <w:rPr>
                <w:rFonts w:asciiTheme="minorHAnsi" w:eastAsia="Calibri" w:hAnsiTheme="minorHAnsi" w:cstheme="minorHAnsi"/>
                <w:lang w:val="en-US"/>
              </w:rPr>
              <w:t>USA &amp; Canada</w:t>
            </w:r>
            <w:r w:rsidRPr="000C1E36">
              <w:rPr>
                <w:rFonts w:asciiTheme="minorHAnsi" w:eastAsia="Calibri" w:hAnsiTheme="minorHAnsi" w:cstheme="minorHAnsi"/>
                <w:lang w:val="en-US"/>
              </w:rPr>
              <w:t xml:space="preserve"> &amp; Brazil)</w:t>
            </w:r>
          </w:p>
        </w:tc>
        <w:tc>
          <w:tcPr>
            <w:tcW w:w="1386" w:type="dxa"/>
          </w:tcPr>
          <w:p w14:paraId="42A58C50" w14:textId="174C95EC" w:rsidR="00361E72" w:rsidRPr="000C1E36" w:rsidRDefault="00361E72"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3</w:t>
            </w:r>
            <w:r w:rsidR="00CE7B2B" w:rsidRPr="000C1E36">
              <w:rPr>
                <w:rFonts w:asciiTheme="minorHAnsi" w:eastAsia="Calibri" w:hAnsiTheme="minorHAnsi" w:cstheme="minorHAnsi"/>
                <w:lang w:val="en-US"/>
              </w:rPr>
              <w:t>8</w:t>
            </w:r>
          </w:p>
        </w:tc>
        <w:tc>
          <w:tcPr>
            <w:tcW w:w="1243" w:type="dxa"/>
          </w:tcPr>
          <w:p w14:paraId="6404BDB0" w14:textId="1D6CBC37" w:rsidR="00361E72" w:rsidRPr="000C1E36" w:rsidRDefault="0048777E"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6</w:t>
            </w:r>
            <w:r w:rsidR="00CE7B2B" w:rsidRPr="000C1E36">
              <w:rPr>
                <w:rFonts w:asciiTheme="minorHAnsi" w:eastAsia="Calibri" w:hAnsiTheme="minorHAnsi" w:cstheme="minorHAnsi"/>
                <w:lang w:val="en-US"/>
              </w:rPr>
              <w:t>9</w:t>
            </w:r>
            <w:r w:rsidR="00361E72" w:rsidRPr="000C1E36">
              <w:rPr>
                <w:rFonts w:asciiTheme="minorHAnsi" w:eastAsia="Calibri" w:hAnsiTheme="minorHAnsi" w:cstheme="minorHAnsi"/>
                <w:lang w:val="en-US"/>
              </w:rPr>
              <w:t>%</w:t>
            </w:r>
          </w:p>
        </w:tc>
      </w:tr>
      <w:tr w:rsidR="001F1E50" w:rsidRPr="000C1E36" w14:paraId="0353470D"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5A8E1F80" w14:textId="77777777" w:rsidR="00361E72" w:rsidRPr="000C1E36" w:rsidRDefault="00361E72" w:rsidP="00C97D3E">
            <w:pPr>
              <w:spacing w:after="60"/>
              <w:jc w:val="both"/>
              <w:rPr>
                <w:rFonts w:asciiTheme="minorHAnsi" w:eastAsia="Calibri" w:hAnsiTheme="minorHAnsi" w:cstheme="minorHAnsi"/>
                <w:lang w:val="en-US"/>
              </w:rPr>
            </w:pPr>
          </w:p>
        </w:tc>
        <w:tc>
          <w:tcPr>
            <w:tcW w:w="2985" w:type="dxa"/>
          </w:tcPr>
          <w:p w14:paraId="195B4F50" w14:textId="77777777" w:rsidR="00361E72" w:rsidRPr="000C1E36" w:rsidRDefault="00361E72" w:rsidP="00EB7CF4">
            <w:pPr>
              <w:spacing w:after="60"/>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Europe</w:t>
            </w:r>
          </w:p>
        </w:tc>
        <w:tc>
          <w:tcPr>
            <w:tcW w:w="1386" w:type="dxa"/>
          </w:tcPr>
          <w:p w14:paraId="5EFE736C" w14:textId="1A16CE15" w:rsidR="00361E72" w:rsidRPr="000C1E36" w:rsidRDefault="001923B7"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9</w:t>
            </w:r>
          </w:p>
        </w:tc>
        <w:tc>
          <w:tcPr>
            <w:tcW w:w="1243" w:type="dxa"/>
          </w:tcPr>
          <w:p w14:paraId="629EDB63" w14:textId="15798EE1" w:rsidR="00361E72" w:rsidRPr="000C1E36" w:rsidRDefault="0048777E"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16</w:t>
            </w:r>
            <w:r w:rsidR="00361E72" w:rsidRPr="000C1E36">
              <w:rPr>
                <w:rFonts w:asciiTheme="minorHAnsi" w:eastAsia="Calibri" w:hAnsiTheme="minorHAnsi" w:cstheme="minorHAnsi"/>
                <w:lang w:val="en-US"/>
              </w:rPr>
              <w:t>%</w:t>
            </w:r>
          </w:p>
        </w:tc>
      </w:tr>
      <w:tr w:rsidR="000C1E36" w:rsidRPr="000C1E36" w14:paraId="6BF21DDB"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2CD96849" w14:textId="77777777" w:rsidR="00361E72" w:rsidRPr="000C1E36" w:rsidRDefault="00361E72" w:rsidP="00C97D3E">
            <w:pPr>
              <w:spacing w:after="60"/>
              <w:jc w:val="both"/>
              <w:rPr>
                <w:rFonts w:asciiTheme="minorHAnsi" w:eastAsia="Calibri" w:hAnsiTheme="minorHAnsi" w:cstheme="minorHAnsi"/>
                <w:lang w:val="en-US"/>
              </w:rPr>
            </w:pPr>
          </w:p>
        </w:tc>
        <w:tc>
          <w:tcPr>
            <w:tcW w:w="2985" w:type="dxa"/>
          </w:tcPr>
          <w:p w14:paraId="2B827298" w14:textId="77777777" w:rsidR="00361E72" w:rsidRPr="000C1E36" w:rsidRDefault="00361E72"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Asia-Pacific</w:t>
            </w:r>
          </w:p>
        </w:tc>
        <w:tc>
          <w:tcPr>
            <w:tcW w:w="1386" w:type="dxa"/>
          </w:tcPr>
          <w:p w14:paraId="4672F2EE" w14:textId="398A5A5A" w:rsidR="00361E72" w:rsidRPr="000C1E36" w:rsidRDefault="00F73004"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7</w:t>
            </w:r>
          </w:p>
        </w:tc>
        <w:tc>
          <w:tcPr>
            <w:tcW w:w="1243" w:type="dxa"/>
          </w:tcPr>
          <w:p w14:paraId="42DE79C4" w14:textId="4C0F2404" w:rsidR="00361E72" w:rsidRPr="000C1E36" w:rsidRDefault="007067BB"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13</w:t>
            </w:r>
            <w:r w:rsidR="00361E72" w:rsidRPr="000C1E36">
              <w:rPr>
                <w:rFonts w:asciiTheme="minorHAnsi" w:eastAsia="Calibri" w:hAnsiTheme="minorHAnsi" w:cstheme="minorHAnsi"/>
                <w:lang w:val="en-US"/>
              </w:rPr>
              <w:t>%</w:t>
            </w:r>
          </w:p>
        </w:tc>
      </w:tr>
      <w:tr w:rsidR="001F1E50" w:rsidRPr="000C1E36" w14:paraId="26923566"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4270499A" w14:textId="77777777" w:rsidR="00361E72" w:rsidRPr="000C1E36" w:rsidRDefault="00361E72" w:rsidP="00C97D3E">
            <w:pPr>
              <w:spacing w:after="60"/>
              <w:jc w:val="both"/>
              <w:rPr>
                <w:rFonts w:asciiTheme="minorHAnsi" w:eastAsia="Calibri" w:hAnsiTheme="minorHAnsi" w:cstheme="minorHAnsi"/>
                <w:lang w:val="en-US"/>
              </w:rPr>
            </w:pPr>
          </w:p>
        </w:tc>
        <w:tc>
          <w:tcPr>
            <w:tcW w:w="2985" w:type="dxa"/>
          </w:tcPr>
          <w:p w14:paraId="68C47A20" w14:textId="7AA24341" w:rsidR="00361E72" w:rsidRPr="000C1E36" w:rsidRDefault="00260C69"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Middle East (</w:t>
            </w:r>
            <w:r w:rsidR="00324EF8" w:rsidRPr="000C1E36">
              <w:rPr>
                <w:rFonts w:asciiTheme="minorHAnsi" w:eastAsia="Calibri" w:hAnsiTheme="minorHAnsi" w:cstheme="minorHAnsi"/>
                <w:lang w:val="en-US"/>
              </w:rPr>
              <w:t>Iran</w:t>
            </w:r>
            <w:r w:rsidRPr="000C1E36">
              <w:rPr>
                <w:rFonts w:asciiTheme="minorHAnsi" w:eastAsia="Calibri" w:hAnsiTheme="minorHAnsi" w:cstheme="minorHAnsi"/>
                <w:lang w:val="en-US"/>
              </w:rPr>
              <w:t>)</w:t>
            </w:r>
          </w:p>
        </w:tc>
        <w:tc>
          <w:tcPr>
            <w:tcW w:w="1386" w:type="dxa"/>
          </w:tcPr>
          <w:p w14:paraId="548E0E04" w14:textId="0CE4603F" w:rsidR="00361E72" w:rsidRPr="000C1E36" w:rsidRDefault="00D24BE6"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w:t>
            </w:r>
          </w:p>
        </w:tc>
        <w:tc>
          <w:tcPr>
            <w:tcW w:w="1243" w:type="dxa"/>
          </w:tcPr>
          <w:p w14:paraId="68BC9AF9" w14:textId="17EDFF4B" w:rsidR="00361E72" w:rsidRPr="000C1E36" w:rsidRDefault="003A1BFC"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2</w:t>
            </w:r>
            <w:r w:rsidR="00361E72" w:rsidRPr="000C1E36">
              <w:rPr>
                <w:rFonts w:asciiTheme="minorHAnsi" w:eastAsia="Calibri" w:hAnsiTheme="minorHAnsi" w:cstheme="minorHAnsi"/>
                <w:lang w:val="en-US"/>
              </w:rPr>
              <w:t>%</w:t>
            </w:r>
          </w:p>
        </w:tc>
      </w:tr>
      <w:tr w:rsidR="000C1E36" w:rsidRPr="000C1E36" w14:paraId="78D89551" w14:textId="77777777" w:rsidTr="009B3008">
        <w:trPr>
          <w:trHeight w:val="283"/>
        </w:trPr>
        <w:tc>
          <w:tcPr>
            <w:cnfStyle w:val="001000000000" w:firstRow="0" w:lastRow="0" w:firstColumn="1" w:lastColumn="0" w:oddVBand="0" w:evenVBand="0" w:oddHBand="0" w:evenHBand="0" w:firstRowFirstColumn="0" w:firstRowLastColumn="0" w:lastRowFirstColumn="0" w:lastRowLastColumn="0"/>
            <w:tcW w:w="2778" w:type="dxa"/>
            <w:vMerge w:val="restart"/>
          </w:tcPr>
          <w:p w14:paraId="470347D3" w14:textId="77777777" w:rsidR="00361E72" w:rsidRPr="000C1E36" w:rsidRDefault="00361E72" w:rsidP="00C97D3E">
            <w:pPr>
              <w:spacing w:after="60"/>
              <w:jc w:val="both"/>
              <w:rPr>
                <w:rFonts w:asciiTheme="minorHAnsi" w:eastAsia="Calibri" w:hAnsiTheme="minorHAnsi" w:cstheme="minorHAnsi"/>
                <w:b/>
                <w:bCs/>
                <w:lang w:val="en-US"/>
              </w:rPr>
            </w:pPr>
            <w:r w:rsidRPr="000C1E36">
              <w:rPr>
                <w:rFonts w:asciiTheme="minorHAnsi" w:eastAsia="Calibri" w:hAnsiTheme="minorHAnsi" w:cstheme="minorHAnsi"/>
                <w:lang w:val="en-US"/>
              </w:rPr>
              <w:t>Participants</w:t>
            </w:r>
          </w:p>
        </w:tc>
        <w:tc>
          <w:tcPr>
            <w:tcW w:w="2985" w:type="dxa"/>
          </w:tcPr>
          <w:p w14:paraId="63E734CE" w14:textId="77777777" w:rsidR="00361E72" w:rsidRPr="000C1E36" w:rsidRDefault="00361E72"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Patients</w:t>
            </w:r>
          </w:p>
        </w:tc>
        <w:tc>
          <w:tcPr>
            <w:tcW w:w="1386" w:type="dxa"/>
          </w:tcPr>
          <w:p w14:paraId="37E1A3CB" w14:textId="5AFA2C62" w:rsidR="00361E72" w:rsidRPr="000C1E36" w:rsidRDefault="005E07EF"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r w:rsidR="00037A94" w:rsidRPr="000C1E36">
              <w:rPr>
                <w:rFonts w:asciiTheme="minorHAnsi" w:eastAsia="Calibri" w:hAnsiTheme="minorHAnsi" w:cstheme="minorHAnsi"/>
                <w:lang w:val="en-US"/>
              </w:rPr>
              <w:t>3</w:t>
            </w:r>
          </w:p>
        </w:tc>
        <w:tc>
          <w:tcPr>
            <w:tcW w:w="1243" w:type="dxa"/>
          </w:tcPr>
          <w:p w14:paraId="66557E3B" w14:textId="62D21C64" w:rsidR="00361E72" w:rsidRPr="000C1E36" w:rsidRDefault="004C56B9"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78</w:t>
            </w:r>
            <w:r w:rsidR="00361E72" w:rsidRPr="000C1E36">
              <w:rPr>
                <w:rFonts w:asciiTheme="minorHAnsi" w:eastAsia="Calibri" w:hAnsiTheme="minorHAnsi" w:cstheme="minorHAnsi"/>
                <w:lang w:val="en-US"/>
              </w:rPr>
              <w:t>%</w:t>
            </w:r>
          </w:p>
        </w:tc>
      </w:tr>
      <w:tr w:rsidR="001F1E50" w:rsidRPr="000C1E36" w14:paraId="7868E67E" w14:textId="77777777" w:rsidTr="009B300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27E5363E" w14:textId="77777777" w:rsidR="00361E72" w:rsidRPr="000C1E36" w:rsidRDefault="00361E72" w:rsidP="00C97D3E">
            <w:pPr>
              <w:spacing w:after="60"/>
              <w:jc w:val="both"/>
              <w:rPr>
                <w:rFonts w:asciiTheme="minorHAnsi" w:eastAsia="Calibri" w:hAnsiTheme="minorHAnsi" w:cstheme="minorHAnsi"/>
                <w:lang w:val="en-US"/>
              </w:rPr>
            </w:pPr>
          </w:p>
        </w:tc>
        <w:tc>
          <w:tcPr>
            <w:tcW w:w="2985" w:type="dxa"/>
          </w:tcPr>
          <w:p w14:paraId="1F5EBF11" w14:textId="77777777" w:rsidR="00361E72" w:rsidRPr="000C1E36" w:rsidRDefault="00361E72"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Family members</w:t>
            </w:r>
          </w:p>
        </w:tc>
        <w:tc>
          <w:tcPr>
            <w:tcW w:w="1386" w:type="dxa"/>
          </w:tcPr>
          <w:p w14:paraId="10D4C127" w14:textId="4BF8CF3E" w:rsidR="00361E72" w:rsidRPr="000C1E36" w:rsidRDefault="004D2103"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4</w:t>
            </w:r>
          </w:p>
        </w:tc>
        <w:tc>
          <w:tcPr>
            <w:tcW w:w="1243" w:type="dxa"/>
          </w:tcPr>
          <w:p w14:paraId="4D029DB4" w14:textId="073715D8" w:rsidR="00361E72" w:rsidRPr="000C1E36" w:rsidRDefault="006B6E70" w:rsidP="00C97D3E">
            <w:pPr>
              <w:spacing w:after="60"/>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7</w:t>
            </w:r>
            <w:r w:rsidR="00361E72" w:rsidRPr="000C1E36">
              <w:rPr>
                <w:rFonts w:asciiTheme="minorHAnsi" w:eastAsia="Calibri" w:hAnsiTheme="minorHAnsi" w:cstheme="minorHAnsi"/>
                <w:lang w:val="en-US"/>
              </w:rPr>
              <w:t>%</w:t>
            </w:r>
          </w:p>
        </w:tc>
      </w:tr>
      <w:tr w:rsidR="000C1E36" w:rsidRPr="000C1E36" w14:paraId="3391B3E7" w14:textId="77777777" w:rsidTr="009B3008">
        <w:trPr>
          <w:trHeight w:val="295"/>
        </w:trPr>
        <w:tc>
          <w:tcPr>
            <w:cnfStyle w:val="001000000000" w:firstRow="0" w:lastRow="0" w:firstColumn="1" w:lastColumn="0" w:oddVBand="0" w:evenVBand="0" w:oddHBand="0" w:evenHBand="0" w:firstRowFirstColumn="0" w:firstRowLastColumn="0" w:lastRowFirstColumn="0" w:lastRowLastColumn="0"/>
            <w:tcW w:w="2778" w:type="dxa"/>
            <w:vMerge/>
          </w:tcPr>
          <w:p w14:paraId="6B5F6363" w14:textId="77777777" w:rsidR="00361E72" w:rsidRPr="000C1E36" w:rsidRDefault="00361E72" w:rsidP="00C97D3E">
            <w:pPr>
              <w:spacing w:after="60"/>
              <w:jc w:val="both"/>
              <w:rPr>
                <w:rFonts w:asciiTheme="minorHAnsi" w:eastAsia="Calibri" w:hAnsiTheme="minorHAnsi" w:cstheme="minorHAnsi"/>
                <w:lang w:val="en-US"/>
              </w:rPr>
            </w:pPr>
          </w:p>
        </w:tc>
        <w:tc>
          <w:tcPr>
            <w:tcW w:w="2985" w:type="dxa"/>
          </w:tcPr>
          <w:p w14:paraId="4574B14B" w14:textId="77777777" w:rsidR="00361E72" w:rsidRPr="000C1E36" w:rsidRDefault="00361E72"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Care providers</w:t>
            </w:r>
          </w:p>
        </w:tc>
        <w:tc>
          <w:tcPr>
            <w:tcW w:w="1386" w:type="dxa"/>
          </w:tcPr>
          <w:p w14:paraId="28C26C7B" w14:textId="0FA9BF07" w:rsidR="00361E72" w:rsidRPr="000C1E36" w:rsidRDefault="00DB4284"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8</w:t>
            </w:r>
          </w:p>
        </w:tc>
        <w:tc>
          <w:tcPr>
            <w:tcW w:w="1243" w:type="dxa"/>
          </w:tcPr>
          <w:p w14:paraId="45C8632E" w14:textId="7D16DC21" w:rsidR="00361E72" w:rsidRPr="000C1E36" w:rsidRDefault="006B6E70" w:rsidP="00C97D3E">
            <w:pPr>
              <w:spacing w:after="60"/>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lang w:val="en-US"/>
              </w:rPr>
            </w:pPr>
            <w:r w:rsidRPr="000C1E36">
              <w:rPr>
                <w:rFonts w:asciiTheme="minorHAnsi" w:eastAsia="Calibri" w:hAnsiTheme="minorHAnsi" w:cstheme="minorHAnsi"/>
                <w:lang w:val="en-US"/>
              </w:rPr>
              <w:t>15</w:t>
            </w:r>
            <w:r w:rsidR="00361E72" w:rsidRPr="000C1E36">
              <w:rPr>
                <w:rFonts w:asciiTheme="minorHAnsi" w:eastAsia="Calibri" w:hAnsiTheme="minorHAnsi" w:cstheme="minorHAnsi"/>
                <w:lang w:val="en-US"/>
              </w:rPr>
              <w:t>%</w:t>
            </w:r>
          </w:p>
        </w:tc>
      </w:tr>
    </w:tbl>
    <w:p w14:paraId="15E6DEAE" w14:textId="21520862" w:rsidR="003B17D9" w:rsidRPr="003B17D9" w:rsidRDefault="003B17D9" w:rsidP="003B17D9">
      <w:pPr>
        <w:spacing w:line="240" w:lineRule="auto"/>
        <w:jc w:val="both"/>
        <w:rPr>
          <w:rFonts w:asciiTheme="minorHAnsi" w:eastAsia="Times New Roman" w:hAnsiTheme="minorHAnsi" w:cstheme="minorHAnsi"/>
          <w:i/>
          <w:iCs/>
          <w:color w:val="000000" w:themeColor="text1"/>
          <w:lang w:eastAsia="en-GB"/>
        </w:rPr>
      </w:pPr>
      <w:r w:rsidRPr="003B17D9">
        <w:rPr>
          <w:rFonts w:asciiTheme="minorHAnsi" w:eastAsia="Times New Roman" w:hAnsiTheme="minorHAnsi" w:cstheme="minorHAnsi"/>
          <w:i/>
          <w:iCs/>
          <w:color w:val="000000" w:themeColor="text1"/>
          <w:lang w:eastAsia="en-GB"/>
        </w:rPr>
        <w:t>Note: Electronic applications/devices include digital health home spirometry, electronic health record</w:t>
      </w:r>
      <w:r w:rsidR="000A126A">
        <w:rPr>
          <w:rFonts w:asciiTheme="minorHAnsi" w:eastAsia="Times New Roman" w:hAnsiTheme="minorHAnsi" w:cstheme="minorHAnsi"/>
          <w:i/>
          <w:iCs/>
          <w:color w:val="000000" w:themeColor="text1"/>
          <w:lang w:eastAsia="en-GB"/>
        </w:rPr>
        <w:t>s</w:t>
      </w:r>
      <w:r w:rsidRPr="003B17D9">
        <w:rPr>
          <w:rFonts w:asciiTheme="minorHAnsi" w:eastAsia="Times New Roman" w:hAnsiTheme="minorHAnsi" w:cstheme="minorHAnsi"/>
          <w:i/>
          <w:iCs/>
          <w:color w:val="000000" w:themeColor="text1"/>
          <w:lang w:eastAsia="en-GB"/>
        </w:rPr>
        <w:t>, electronic mental health screening, digital health program</w:t>
      </w:r>
      <w:r w:rsidR="000A126A">
        <w:rPr>
          <w:rFonts w:asciiTheme="minorHAnsi" w:eastAsia="Times New Roman" w:hAnsiTheme="minorHAnsi" w:cstheme="minorHAnsi"/>
          <w:i/>
          <w:iCs/>
          <w:color w:val="000000" w:themeColor="text1"/>
          <w:lang w:eastAsia="en-GB"/>
        </w:rPr>
        <w:t>s</w:t>
      </w:r>
      <w:r w:rsidRPr="003B17D9">
        <w:rPr>
          <w:rFonts w:asciiTheme="minorHAnsi" w:eastAsia="Times New Roman" w:hAnsiTheme="minorHAnsi" w:cstheme="minorHAnsi"/>
          <w:i/>
          <w:iCs/>
          <w:color w:val="000000" w:themeColor="text1"/>
          <w:lang w:eastAsia="en-GB"/>
        </w:rPr>
        <w:t xml:space="preserve">, </w:t>
      </w:r>
      <w:r w:rsidR="000A126A">
        <w:rPr>
          <w:rFonts w:asciiTheme="minorHAnsi" w:eastAsia="Times New Roman" w:hAnsiTheme="minorHAnsi" w:cstheme="minorHAnsi"/>
          <w:i/>
          <w:iCs/>
          <w:color w:val="000000" w:themeColor="text1"/>
          <w:lang w:eastAsia="en-GB"/>
        </w:rPr>
        <w:t xml:space="preserve">and </w:t>
      </w:r>
      <w:r w:rsidRPr="003B17D9">
        <w:rPr>
          <w:rFonts w:asciiTheme="minorHAnsi" w:eastAsia="Times New Roman" w:hAnsiTheme="minorHAnsi" w:cstheme="minorHAnsi"/>
          <w:i/>
          <w:iCs/>
          <w:color w:val="000000" w:themeColor="text1"/>
          <w:lang w:eastAsia="en-GB"/>
        </w:rPr>
        <w:t>eHealth; Emerging technologies include AI, and Wearables. Others include health information technology, and interactive health technology.</w:t>
      </w:r>
    </w:p>
    <w:p w14:paraId="79DB3AC9" w14:textId="4C46C06F" w:rsidR="000C1E36" w:rsidRPr="00C67620" w:rsidRDefault="00361E72" w:rsidP="26F64964">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lang w:eastAsia="en-GB"/>
        </w:rPr>
        <w:t xml:space="preserve">Figure </w:t>
      </w:r>
      <w:r w:rsidR="005D1A27" w:rsidRPr="26F64964">
        <w:rPr>
          <w:rFonts w:asciiTheme="minorHAnsi" w:eastAsia="Times New Roman" w:hAnsiTheme="minorHAnsi" w:cstheme="minorBidi"/>
          <w:lang w:eastAsia="en-GB"/>
        </w:rPr>
        <w:t>2</w:t>
      </w:r>
      <w:r w:rsidR="00605407" w:rsidRPr="26F64964">
        <w:rPr>
          <w:rFonts w:asciiTheme="minorHAnsi" w:eastAsia="Times New Roman" w:hAnsiTheme="minorHAnsi" w:cstheme="minorBidi"/>
          <w:lang w:eastAsia="en-GB"/>
        </w:rPr>
        <w:t xml:space="preserve"> </w:t>
      </w:r>
      <w:r w:rsidR="008F06E4" w:rsidRPr="26F64964">
        <w:rPr>
          <w:rFonts w:asciiTheme="minorHAnsi" w:eastAsia="Times New Roman" w:hAnsiTheme="minorHAnsi" w:cstheme="minorBidi"/>
          <w:lang w:eastAsia="en-GB"/>
        </w:rPr>
        <w:t xml:space="preserve">shows the </w:t>
      </w:r>
      <w:r w:rsidR="008F06E4" w:rsidRPr="26F64964">
        <w:rPr>
          <w:rFonts w:asciiTheme="minorHAnsi" w:eastAsia="Times New Roman" w:hAnsiTheme="minorHAnsi" w:cstheme="minorBidi"/>
          <w:highlight w:val="white"/>
          <w:lang w:eastAsia="en-GB"/>
        </w:rPr>
        <w:t>word cloud on selected studies</w:t>
      </w:r>
      <w:r w:rsidR="000A126A" w:rsidRPr="26F64964">
        <w:rPr>
          <w:rFonts w:asciiTheme="minorHAnsi" w:eastAsia="Times New Roman" w:hAnsiTheme="minorHAnsi" w:cstheme="minorBidi"/>
          <w:highlight w:val="white"/>
          <w:lang w:eastAsia="en-GB"/>
        </w:rPr>
        <w:t>'</w:t>
      </w:r>
      <w:r w:rsidR="008F06E4" w:rsidRPr="26F64964">
        <w:rPr>
          <w:rFonts w:asciiTheme="minorHAnsi" w:eastAsia="Times New Roman" w:hAnsiTheme="minorHAnsi" w:cstheme="minorBidi"/>
          <w:highlight w:val="white"/>
          <w:lang w:eastAsia="en-GB"/>
        </w:rPr>
        <w:t xml:space="preserve"> article title. Figure</w:t>
      </w:r>
      <w:r w:rsidR="005D1A27" w:rsidRPr="26F64964">
        <w:rPr>
          <w:rFonts w:asciiTheme="minorHAnsi" w:eastAsia="Times New Roman" w:hAnsiTheme="minorHAnsi" w:cstheme="minorBidi"/>
          <w:lang w:eastAsia="en-GB"/>
        </w:rPr>
        <w:t xml:space="preserve"> 3</w:t>
      </w:r>
      <w:r w:rsidRPr="26F64964">
        <w:rPr>
          <w:rFonts w:asciiTheme="minorHAnsi" w:eastAsia="Times New Roman" w:hAnsiTheme="minorHAnsi" w:cstheme="minorBidi"/>
          <w:lang w:eastAsia="en-GB"/>
        </w:rPr>
        <w:t xml:space="preserve"> show</w:t>
      </w:r>
      <w:r w:rsidR="008F06E4" w:rsidRPr="26F64964">
        <w:rPr>
          <w:rFonts w:asciiTheme="minorHAnsi" w:eastAsia="Times New Roman" w:hAnsiTheme="minorHAnsi" w:cstheme="minorBidi"/>
          <w:lang w:eastAsia="en-GB"/>
        </w:rPr>
        <w:t>s</w:t>
      </w:r>
      <w:r w:rsidRPr="26F64964">
        <w:rPr>
          <w:rFonts w:asciiTheme="minorHAnsi" w:eastAsia="Times New Roman" w:hAnsiTheme="minorHAnsi" w:cstheme="minorBidi"/>
          <w:lang w:eastAsia="en-GB"/>
        </w:rPr>
        <w:t xml:space="preserve"> the word cloud on selected studies </w:t>
      </w:r>
      <w:r w:rsidR="008F06E4" w:rsidRPr="26F64964">
        <w:rPr>
          <w:rFonts w:asciiTheme="minorHAnsi" w:eastAsia="Times New Roman" w:hAnsiTheme="minorHAnsi" w:cstheme="minorBidi"/>
          <w:lang w:eastAsia="en-GB"/>
        </w:rPr>
        <w:t>abstract</w:t>
      </w:r>
      <w:r w:rsidR="000C1E36" w:rsidRPr="26F64964">
        <w:rPr>
          <w:rFonts w:asciiTheme="minorHAnsi" w:eastAsia="Times New Roman" w:hAnsiTheme="minorHAnsi" w:cstheme="minorBidi"/>
          <w:lang w:eastAsia="en-GB"/>
        </w:rPr>
        <w:t xml:space="preserve">. </w:t>
      </w:r>
      <w:r w:rsidR="000C1E36" w:rsidRPr="26F64964">
        <w:rPr>
          <w:rFonts w:asciiTheme="minorHAnsi" w:hAnsiTheme="minorHAnsi" w:cstheme="minorBidi"/>
        </w:rPr>
        <w:t xml:space="preserve">The paired word cloud analysis </w:t>
      </w:r>
      <w:r w:rsidR="00084809" w:rsidRPr="26F64964">
        <w:rPr>
          <w:rFonts w:asciiTheme="minorHAnsi" w:hAnsiTheme="minorHAnsi" w:cstheme="minorBidi"/>
        </w:rPr>
        <w:t xml:space="preserve"> was</w:t>
      </w:r>
      <w:r w:rsidR="000C1E36" w:rsidRPr="26F64964">
        <w:rPr>
          <w:rFonts w:asciiTheme="minorHAnsi" w:hAnsiTheme="minorHAnsi" w:cstheme="minorBidi"/>
        </w:rPr>
        <w:t xml:space="preserve"> applied over the abstracts and titles to identify recurring concepts/themes within the selected studies. </w:t>
      </w:r>
      <w:r w:rsidR="000C1E36" w:rsidRPr="26F64964">
        <w:rPr>
          <w:rFonts w:asciiTheme="minorHAnsi" w:eastAsia="Times New Roman" w:hAnsiTheme="minorHAnsi" w:cstheme="minorBidi"/>
          <w:lang w:eastAsia="en-GB"/>
        </w:rPr>
        <w:t xml:space="preserve">The analysis from the title word cloud depicts the words that </w:t>
      </w:r>
      <w:r w:rsidR="000A126A" w:rsidRPr="26F64964">
        <w:rPr>
          <w:rFonts w:asciiTheme="minorHAnsi" w:eastAsia="Times New Roman" w:hAnsiTheme="minorHAnsi" w:cstheme="minorBidi"/>
          <w:lang w:eastAsia="en-GB"/>
        </w:rPr>
        <w:t xml:space="preserve">have </w:t>
      </w:r>
      <w:r w:rsidR="000C1E36" w:rsidRPr="26F64964">
        <w:rPr>
          <w:rFonts w:asciiTheme="minorHAnsi" w:eastAsia="Times New Roman" w:hAnsiTheme="minorHAnsi" w:cstheme="minorBidi"/>
          <w:lang w:eastAsia="en-GB"/>
        </w:rPr>
        <w:t xml:space="preserve">been used often: a) health with 12 repetitions, b) mobile with ten repetitions, c) technology with </w:t>
      </w:r>
      <w:r w:rsidR="00084809" w:rsidRPr="26F64964">
        <w:rPr>
          <w:rFonts w:asciiTheme="minorHAnsi" w:eastAsia="Times New Roman" w:hAnsiTheme="minorHAnsi" w:cstheme="minorBidi"/>
          <w:lang w:eastAsia="en-GB"/>
        </w:rPr>
        <w:t xml:space="preserve">eight </w:t>
      </w:r>
      <w:r w:rsidR="000C1E36" w:rsidRPr="26F64964">
        <w:rPr>
          <w:rFonts w:asciiTheme="minorHAnsi" w:eastAsia="Times New Roman" w:hAnsiTheme="minorHAnsi" w:cstheme="minorBidi"/>
          <w:lang w:eastAsia="en-GB"/>
        </w:rPr>
        <w:t>repetitions, d) kidney transplant recipients with seven repetitions, e) transplant with six repetitions. The analysis from the abstract word cloud depicts the words that have been used often: a)</w:t>
      </w:r>
      <w:r w:rsidR="003B17D9" w:rsidRPr="26F64964">
        <w:rPr>
          <w:rFonts w:asciiTheme="minorHAnsi" w:eastAsia="Times New Roman" w:hAnsiTheme="minorHAnsi" w:cstheme="minorBidi"/>
          <w:lang w:eastAsia="en-GB"/>
        </w:rPr>
        <w:t xml:space="preserve"> </w:t>
      </w:r>
      <w:r w:rsidR="000C1E36" w:rsidRPr="26F64964">
        <w:rPr>
          <w:rFonts w:asciiTheme="minorHAnsi" w:eastAsia="Times New Roman" w:hAnsiTheme="minorHAnsi" w:cstheme="minorBidi"/>
          <w:lang w:eastAsia="en-GB"/>
        </w:rPr>
        <w:t xml:space="preserve">transplant with 160 repetitions, b) </w:t>
      </w:r>
      <w:r w:rsidR="000C1E36" w:rsidRPr="26F64964">
        <w:rPr>
          <w:rFonts w:asciiTheme="minorHAnsi" w:eastAsia="Times New Roman" w:hAnsiTheme="minorHAnsi" w:cstheme="minorBidi"/>
          <w:lang w:eastAsia="en-GB"/>
        </w:rPr>
        <w:lastRenderedPageBreak/>
        <w:t xml:space="preserve">patients with 148 repetitions, c) telehealth with 74 repetitions, d) technology with </w:t>
      </w:r>
      <w:r w:rsidR="008D59DC" w:rsidRPr="26F64964">
        <w:rPr>
          <w:rFonts w:asciiTheme="minorHAnsi" w:eastAsia="Times New Roman" w:hAnsiTheme="minorHAnsi" w:cstheme="minorBidi"/>
          <w:lang w:eastAsia="en-GB"/>
        </w:rPr>
        <w:t>34</w:t>
      </w:r>
      <w:r w:rsidR="000C1E36" w:rsidRPr="26F64964">
        <w:rPr>
          <w:rFonts w:asciiTheme="minorHAnsi" w:eastAsia="Times New Roman" w:hAnsiTheme="minorHAnsi" w:cstheme="minorBidi"/>
          <w:lang w:eastAsia="en-GB"/>
        </w:rPr>
        <w:t xml:space="preserve"> repetitions, e) mobile with </w:t>
      </w:r>
      <w:r w:rsidR="008D59DC" w:rsidRPr="26F64964">
        <w:rPr>
          <w:rFonts w:asciiTheme="minorHAnsi" w:eastAsia="Times New Roman" w:hAnsiTheme="minorHAnsi" w:cstheme="minorBidi"/>
          <w:lang w:eastAsia="en-GB"/>
        </w:rPr>
        <w:t>32</w:t>
      </w:r>
      <w:r w:rsidR="000C1E36" w:rsidRPr="26F64964">
        <w:rPr>
          <w:rFonts w:asciiTheme="minorHAnsi" w:eastAsia="Times New Roman" w:hAnsiTheme="minorHAnsi" w:cstheme="minorBidi"/>
          <w:lang w:eastAsia="en-GB"/>
        </w:rPr>
        <w:t xml:space="preserve"> repetitions.</w:t>
      </w:r>
    </w:p>
    <w:p w14:paraId="7E4019DF" w14:textId="17E77244" w:rsidR="00334135" w:rsidRDefault="000C1E36" w:rsidP="26F64964">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lang w:eastAsia="en-GB"/>
        </w:rPr>
        <w:t xml:space="preserve">The high repetition of technology and transplantation, indicates the strong connection between the two concepts. </w:t>
      </w:r>
      <w:r w:rsidRPr="26F64964">
        <w:rPr>
          <w:rFonts w:asciiTheme="minorHAnsi" w:eastAsia="Times New Roman" w:hAnsiTheme="minorHAnsi" w:cstheme="minorBidi"/>
          <w:highlight w:val="white"/>
          <w:lang w:eastAsia="en-GB"/>
        </w:rPr>
        <w:t>The purpose of this study is to investigate the</w:t>
      </w:r>
      <w:r w:rsidRPr="26F64964">
        <w:rPr>
          <w:rFonts w:asciiTheme="minorHAnsi" w:eastAsia="Times New Roman" w:hAnsiTheme="minorHAnsi" w:cstheme="minorBidi"/>
          <w:lang w:eastAsia="en-GB"/>
        </w:rPr>
        <w:t xml:space="preserve"> role technology (</w:t>
      </w:r>
      <w:r w:rsidR="002A16D8" w:rsidRPr="26F64964">
        <w:rPr>
          <w:rFonts w:asciiTheme="minorHAnsi" w:eastAsia="Times New Roman" w:hAnsiTheme="minorHAnsi" w:cstheme="minorBidi"/>
          <w:lang w:eastAsia="en-GB"/>
        </w:rPr>
        <w:t>eHealth</w:t>
      </w:r>
      <w:r w:rsidRPr="26F64964">
        <w:rPr>
          <w:rFonts w:asciiTheme="minorHAnsi" w:eastAsia="Times New Roman" w:hAnsiTheme="minorHAnsi" w:cstheme="minorBidi"/>
          <w:lang w:eastAsia="en-GB"/>
        </w:rPr>
        <w:t>) plays in transplantation and therefor</w:t>
      </w:r>
      <w:r w:rsidR="001227DB" w:rsidRPr="26F64964">
        <w:rPr>
          <w:rFonts w:asciiTheme="minorHAnsi" w:eastAsia="Times New Roman" w:hAnsiTheme="minorHAnsi" w:cstheme="minorBidi"/>
          <w:lang w:eastAsia="en-GB"/>
        </w:rPr>
        <w:t>e</w:t>
      </w:r>
      <w:r w:rsidRPr="26F64964">
        <w:rPr>
          <w:rFonts w:asciiTheme="minorHAnsi" w:eastAsia="Times New Roman" w:hAnsiTheme="minorHAnsi" w:cstheme="minorBidi"/>
          <w:lang w:eastAsia="en-GB"/>
        </w:rPr>
        <w:t xml:space="preserve"> this study is unbiased and trustworthy. Another term that was highly repetitive was kidney transplant recipients, which highlights the importance of studying the different types of transplants. Another noteworthy connection is the high repetition of telehealth and mobile, which highlights the importance of investigating the types of digital health interventions used</w:t>
      </w:r>
      <w:r w:rsidR="00361E72" w:rsidRPr="26F64964">
        <w:rPr>
          <w:rFonts w:asciiTheme="minorHAnsi" w:eastAsia="Times New Roman" w:hAnsiTheme="minorHAnsi" w:cstheme="minorBidi"/>
          <w:lang w:eastAsia="en-GB"/>
        </w:rPr>
        <w:t>.</w:t>
      </w:r>
    </w:p>
    <w:p w14:paraId="6F9423FC" w14:textId="77777777" w:rsidR="00965EEC" w:rsidRDefault="008F06E4" w:rsidP="006A7577">
      <w:pPr>
        <w:keepNext/>
        <w:spacing w:line="360" w:lineRule="auto"/>
        <w:jc w:val="center"/>
      </w:pPr>
      <w:r w:rsidRPr="00145A62">
        <w:rPr>
          <w:rFonts w:ascii="Calibri" w:hAnsi="Calibri" w:cs="Calibri"/>
          <w:noProof/>
          <w:lang w:val="en-US"/>
        </w:rPr>
        <w:drawing>
          <wp:inline distT="0" distB="0" distL="0" distR="0" wp14:anchorId="428794AA" wp14:editId="35C17F5F">
            <wp:extent cx="2237361" cy="2237361"/>
            <wp:effectExtent l="0" t="0" r="0" b="0"/>
            <wp:docPr id="121969089" name="Picture 121969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69089"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45800" cy="2245800"/>
                    </a:xfrm>
                    <a:prstGeom prst="rect">
                      <a:avLst/>
                    </a:prstGeom>
                  </pic:spPr>
                </pic:pic>
              </a:graphicData>
            </a:graphic>
          </wp:inline>
        </w:drawing>
      </w:r>
    </w:p>
    <w:p w14:paraId="699D15F2" w14:textId="696B7E6C" w:rsidR="008F06E4" w:rsidRDefault="00297F36" w:rsidP="006A7577">
      <w:pPr>
        <w:pStyle w:val="Caption"/>
        <w:jc w:val="center"/>
      </w:pPr>
      <w:bookmarkStart w:id="19" w:name="_Toc166853959"/>
      <w:r>
        <w:rPr>
          <w:caps w:val="0"/>
        </w:rPr>
        <w:t xml:space="preserve">Figure </w:t>
      </w:r>
      <w:r>
        <w:fldChar w:fldCharType="begin"/>
      </w:r>
      <w:r>
        <w:instrText>SEQ Figure \* ARABIC</w:instrText>
      </w:r>
      <w:r>
        <w:fldChar w:fldCharType="separate"/>
      </w:r>
      <w:r>
        <w:rPr>
          <w:caps w:val="0"/>
          <w:noProof/>
        </w:rPr>
        <w:t>2</w:t>
      </w:r>
      <w:r>
        <w:fldChar w:fldCharType="end"/>
      </w:r>
      <w:r>
        <w:rPr>
          <w:caps w:val="0"/>
        </w:rPr>
        <w:t xml:space="preserve"> Frequent Words in Title</w:t>
      </w:r>
      <w:bookmarkEnd w:id="19"/>
    </w:p>
    <w:p w14:paraId="21A4D5B8" w14:textId="77777777" w:rsidR="005D1A27" w:rsidRDefault="008F06E4" w:rsidP="006A7577">
      <w:pPr>
        <w:keepNext/>
        <w:jc w:val="center"/>
      </w:pPr>
      <w:r w:rsidRPr="007C4FFF">
        <w:rPr>
          <w:rFonts w:ascii="Calibri" w:hAnsi="Calibri" w:cs="Calibri"/>
          <w:noProof/>
          <w:lang w:val="en-US"/>
        </w:rPr>
        <w:drawing>
          <wp:inline distT="0" distB="0" distL="0" distR="0" wp14:anchorId="6A388D52" wp14:editId="4B923BDB">
            <wp:extent cx="2431915" cy="2431915"/>
            <wp:effectExtent l="0" t="0" r="0" b="0"/>
            <wp:docPr id="437640450" name="Picture 437640450"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640450" name="Picture 1" descr="A close up of words&#10;&#10;Description automatically generated"/>
                    <pic:cNvPicPr/>
                  </pic:nvPicPr>
                  <pic:blipFill>
                    <a:blip r:embed="rId13"/>
                    <a:stretch>
                      <a:fillRect/>
                    </a:stretch>
                  </pic:blipFill>
                  <pic:spPr>
                    <a:xfrm>
                      <a:off x="0" y="0"/>
                      <a:ext cx="2445722" cy="2445722"/>
                    </a:xfrm>
                    <a:prstGeom prst="rect">
                      <a:avLst/>
                    </a:prstGeom>
                  </pic:spPr>
                </pic:pic>
              </a:graphicData>
            </a:graphic>
          </wp:inline>
        </w:drawing>
      </w:r>
    </w:p>
    <w:p w14:paraId="797E9082" w14:textId="55F2B17A" w:rsidR="008F06E4" w:rsidRDefault="0015644E" w:rsidP="006A7577">
      <w:pPr>
        <w:pStyle w:val="Caption"/>
        <w:jc w:val="center"/>
      </w:pPr>
      <w:bookmarkStart w:id="20" w:name="_Toc166853960"/>
      <w:r>
        <w:rPr>
          <w:caps w:val="0"/>
        </w:rPr>
        <w:t xml:space="preserve">Figure </w:t>
      </w:r>
      <w:r>
        <w:fldChar w:fldCharType="begin"/>
      </w:r>
      <w:r>
        <w:instrText>SEQ Figure \* ARABIC</w:instrText>
      </w:r>
      <w:r>
        <w:fldChar w:fldCharType="separate"/>
      </w:r>
      <w:r>
        <w:rPr>
          <w:caps w:val="0"/>
          <w:noProof/>
        </w:rPr>
        <w:t>3</w:t>
      </w:r>
      <w:r>
        <w:fldChar w:fldCharType="end"/>
      </w:r>
      <w:r>
        <w:rPr>
          <w:caps w:val="0"/>
        </w:rPr>
        <w:t xml:space="preserve"> Frequent Words in Abstracts</w:t>
      </w:r>
      <w:bookmarkEnd w:id="20"/>
    </w:p>
    <w:p w14:paraId="412D1A77" w14:textId="177B7A16" w:rsidR="00734E32" w:rsidRPr="000C1E36" w:rsidRDefault="00734E32" w:rsidP="00734E32">
      <w:pPr>
        <w:rPr>
          <w:rFonts w:ascii="Calibri" w:hAnsi="Calibri" w:cs="Calibri"/>
          <w:lang w:val="en-US"/>
        </w:rPr>
      </w:pPr>
      <w:r>
        <w:rPr>
          <w:rFonts w:asciiTheme="minorHAnsi" w:eastAsia="Times New Roman" w:hAnsiTheme="minorHAnsi" w:cstheme="minorHAnsi"/>
          <w:lang w:eastAsia="en-GB"/>
        </w:rPr>
        <w:br w:type="page"/>
      </w:r>
    </w:p>
    <w:p w14:paraId="3694751A" w14:textId="7CE822BD" w:rsidR="002163D7" w:rsidRDefault="002163D7" w:rsidP="00734E32">
      <w:pPr>
        <w:pStyle w:val="Heading2"/>
        <w:rPr>
          <w:lang w:val="en-US"/>
        </w:rPr>
      </w:pPr>
      <w:bookmarkStart w:id="21" w:name="_Toc166853987"/>
      <w:r>
        <w:rPr>
          <w:lang w:val="en-US"/>
        </w:rPr>
        <w:lastRenderedPageBreak/>
        <w:t>4.2 Proposed Conceptual Framework and Extracted Theme</w:t>
      </w:r>
      <w:r w:rsidR="00AF2DA3">
        <w:rPr>
          <w:lang w:val="en-US"/>
        </w:rPr>
        <w:t>s</w:t>
      </w:r>
      <w:bookmarkEnd w:id="21"/>
    </w:p>
    <w:p w14:paraId="2F5CA029" w14:textId="0E7D58C2" w:rsidR="007D53F9" w:rsidRPr="00D33C9F" w:rsidRDefault="009625BC" w:rsidP="007D53F9">
      <w:pPr>
        <w:spacing w:line="360" w:lineRule="auto"/>
        <w:jc w:val="both"/>
        <w:rPr>
          <w:rFonts w:asciiTheme="minorHAnsi" w:hAnsiTheme="minorHAnsi" w:cstheme="minorHAnsi"/>
        </w:rPr>
      </w:pPr>
      <w:r w:rsidRPr="00D33C9F">
        <w:rPr>
          <w:rFonts w:asciiTheme="minorHAnsi" w:hAnsiTheme="minorHAnsi" w:cstheme="minorHAnsi"/>
        </w:rPr>
        <w:t xml:space="preserve">In carrying out thematic analysis, patterns, words and phrases were highlighted within the selected articles which were then used to group into common themes. Articles that investigated or mentioned concerns, obstacles and technology complexity were grouped under the theme "barriers". Research that reported </w:t>
      </w:r>
      <w:r w:rsidR="007D53F9" w:rsidRPr="00D33C9F">
        <w:rPr>
          <w:rFonts w:asciiTheme="minorHAnsi" w:hAnsiTheme="minorHAnsi" w:cstheme="minorHAnsi"/>
          <w:lang w:val="en-US"/>
        </w:rPr>
        <w:t xml:space="preserve">increased patient engagement, better management of treatment, cost reduction, increased accessibility to care, and improved patient outcomes were grouped under the theme “benefits”. These indicators are identified based on direct mentions of positive effects in the study findings. </w:t>
      </w:r>
      <w:r w:rsidRPr="00D33C9F">
        <w:rPr>
          <w:rFonts w:asciiTheme="minorHAnsi" w:hAnsiTheme="minorHAnsi" w:cstheme="minorHAnsi"/>
        </w:rPr>
        <w:t xml:space="preserve">Research that focused on the development of eHealth interventions was grouped under the theme of "development process of digital health". </w:t>
      </w:r>
      <w:r w:rsidR="007D53F9" w:rsidRPr="00D33C9F">
        <w:rPr>
          <w:rFonts w:asciiTheme="minorHAnsi" w:hAnsiTheme="minorHAnsi" w:cstheme="minorHAnsi"/>
        </w:rPr>
        <w:t xml:space="preserve">These articles mentioned </w:t>
      </w:r>
      <w:r w:rsidR="004B4D6C" w:rsidRPr="00D33C9F">
        <w:rPr>
          <w:rFonts w:asciiTheme="minorHAnsi" w:hAnsiTheme="minorHAnsi" w:cstheme="minorHAnsi"/>
          <w:lang w:val="en-US"/>
        </w:rPr>
        <w:t>h</w:t>
      </w:r>
      <w:r w:rsidR="007D53F9" w:rsidRPr="00D33C9F">
        <w:rPr>
          <w:rFonts w:asciiTheme="minorHAnsi" w:hAnsiTheme="minorHAnsi" w:cstheme="minorHAnsi"/>
          <w:lang w:val="en-US"/>
        </w:rPr>
        <w:t>uman-centered design, development</w:t>
      </w:r>
      <w:r w:rsidR="004B4D6C" w:rsidRPr="00D33C9F">
        <w:rPr>
          <w:rFonts w:asciiTheme="minorHAnsi" w:hAnsiTheme="minorHAnsi" w:cstheme="minorHAnsi"/>
          <w:lang w:val="en-US"/>
        </w:rPr>
        <w:t>,</w:t>
      </w:r>
      <w:r w:rsidR="007D53F9" w:rsidRPr="00D33C9F">
        <w:rPr>
          <w:rFonts w:asciiTheme="minorHAnsi" w:hAnsiTheme="minorHAnsi" w:cstheme="minorHAnsi"/>
          <w:lang w:val="en-US"/>
        </w:rPr>
        <w:t xml:space="preserve"> </w:t>
      </w:r>
      <w:r w:rsidR="004B4D6C" w:rsidRPr="00D33C9F">
        <w:rPr>
          <w:rFonts w:asciiTheme="minorHAnsi" w:hAnsiTheme="minorHAnsi" w:cstheme="minorHAnsi"/>
          <w:lang w:val="en-US"/>
        </w:rPr>
        <w:t>u</w:t>
      </w:r>
      <w:r w:rsidR="007D53F9" w:rsidRPr="00D33C9F">
        <w:rPr>
          <w:rFonts w:asciiTheme="minorHAnsi" w:hAnsiTheme="minorHAnsi" w:cstheme="minorHAnsi"/>
          <w:lang w:val="en-US"/>
        </w:rPr>
        <w:t>ser-centered design</w:t>
      </w:r>
      <w:r w:rsidR="004B4D6C" w:rsidRPr="00D33C9F">
        <w:rPr>
          <w:rFonts w:asciiTheme="minorHAnsi" w:hAnsiTheme="minorHAnsi" w:cstheme="minorHAnsi"/>
          <w:lang w:val="en-US"/>
        </w:rPr>
        <w:t>,</w:t>
      </w:r>
      <w:r w:rsidR="007D53F9" w:rsidRPr="00D33C9F">
        <w:rPr>
          <w:rFonts w:asciiTheme="minorHAnsi" w:hAnsiTheme="minorHAnsi" w:cstheme="minorHAnsi"/>
          <w:lang w:val="en-US"/>
        </w:rPr>
        <w:t xml:space="preserve"> user preference. </w:t>
      </w:r>
      <w:r w:rsidR="007D53F9" w:rsidRPr="00D33C9F">
        <w:rPr>
          <w:rFonts w:asciiTheme="minorHAnsi" w:hAnsiTheme="minorHAnsi" w:cstheme="minorHAnsi"/>
        </w:rPr>
        <w:t xml:space="preserve">Research that focused on different types of users of eHealth was grouped under the theme "users". These articles mentioned </w:t>
      </w:r>
      <w:r w:rsidR="007D53F9" w:rsidRPr="00D33C9F">
        <w:rPr>
          <w:rFonts w:asciiTheme="minorHAnsi" w:hAnsiTheme="minorHAnsi" w:cstheme="minorHAnsi"/>
          <w:lang w:val="en-US"/>
        </w:rPr>
        <w:t xml:space="preserve">specific terms identifying user groups (e.g., patients, nurses, doctors, caregivers) and their interactions or reactions to the eHealth tools (e.g., used by, preferred by, benefits for). </w:t>
      </w:r>
      <w:r w:rsidR="007D53F9" w:rsidRPr="00D33C9F">
        <w:rPr>
          <w:rFonts w:asciiTheme="minorHAnsi" w:hAnsiTheme="minorHAnsi" w:cstheme="minorHAnsi"/>
        </w:rPr>
        <w:t xml:space="preserve"> This process is shown in Table 4.4.</w:t>
      </w:r>
      <w:r w:rsidR="007D53F9" w:rsidRPr="00D33C9F">
        <w:rPr>
          <w:rFonts w:asciiTheme="minorHAnsi" w:hAnsiTheme="minorHAnsi" w:cstheme="minorHAnsi"/>
          <w:lang w:val="en-US"/>
        </w:rPr>
        <w:tab/>
      </w:r>
    </w:p>
    <w:p w14:paraId="4D787809" w14:textId="3EC66C0F" w:rsidR="00095A07" w:rsidRPr="00334135" w:rsidRDefault="00E43C96" w:rsidP="1CDDE930">
      <w:pPr>
        <w:spacing w:line="360" w:lineRule="auto"/>
        <w:jc w:val="both"/>
        <w:rPr>
          <w:rFonts w:asciiTheme="minorHAnsi" w:hAnsiTheme="minorHAnsi" w:cstheme="minorHAnsi"/>
          <w:lang w:val="en-US"/>
        </w:rPr>
      </w:pPr>
      <w:r w:rsidRPr="00334135">
        <w:rPr>
          <w:rFonts w:asciiTheme="minorHAnsi" w:hAnsiTheme="minorHAnsi" w:cstheme="minorHAnsi"/>
          <w:lang w:val="en-US"/>
        </w:rPr>
        <w:t>Based on the extracted themes from selected studies, w</w:t>
      </w:r>
      <w:r w:rsidR="002B7FF8" w:rsidRPr="00334135">
        <w:rPr>
          <w:rFonts w:asciiTheme="minorHAnsi" w:hAnsiTheme="minorHAnsi" w:cstheme="minorHAnsi"/>
          <w:lang w:val="en-US"/>
        </w:rPr>
        <w:t>e developed a</w:t>
      </w:r>
      <w:r w:rsidR="00361E72" w:rsidRPr="00334135">
        <w:rPr>
          <w:rFonts w:asciiTheme="minorHAnsi" w:hAnsiTheme="minorHAnsi" w:cstheme="minorHAnsi"/>
          <w:lang w:val="en-US"/>
        </w:rPr>
        <w:t xml:space="preserve"> </w:t>
      </w:r>
      <w:r w:rsidR="00BE6196" w:rsidRPr="00334135">
        <w:rPr>
          <w:rFonts w:asciiTheme="minorHAnsi" w:hAnsiTheme="minorHAnsi" w:cstheme="minorHAnsi"/>
          <w:lang w:val="en-US"/>
        </w:rPr>
        <w:t>conceptual framework</w:t>
      </w:r>
      <w:r w:rsidR="002B7FF8" w:rsidRPr="00334135">
        <w:rPr>
          <w:rFonts w:asciiTheme="minorHAnsi" w:hAnsiTheme="minorHAnsi" w:cstheme="minorHAnsi"/>
          <w:lang w:val="en-US"/>
        </w:rPr>
        <w:t xml:space="preserve"> to</w:t>
      </w:r>
      <w:r w:rsidR="00BE6196" w:rsidRPr="00334135">
        <w:rPr>
          <w:rFonts w:asciiTheme="minorHAnsi" w:hAnsiTheme="minorHAnsi" w:cstheme="minorHAnsi"/>
          <w:lang w:val="en-US"/>
        </w:rPr>
        <w:t xml:space="preserve"> present the critical </w:t>
      </w:r>
      <w:r w:rsidR="00361E72" w:rsidRPr="00334135">
        <w:rPr>
          <w:rFonts w:asciiTheme="minorHAnsi" w:hAnsiTheme="minorHAnsi" w:cstheme="minorHAnsi"/>
          <w:lang w:val="en-US"/>
        </w:rPr>
        <w:t xml:space="preserve">factors </w:t>
      </w:r>
      <w:r w:rsidR="00BE6196" w:rsidRPr="00334135">
        <w:rPr>
          <w:rFonts w:asciiTheme="minorHAnsi" w:hAnsiTheme="minorHAnsi" w:cstheme="minorHAnsi"/>
          <w:lang w:val="en-US"/>
        </w:rPr>
        <w:t xml:space="preserve">of using digital health by different stakeholders for transplantation (as shown in Figure </w:t>
      </w:r>
      <w:r w:rsidR="00246AE8" w:rsidRPr="00334135">
        <w:rPr>
          <w:rFonts w:asciiTheme="minorHAnsi" w:hAnsiTheme="minorHAnsi" w:cstheme="minorHAnsi"/>
          <w:lang w:val="en-US"/>
        </w:rPr>
        <w:t>4</w:t>
      </w:r>
      <w:r w:rsidR="00796CE9" w:rsidRPr="00334135">
        <w:rPr>
          <w:rFonts w:asciiTheme="minorHAnsi" w:hAnsiTheme="minorHAnsi" w:cstheme="minorHAnsi"/>
          <w:lang w:val="en-US"/>
        </w:rPr>
        <w:t>)</w:t>
      </w:r>
      <w:r w:rsidR="00246AE8" w:rsidRPr="00334135">
        <w:rPr>
          <w:rFonts w:asciiTheme="minorHAnsi" w:hAnsiTheme="minorHAnsi" w:cstheme="minorHAnsi"/>
          <w:lang w:val="en-US"/>
        </w:rPr>
        <w:t xml:space="preserve"> </w:t>
      </w:r>
      <w:r w:rsidR="00BE6196" w:rsidRPr="00334135">
        <w:rPr>
          <w:rFonts w:asciiTheme="minorHAnsi" w:hAnsiTheme="minorHAnsi" w:cstheme="minorHAnsi"/>
          <w:lang w:val="en-US"/>
        </w:rPr>
        <w:t xml:space="preserve">such as the barriers </w:t>
      </w:r>
      <w:r w:rsidR="001227DB">
        <w:rPr>
          <w:rFonts w:asciiTheme="minorHAnsi" w:hAnsiTheme="minorHAnsi" w:cstheme="minorHAnsi"/>
          <w:lang w:val="en-US"/>
        </w:rPr>
        <w:t>to</w:t>
      </w:r>
      <w:r w:rsidR="001227DB" w:rsidRPr="00334135">
        <w:rPr>
          <w:rFonts w:asciiTheme="minorHAnsi" w:hAnsiTheme="minorHAnsi" w:cstheme="minorHAnsi"/>
          <w:lang w:val="en-US"/>
        </w:rPr>
        <w:t xml:space="preserve"> </w:t>
      </w:r>
      <w:r w:rsidR="00BE6196" w:rsidRPr="00334135">
        <w:rPr>
          <w:rFonts w:asciiTheme="minorHAnsi" w:hAnsiTheme="minorHAnsi" w:cstheme="minorHAnsi"/>
          <w:lang w:val="en-US"/>
        </w:rPr>
        <w:t>using digital health for transplant</w:t>
      </w:r>
      <w:r w:rsidR="00521195" w:rsidRPr="00334135">
        <w:rPr>
          <w:rFonts w:asciiTheme="minorHAnsi" w:hAnsiTheme="minorHAnsi" w:cstheme="minorHAnsi"/>
          <w:lang w:val="en-US"/>
        </w:rPr>
        <w:t xml:space="preserve"> (e.g., knowledge and access barriers)</w:t>
      </w:r>
      <w:r w:rsidR="00BE6196" w:rsidRPr="00334135">
        <w:rPr>
          <w:rFonts w:asciiTheme="minorHAnsi" w:hAnsiTheme="minorHAnsi" w:cstheme="minorHAnsi"/>
          <w:lang w:val="en-US"/>
        </w:rPr>
        <w:t>, benefits of</w:t>
      </w:r>
      <w:r w:rsidR="00F415EF" w:rsidRPr="00334135">
        <w:rPr>
          <w:rFonts w:asciiTheme="minorHAnsi" w:hAnsiTheme="minorHAnsi" w:cstheme="minorHAnsi"/>
          <w:lang w:val="en-US"/>
        </w:rPr>
        <w:t xml:space="preserve"> using digital health for transplant</w:t>
      </w:r>
      <w:r w:rsidR="00521195" w:rsidRPr="00334135">
        <w:rPr>
          <w:rFonts w:asciiTheme="minorHAnsi" w:hAnsiTheme="minorHAnsi" w:cstheme="minorHAnsi"/>
          <w:lang w:val="en-US"/>
        </w:rPr>
        <w:t xml:space="preserve"> (e.g., improved patient care)</w:t>
      </w:r>
      <w:r w:rsidR="00BE6196" w:rsidRPr="00334135">
        <w:rPr>
          <w:rFonts w:asciiTheme="minorHAnsi" w:hAnsiTheme="minorHAnsi" w:cstheme="minorHAnsi"/>
          <w:lang w:val="en-US"/>
        </w:rPr>
        <w:t xml:space="preserve">, </w:t>
      </w:r>
      <w:r w:rsidR="001227DB">
        <w:rPr>
          <w:rFonts w:asciiTheme="minorHAnsi" w:hAnsiTheme="minorHAnsi" w:cstheme="minorHAnsi"/>
          <w:lang w:val="en-US"/>
        </w:rPr>
        <w:t xml:space="preserve">the </w:t>
      </w:r>
      <w:r w:rsidR="00BE6196" w:rsidRPr="00334135">
        <w:rPr>
          <w:rFonts w:asciiTheme="minorHAnsi" w:hAnsiTheme="minorHAnsi" w:cstheme="minorHAnsi"/>
          <w:lang w:val="en-US"/>
        </w:rPr>
        <w:t>development process o</w:t>
      </w:r>
      <w:r w:rsidR="00F415EF" w:rsidRPr="00334135">
        <w:rPr>
          <w:rFonts w:asciiTheme="minorHAnsi" w:hAnsiTheme="minorHAnsi" w:cstheme="minorHAnsi"/>
          <w:lang w:val="en-US"/>
        </w:rPr>
        <w:t>f digital health for transplant</w:t>
      </w:r>
      <w:r w:rsidR="00521195" w:rsidRPr="00334135">
        <w:rPr>
          <w:rFonts w:asciiTheme="minorHAnsi" w:hAnsiTheme="minorHAnsi" w:cstheme="minorHAnsi"/>
          <w:lang w:val="en-US"/>
        </w:rPr>
        <w:t xml:space="preserve"> (e.g., patient-</w:t>
      </w:r>
      <w:r w:rsidR="00915545" w:rsidRPr="00334135">
        <w:rPr>
          <w:rFonts w:asciiTheme="minorHAnsi" w:hAnsiTheme="minorHAnsi" w:cstheme="minorHAnsi"/>
          <w:lang w:val="en-US"/>
        </w:rPr>
        <w:t>centered</w:t>
      </w:r>
      <w:r w:rsidR="00521195" w:rsidRPr="00334135">
        <w:rPr>
          <w:rFonts w:asciiTheme="minorHAnsi" w:hAnsiTheme="minorHAnsi" w:cstheme="minorHAnsi"/>
          <w:lang w:val="en-US"/>
        </w:rPr>
        <w:t>)</w:t>
      </w:r>
      <w:r w:rsidR="00BE6196" w:rsidRPr="00334135">
        <w:rPr>
          <w:rFonts w:asciiTheme="minorHAnsi" w:hAnsiTheme="minorHAnsi" w:cstheme="minorHAnsi"/>
          <w:lang w:val="en-US"/>
        </w:rPr>
        <w:t>, used digital health for transplant purposes</w:t>
      </w:r>
      <w:r w:rsidR="00521195" w:rsidRPr="00334135">
        <w:rPr>
          <w:rFonts w:asciiTheme="minorHAnsi" w:hAnsiTheme="minorHAnsi" w:cstheme="minorHAnsi"/>
          <w:lang w:val="en-US"/>
        </w:rPr>
        <w:t xml:space="preserve"> (e.g., </w:t>
      </w:r>
      <w:r w:rsidR="00E057C8" w:rsidRPr="00334135">
        <w:rPr>
          <w:rFonts w:asciiTheme="minorHAnsi" w:hAnsiTheme="minorHAnsi" w:cstheme="minorHAnsi"/>
          <w:lang w:val="en-US"/>
        </w:rPr>
        <w:t>mobile health)</w:t>
      </w:r>
      <w:r w:rsidR="00BE6196" w:rsidRPr="00334135">
        <w:rPr>
          <w:rFonts w:asciiTheme="minorHAnsi" w:hAnsiTheme="minorHAnsi" w:cstheme="minorHAnsi"/>
          <w:lang w:val="en-US"/>
        </w:rPr>
        <w:t>, and the involved users of the digital health</w:t>
      </w:r>
      <w:r w:rsidR="00E057C8" w:rsidRPr="00334135">
        <w:rPr>
          <w:rFonts w:asciiTheme="minorHAnsi" w:hAnsiTheme="minorHAnsi" w:cstheme="minorHAnsi"/>
          <w:lang w:val="en-US"/>
        </w:rPr>
        <w:t xml:space="preserve"> (e.g., caregivers)</w:t>
      </w:r>
      <w:r w:rsidR="00BE6196" w:rsidRPr="00334135">
        <w:rPr>
          <w:rFonts w:asciiTheme="minorHAnsi" w:hAnsiTheme="minorHAnsi" w:cstheme="minorHAnsi"/>
          <w:lang w:val="en-US"/>
        </w:rPr>
        <w:t>.</w:t>
      </w:r>
    </w:p>
    <w:p w14:paraId="006FB923" w14:textId="77777777" w:rsidR="005D1A27" w:rsidRDefault="00361E72" w:rsidP="005D1A27">
      <w:pPr>
        <w:keepNext/>
        <w:spacing w:line="360" w:lineRule="auto"/>
        <w:jc w:val="both"/>
      </w:pPr>
      <w:r w:rsidRPr="00361E72">
        <w:rPr>
          <w:rFonts w:ascii="Calibri" w:hAnsi="Calibri" w:cs="Calibri"/>
          <w:noProof/>
          <w:lang w:val="en-US"/>
        </w:rPr>
        <w:drawing>
          <wp:inline distT="0" distB="0" distL="0" distR="0" wp14:anchorId="4B7C0F14" wp14:editId="4059F473">
            <wp:extent cx="5380749" cy="3037840"/>
            <wp:effectExtent l="0" t="0" r="4445" b="0"/>
            <wp:docPr id="1214142384" name="Picture 1214142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142384" name="Picture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80749" cy="3037840"/>
                    </a:xfrm>
                    <a:prstGeom prst="rect">
                      <a:avLst/>
                    </a:prstGeom>
                  </pic:spPr>
                </pic:pic>
              </a:graphicData>
            </a:graphic>
          </wp:inline>
        </w:drawing>
      </w:r>
    </w:p>
    <w:p w14:paraId="5E1D9534" w14:textId="15AE9FFE" w:rsidR="00503828" w:rsidRPr="007D53F9" w:rsidRDefault="0015644E" w:rsidP="007D53F9">
      <w:pPr>
        <w:pStyle w:val="Caption"/>
        <w:jc w:val="both"/>
      </w:pPr>
      <w:bookmarkStart w:id="22" w:name="_Toc166853961"/>
      <w:r>
        <w:rPr>
          <w:caps w:val="0"/>
        </w:rPr>
        <w:t xml:space="preserve">Figure </w:t>
      </w:r>
      <w:r>
        <w:fldChar w:fldCharType="begin"/>
      </w:r>
      <w:r>
        <w:instrText>SEQ Figure \* ARABIC</w:instrText>
      </w:r>
      <w:r>
        <w:fldChar w:fldCharType="separate"/>
      </w:r>
      <w:r>
        <w:rPr>
          <w:caps w:val="0"/>
          <w:noProof/>
        </w:rPr>
        <w:t>4</w:t>
      </w:r>
      <w:r>
        <w:fldChar w:fldCharType="end"/>
      </w:r>
      <w:r>
        <w:rPr>
          <w:caps w:val="0"/>
        </w:rPr>
        <w:t xml:space="preserve"> </w:t>
      </w:r>
      <w:r w:rsidRPr="004F0DD7">
        <w:rPr>
          <w:caps w:val="0"/>
        </w:rPr>
        <w:t xml:space="preserve">Conceptual Framework </w:t>
      </w:r>
      <w:r>
        <w:rPr>
          <w:caps w:val="0"/>
        </w:rPr>
        <w:t>o</w:t>
      </w:r>
      <w:r w:rsidRPr="004F0DD7">
        <w:rPr>
          <w:caps w:val="0"/>
        </w:rPr>
        <w:t xml:space="preserve">n </w:t>
      </w:r>
      <w:r>
        <w:rPr>
          <w:caps w:val="0"/>
        </w:rPr>
        <w:t>t</w:t>
      </w:r>
      <w:r w:rsidRPr="004F0DD7">
        <w:rPr>
          <w:caps w:val="0"/>
        </w:rPr>
        <w:t xml:space="preserve">he </w:t>
      </w:r>
      <w:r w:rsidR="001227DB">
        <w:rPr>
          <w:caps w:val="0"/>
        </w:rPr>
        <w:t>U</w:t>
      </w:r>
      <w:r w:rsidR="001227DB" w:rsidRPr="004F0DD7">
        <w:rPr>
          <w:caps w:val="0"/>
        </w:rPr>
        <w:t xml:space="preserve">se </w:t>
      </w:r>
      <w:r>
        <w:rPr>
          <w:caps w:val="0"/>
        </w:rPr>
        <w:t>o</w:t>
      </w:r>
      <w:r w:rsidRPr="004F0DD7">
        <w:rPr>
          <w:caps w:val="0"/>
        </w:rPr>
        <w:t xml:space="preserve">f Digital Health </w:t>
      </w:r>
      <w:r>
        <w:rPr>
          <w:caps w:val="0"/>
        </w:rPr>
        <w:t>f</w:t>
      </w:r>
      <w:r w:rsidRPr="004F0DD7">
        <w:rPr>
          <w:caps w:val="0"/>
        </w:rPr>
        <w:t>or Transplant</w:t>
      </w:r>
      <w:bookmarkEnd w:id="22"/>
    </w:p>
    <w:p w14:paraId="2C87D716" w14:textId="49D3D19F" w:rsidR="00C124A2" w:rsidRDefault="001F6A29" w:rsidP="00975535">
      <w:pPr>
        <w:pStyle w:val="Heading2"/>
        <w:jc w:val="left"/>
        <w:rPr>
          <w:rFonts w:eastAsia="Times New Roman"/>
          <w:lang w:eastAsia="en-GB"/>
        </w:rPr>
      </w:pPr>
      <w:bookmarkStart w:id="23" w:name="_Toc166853988"/>
      <w:r>
        <w:rPr>
          <w:rFonts w:eastAsia="Times New Roman"/>
          <w:lang w:eastAsia="en-GB"/>
        </w:rPr>
        <w:lastRenderedPageBreak/>
        <w:t>4.</w:t>
      </w:r>
      <w:r w:rsidR="00BE19D2">
        <w:rPr>
          <w:rFonts w:eastAsia="Times New Roman"/>
          <w:lang w:eastAsia="en-GB"/>
        </w:rPr>
        <w:t>2.1</w:t>
      </w:r>
      <w:r>
        <w:rPr>
          <w:rFonts w:eastAsia="Times New Roman"/>
          <w:lang w:eastAsia="en-GB"/>
        </w:rPr>
        <w:t xml:space="preserve"> </w:t>
      </w:r>
      <w:r w:rsidR="00A56554">
        <w:rPr>
          <w:rFonts w:eastAsia="Times New Roman"/>
          <w:lang w:eastAsia="en-GB"/>
        </w:rPr>
        <w:t>Barrie</w:t>
      </w:r>
      <w:r w:rsidR="00DB399C">
        <w:rPr>
          <w:rFonts w:eastAsia="Times New Roman"/>
          <w:lang w:eastAsia="en-GB"/>
        </w:rPr>
        <w:t>r</w:t>
      </w:r>
      <w:r w:rsidR="00A56554">
        <w:rPr>
          <w:rFonts w:eastAsia="Times New Roman"/>
          <w:lang w:eastAsia="en-GB"/>
        </w:rPr>
        <w:t>s of using digital health devices</w:t>
      </w:r>
      <w:bookmarkEnd w:id="23"/>
    </w:p>
    <w:p w14:paraId="69AE3321" w14:textId="0CAF568A" w:rsidR="00975535" w:rsidRPr="003B6A82" w:rsidRDefault="00132B58" w:rsidP="26F64964">
      <w:pPr>
        <w:pStyle w:val="NormalWeb"/>
        <w:spacing w:before="0" w:beforeAutospacing="0" w:after="0" w:afterAutospacing="0"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Out of 5</w:t>
      </w:r>
      <w:r w:rsidR="00F13D2E" w:rsidRPr="26F64964">
        <w:rPr>
          <w:rFonts w:asciiTheme="minorHAnsi" w:hAnsiTheme="minorHAnsi" w:cstheme="minorBidi"/>
          <w:sz w:val="22"/>
          <w:szCs w:val="22"/>
          <w:lang w:val="en-US"/>
        </w:rPr>
        <w:t>5</w:t>
      </w:r>
      <w:r w:rsidR="005A1498" w:rsidRPr="26F64964">
        <w:rPr>
          <w:rFonts w:asciiTheme="minorHAnsi" w:hAnsiTheme="minorHAnsi" w:cstheme="minorBidi"/>
          <w:sz w:val="22"/>
          <w:szCs w:val="22"/>
          <w:lang w:val="en-US"/>
        </w:rPr>
        <w:t xml:space="preserve"> </w:t>
      </w:r>
      <w:r w:rsidR="00C408CC" w:rsidRPr="26F64964">
        <w:rPr>
          <w:rFonts w:asciiTheme="minorHAnsi" w:hAnsiTheme="minorHAnsi" w:cstheme="minorBidi"/>
          <w:sz w:val="22"/>
          <w:szCs w:val="22"/>
          <w:lang w:val="en-US"/>
        </w:rPr>
        <w:t>studies</w:t>
      </w:r>
      <w:r w:rsidR="00E9031F" w:rsidRPr="26F64964">
        <w:rPr>
          <w:rFonts w:asciiTheme="minorHAnsi" w:hAnsiTheme="minorHAnsi" w:cstheme="minorBidi"/>
          <w:sz w:val="22"/>
          <w:szCs w:val="22"/>
          <w:lang w:val="en-US"/>
        </w:rPr>
        <w:t>,</w:t>
      </w:r>
      <w:r w:rsidR="00C75EC8" w:rsidRPr="26F64964">
        <w:rPr>
          <w:rFonts w:asciiTheme="minorHAnsi" w:hAnsiTheme="minorHAnsi" w:cstheme="minorBidi"/>
          <w:sz w:val="22"/>
          <w:szCs w:val="22"/>
          <w:lang w:val="en-US"/>
        </w:rPr>
        <w:t xml:space="preserve"> eight </w:t>
      </w:r>
      <w:r w:rsidR="00E9031F" w:rsidRPr="26F64964">
        <w:rPr>
          <w:rFonts w:asciiTheme="minorHAnsi" w:hAnsiTheme="minorHAnsi" w:cstheme="minorBidi"/>
          <w:sz w:val="22"/>
          <w:szCs w:val="22"/>
          <w:lang w:val="en-US"/>
        </w:rPr>
        <w:t>of them</w:t>
      </w:r>
      <w:r w:rsidR="00C408CC" w:rsidRPr="26F64964">
        <w:rPr>
          <w:rFonts w:asciiTheme="minorHAnsi" w:hAnsiTheme="minorHAnsi" w:cstheme="minorBidi"/>
          <w:sz w:val="22"/>
          <w:szCs w:val="22"/>
          <w:lang w:val="en-US"/>
        </w:rPr>
        <w:t xml:space="preserve"> have </w:t>
      </w:r>
      <w:r w:rsidR="005A1498" w:rsidRPr="26F64964">
        <w:rPr>
          <w:rFonts w:asciiTheme="minorHAnsi" w:hAnsiTheme="minorHAnsi" w:cstheme="minorBidi"/>
          <w:sz w:val="22"/>
          <w:szCs w:val="22"/>
          <w:lang w:val="en-US"/>
        </w:rPr>
        <w:t xml:space="preserve">explored challenges and </w:t>
      </w:r>
      <w:r w:rsidR="00C408CC" w:rsidRPr="26F64964">
        <w:rPr>
          <w:rFonts w:asciiTheme="minorHAnsi" w:hAnsiTheme="minorHAnsi" w:cstheme="minorBidi"/>
          <w:sz w:val="22"/>
          <w:szCs w:val="22"/>
          <w:lang w:val="en-US"/>
        </w:rPr>
        <w:t xml:space="preserve">barriers </w:t>
      </w:r>
      <w:r w:rsidR="001227DB" w:rsidRPr="26F64964">
        <w:rPr>
          <w:rFonts w:asciiTheme="minorHAnsi" w:hAnsiTheme="minorHAnsi" w:cstheme="minorBidi"/>
          <w:sz w:val="22"/>
          <w:szCs w:val="22"/>
          <w:lang w:val="en-US"/>
        </w:rPr>
        <w:t xml:space="preserve">to </w:t>
      </w:r>
      <w:r w:rsidR="00C408CC" w:rsidRPr="26F64964">
        <w:rPr>
          <w:rFonts w:asciiTheme="minorHAnsi" w:hAnsiTheme="minorHAnsi" w:cstheme="minorBidi"/>
          <w:sz w:val="22"/>
          <w:szCs w:val="22"/>
          <w:lang w:val="en-US"/>
        </w:rPr>
        <w:t>using digital health technologies and interventions</w:t>
      </w:r>
      <w:r w:rsidR="005A1498" w:rsidRPr="26F64964">
        <w:rPr>
          <w:rFonts w:asciiTheme="minorHAnsi" w:hAnsiTheme="minorHAnsi" w:cstheme="minorBidi"/>
          <w:sz w:val="22"/>
          <w:szCs w:val="22"/>
          <w:lang w:val="en-US"/>
        </w:rPr>
        <w:t xml:space="preserve"> for transplant purposes</w:t>
      </w:r>
      <w:r w:rsidR="00C408CC" w:rsidRPr="26F64964">
        <w:rPr>
          <w:rFonts w:asciiTheme="minorHAnsi" w:hAnsiTheme="minorHAnsi" w:cstheme="minorBidi"/>
          <w:sz w:val="22"/>
          <w:szCs w:val="22"/>
          <w:lang w:val="en-US"/>
        </w:rPr>
        <w:t xml:space="preserve">. These findings have been grouped into </w:t>
      </w:r>
      <w:r w:rsidR="00786FF4" w:rsidRPr="26F64964">
        <w:rPr>
          <w:rFonts w:asciiTheme="minorHAnsi" w:hAnsiTheme="minorHAnsi" w:cstheme="minorBidi"/>
          <w:sz w:val="22"/>
          <w:szCs w:val="22"/>
          <w:lang w:val="en-US"/>
        </w:rPr>
        <w:t xml:space="preserve">three </w:t>
      </w:r>
      <w:r w:rsidR="00786FF4" w:rsidRPr="26F64964">
        <w:rPr>
          <w:rFonts w:asciiTheme="minorHAnsi" w:hAnsiTheme="minorHAnsi" w:cstheme="minorBidi"/>
          <w:sz w:val="22"/>
          <w:szCs w:val="22"/>
          <w:highlight w:val="white"/>
          <w:lang w:val="en-US"/>
        </w:rPr>
        <w:t>main</w:t>
      </w:r>
      <w:r w:rsidR="00C408CC" w:rsidRPr="26F64964">
        <w:rPr>
          <w:rFonts w:asciiTheme="minorHAnsi" w:hAnsiTheme="minorHAnsi" w:cstheme="minorBidi"/>
          <w:sz w:val="22"/>
          <w:szCs w:val="22"/>
          <w:highlight w:val="white"/>
          <w:lang w:val="en-US"/>
        </w:rPr>
        <w:t xml:space="preserve"> categories</w:t>
      </w:r>
      <w:r w:rsidR="00786FF4" w:rsidRPr="26F64964">
        <w:rPr>
          <w:rFonts w:asciiTheme="minorHAnsi" w:hAnsiTheme="minorHAnsi" w:cstheme="minorBidi"/>
          <w:sz w:val="22"/>
          <w:szCs w:val="22"/>
          <w:highlight w:val="white"/>
          <w:lang w:val="en-US"/>
        </w:rPr>
        <w:t xml:space="preserve"> including</w:t>
      </w:r>
      <w:r w:rsidR="00C408CC" w:rsidRPr="26F64964">
        <w:rPr>
          <w:rFonts w:asciiTheme="minorHAnsi" w:hAnsiTheme="minorHAnsi" w:cstheme="minorBidi"/>
          <w:sz w:val="22"/>
          <w:szCs w:val="22"/>
          <w:highlight w:val="white"/>
          <w:lang w:val="en-US"/>
        </w:rPr>
        <w:t xml:space="preserve"> (1</w:t>
      </w:r>
      <w:r w:rsidR="00C408CC" w:rsidRPr="26F64964">
        <w:rPr>
          <w:rFonts w:asciiTheme="minorHAnsi" w:hAnsiTheme="minorHAnsi" w:cstheme="minorBidi"/>
          <w:sz w:val="22"/>
          <w:szCs w:val="22"/>
          <w:lang w:val="en-US"/>
        </w:rPr>
        <w:t xml:space="preserve">) knowledge and access barriers, (2) usability and implementation challenges and (3) user experience and trust issues. </w:t>
      </w:r>
    </w:p>
    <w:p w14:paraId="7C1B0489" w14:textId="3991C581" w:rsidR="00C408CC" w:rsidRDefault="00C408CC" w:rsidP="00975535">
      <w:pPr>
        <w:pStyle w:val="Heading3"/>
        <w:jc w:val="left"/>
        <w:rPr>
          <w:lang w:val="en-US"/>
        </w:rPr>
      </w:pPr>
      <w:bookmarkStart w:id="24" w:name="_Toc166853989"/>
      <w:r>
        <w:rPr>
          <w:lang w:val="en-US"/>
        </w:rPr>
        <w:t>4.</w:t>
      </w:r>
      <w:r w:rsidR="00757B12">
        <w:rPr>
          <w:lang w:val="en-US"/>
        </w:rPr>
        <w:t>2.1</w:t>
      </w:r>
      <w:r w:rsidR="00440D73">
        <w:rPr>
          <w:lang w:val="en-US"/>
        </w:rPr>
        <w:t>.</w:t>
      </w:r>
      <w:r>
        <w:rPr>
          <w:lang w:val="en-US"/>
        </w:rPr>
        <w:t>1 Knowledge and Access Barriers</w:t>
      </w:r>
      <w:bookmarkEnd w:id="24"/>
    </w:p>
    <w:p w14:paraId="62A3A476" w14:textId="68DB7F6A" w:rsidR="008E3600" w:rsidRDefault="008E3600" w:rsidP="0064797F">
      <w:pPr>
        <w:spacing w:after="0" w:line="360" w:lineRule="auto"/>
        <w:jc w:val="both"/>
        <w:rPr>
          <w:rFonts w:asciiTheme="minorHAnsi" w:hAnsiTheme="minorHAnsi" w:cstheme="minorHAnsi"/>
          <w:bCs/>
          <w:lang w:val="en-US"/>
        </w:rPr>
      </w:pPr>
      <w:r w:rsidRPr="00734E32">
        <w:rPr>
          <w:rFonts w:asciiTheme="minorHAnsi" w:hAnsiTheme="minorHAnsi" w:cstheme="minorHAnsi"/>
          <w:bCs/>
          <w:lang w:val="en-US"/>
        </w:rPr>
        <w:t xml:space="preserve">Regarding the </w:t>
      </w:r>
      <w:r w:rsidR="00583163" w:rsidRPr="00734E32">
        <w:rPr>
          <w:rFonts w:asciiTheme="minorHAnsi" w:hAnsiTheme="minorHAnsi" w:cstheme="minorHAnsi"/>
          <w:bCs/>
          <w:lang w:val="en-US"/>
        </w:rPr>
        <w:t>knowledge and access barriers towards using digital health devices,</w:t>
      </w:r>
      <w:r w:rsidR="000626DB" w:rsidRPr="00334135">
        <w:rPr>
          <w:rFonts w:asciiTheme="minorHAnsi" w:hAnsiTheme="minorHAnsi" w:cstheme="minorHAnsi"/>
          <w:bCs/>
          <w:lang w:val="en-US"/>
        </w:rPr>
        <w:t xml:space="preserve"> </w:t>
      </w:r>
      <w:r w:rsidR="00CE19D5" w:rsidRPr="00334135">
        <w:rPr>
          <w:rFonts w:asciiTheme="minorHAnsi" w:hAnsiTheme="minorHAnsi" w:cstheme="minorHAnsi"/>
          <w:bCs/>
          <w:lang w:val="en-US"/>
        </w:rPr>
        <w:t xml:space="preserve">six </w:t>
      </w:r>
      <w:r w:rsidR="007C5AEC" w:rsidRPr="00334135">
        <w:rPr>
          <w:rFonts w:asciiTheme="minorHAnsi" w:hAnsiTheme="minorHAnsi" w:cstheme="minorHAnsi"/>
          <w:bCs/>
          <w:lang w:val="en-US"/>
        </w:rPr>
        <w:t xml:space="preserve">of </w:t>
      </w:r>
      <w:r w:rsidR="00AF12B5" w:rsidRPr="00334135">
        <w:rPr>
          <w:rFonts w:asciiTheme="minorHAnsi" w:hAnsiTheme="minorHAnsi" w:cstheme="minorHAnsi"/>
          <w:bCs/>
          <w:lang w:val="en-US"/>
        </w:rPr>
        <w:t xml:space="preserve">the analyzed </w:t>
      </w:r>
      <w:r w:rsidR="000626DB" w:rsidRPr="00334135">
        <w:rPr>
          <w:rFonts w:asciiTheme="minorHAnsi" w:hAnsiTheme="minorHAnsi" w:cstheme="minorHAnsi"/>
          <w:bCs/>
          <w:lang w:val="en-US"/>
        </w:rPr>
        <w:t xml:space="preserve">studies have highlighted </w:t>
      </w:r>
      <w:r w:rsidR="00AF12B5" w:rsidRPr="00334135">
        <w:rPr>
          <w:rFonts w:asciiTheme="minorHAnsi" w:hAnsiTheme="minorHAnsi" w:cstheme="minorHAnsi"/>
          <w:bCs/>
          <w:lang w:val="en-US"/>
        </w:rPr>
        <w:t>the</w:t>
      </w:r>
      <w:r w:rsidR="000626DB" w:rsidRPr="00334135">
        <w:rPr>
          <w:rFonts w:asciiTheme="minorHAnsi" w:hAnsiTheme="minorHAnsi" w:cstheme="minorHAnsi"/>
          <w:bCs/>
          <w:lang w:val="en-US"/>
        </w:rPr>
        <w:t xml:space="preserve"> underlying reasons </w:t>
      </w:r>
      <w:r w:rsidR="004F0EF7" w:rsidRPr="00334135">
        <w:rPr>
          <w:rFonts w:asciiTheme="minorHAnsi" w:hAnsiTheme="minorHAnsi" w:cstheme="minorHAnsi"/>
          <w:bCs/>
          <w:lang w:val="en-US"/>
        </w:rPr>
        <w:t>behind th</w:t>
      </w:r>
      <w:r w:rsidR="001227DB">
        <w:rPr>
          <w:rFonts w:asciiTheme="minorHAnsi" w:hAnsiTheme="minorHAnsi" w:cstheme="minorHAnsi"/>
          <w:bCs/>
          <w:lang w:val="en-US"/>
        </w:rPr>
        <w:t>ese barriers</w:t>
      </w:r>
      <w:r w:rsidR="004F0EF7" w:rsidRPr="00334135">
        <w:rPr>
          <w:rFonts w:asciiTheme="minorHAnsi" w:hAnsiTheme="minorHAnsi" w:cstheme="minorHAnsi"/>
          <w:bCs/>
          <w:lang w:val="en-US"/>
        </w:rPr>
        <w:t xml:space="preserve"> </w:t>
      </w:r>
      <w:r w:rsidR="000626DB" w:rsidRPr="00334135">
        <w:rPr>
          <w:rFonts w:asciiTheme="minorHAnsi" w:hAnsiTheme="minorHAnsi" w:cstheme="minorHAnsi"/>
          <w:bCs/>
          <w:lang w:val="en-US"/>
        </w:rPr>
        <w:t>such as poor IT literacy, socio-economic factors and language barriers, and poor IT acceptance.</w:t>
      </w:r>
    </w:p>
    <w:p w14:paraId="02038565" w14:textId="77777777" w:rsidR="00334135" w:rsidRPr="00334135" w:rsidRDefault="00334135" w:rsidP="0064797F">
      <w:pPr>
        <w:spacing w:after="0" w:line="360" w:lineRule="auto"/>
        <w:jc w:val="both"/>
        <w:rPr>
          <w:rFonts w:asciiTheme="minorHAnsi" w:hAnsiTheme="minorHAnsi" w:cstheme="minorHAnsi"/>
          <w:bCs/>
          <w:lang w:val="en-US"/>
        </w:rPr>
      </w:pPr>
    </w:p>
    <w:p w14:paraId="4FAE2FF7" w14:textId="5E63B5CE" w:rsidR="00C408CC" w:rsidRDefault="00C408CC" w:rsidP="0064797F">
      <w:pPr>
        <w:spacing w:after="0" w:line="360" w:lineRule="auto"/>
        <w:jc w:val="both"/>
        <w:rPr>
          <w:rFonts w:ascii="Calibri" w:hAnsi="Calibri" w:cs="Calibri"/>
          <w:lang w:val="en-US"/>
        </w:rPr>
      </w:pPr>
      <w:r w:rsidRPr="26F64964">
        <w:rPr>
          <w:rFonts w:ascii="Calibri" w:hAnsi="Calibri" w:cs="Calibri"/>
          <w:b/>
          <w:bCs/>
          <w:lang w:val="en-US"/>
        </w:rPr>
        <w:t>Poor IT literacy</w:t>
      </w:r>
      <w:r w:rsidR="008E3600" w:rsidRPr="26F64964">
        <w:rPr>
          <w:rFonts w:ascii="Calibri" w:hAnsi="Calibri" w:cs="Calibri"/>
          <w:lang w:val="en-US"/>
        </w:rPr>
        <w:t xml:space="preserve">: </w:t>
      </w:r>
      <w:r w:rsidR="004F0EF7" w:rsidRPr="26F64964">
        <w:rPr>
          <w:rFonts w:ascii="Calibri" w:hAnsi="Calibri" w:cs="Calibri"/>
          <w:lang w:val="en-US"/>
        </w:rPr>
        <w:t>Several s</w:t>
      </w:r>
      <w:r w:rsidRPr="26F64964">
        <w:rPr>
          <w:rFonts w:ascii="Calibri" w:hAnsi="Calibri" w:cs="Calibri"/>
          <w:lang w:val="en-US"/>
        </w:rPr>
        <w:t>tudies have identified poor adoption and use of digital health technology in transplantation stemmed from patient's poor IT literacy (</w:t>
      </w:r>
      <w:r w:rsidR="00143D39" w:rsidRPr="26F64964">
        <w:rPr>
          <w:rFonts w:ascii="Calibri" w:hAnsi="Calibri" w:cs="Calibri"/>
          <w:lang w:val="en-US"/>
        </w:rPr>
        <w:t xml:space="preserve">e.g., </w:t>
      </w:r>
      <w:r w:rsidRPr="26F64964">
        <w:rPr>
          <w:rFonts w:ascii="Calibri" w:hAnsi="Calibri" w:cs="Calibri"/>
          <w:lang w:val="en-US"/>
        </w:rPr>
        <w:t xml:space="preserve">O'Brien, Russel, Tan, Washington &amp; Hathaway, 2018; Oliveria, Sanders-Pinheiro, Filho, Filho, Askari &amp; Júnior, 2023; </w:t>
      </w:r>
      <w:r w:rsidRPr="6A640EE8">
        <w:rPr>
          <w:rFonts w:ascii="Calibri" w:hAnsi="Calibri" w:cs="Calibri"/>
          <w:highlight w:val="white"/>
          <w:lang w:val="en-US"/>
        </w:rPr>
        <w:t>Tang, Howell, Roger, Wong &amp; Tong, 2022</w:t>
      </w:r>
      <w:r w:rsidRPr="26F64964">
        <w:rPr>
          <w:rFonts w:ascii="Calibri" w:hAnsi="Calibri" w:cs="Calibri"/>
          <w:lang w:val="en-US"/>
        </w:rPr>
        <w:t>). Poor IT literacy refers to the lack of knowledge, familiarity and skills with information technology tools and systems (</w:t>
      </w:r>
      <w:proofErr w:type="spellStart"/>
      <w:r w:rsidRPr="26F64964">
        <w:rPr>
          <w:rFonts w:ascii="Calibri" w:hAnsi="Calibri" w:cs="Calibri"/>
          <w:lang w:val="en-US"/>
        </w:rPr>
        <w:t>Niehm</w:t>
      </w:r>
      <w:proofErr w:type="spellEnd"/>
      <w:r w:rsidRPr="26F64964">
        <w:rPr>
          <w:rFonts w:ascii="Calibri" w:hAnsi="Calibri" w:cs="Calibri"/>
          <w:lang w:val="en-US"/>
        </w:rPr>
        <w:t xml:space="preserve">, </w:t>
      </w:r>
      <w:proofErr w:type="spellStart"/>
      <w:r w:rsidRPr="26F64964">
        <w:rPr>
          <w:rFonts w:ascii="Calibri" w:hAnsi="Calibri" w:cs="Calibri"/>
          <w:lang w:val="en-US"/>
        </w:rPr>
        <w:t>Tynere</w:t>
      </w:r>
      <w:proofErr w:type="spellEnd"/>
      <w:r w:rsidRPr="26F64964">
        <w:rPr>
          <w:rFonts w:ascii="Calibri" w:hAnsi="Calibri" w:cs="Calibri"/>
          <w:lang w:val="en-US"/>
        </w:rPr>
        <w:t xml:space="preserve">, Shelley &amp; Fitzgerald, 2010; </w:t>
      </w:r>
      <w:r w:rsidRPr="26F64964">
        <w:rPr>
          <w:rFonts w:ascii="Calibri" w:hAnsi="Calibri" w:cs="Calibri"/>
          <w:highlight w:val="white"/>
          <w:lang w:val="en-US"/>
        </w:rPr>
        <w:t>Shelley, Thrane, Shulman,</w:t>
      </w:r>
      <w:r w:rsidRPr="26F64964">
        <w:rPr>
          <w:rFonts w:ascii="Calibri" w:hAnsi="Calibri" w:cs="Calibri"/>
          <w:lang w:val="en-US"/>
        </w:rPr>
        <w:t xml:space="preserve"> </w:t>
      </w:r>
      <w:r w:rsidRPr="26F64964">
        <w:rPr>
          <w:rFonts w:ascii="Calibri" w:hAnsi="Calibri" w:cs="Calibri"/>
          <w:highlight w:val="white"/>
          <w:lang w:val="en-US"/>
        </w:rPr>
        <w:t>Lang, Beisser, Larson &amp; Mutiti, 2004</w:t>
      </w:r>
      <w:r w:rsidRPr="26F64964">
        <w:rPr>
          <w:rFonts w:ascii="Calibri" w:hAnsi="Calibri" w:cs="Calibri"/>
          <w:lang w:val="en-US"/>
        </w:rPr>
        <w:t xml:space="preserve">). </w:t>
      </w:r>
      <w:r w:rsidRPr="26F64964">
        <w:rPr>
          <w:rFonts w:ascii="Calibri" w:hAnsi="Calibri" w:cs="Calibri"/>
          <w:highlight w:val="white"/>
          <w:lang w:val="en-US"/>
        </w:rPr>
        <w:t>The use of mobile health applications</w:t>
      </w:r>
      <w:r w:rsidRPr="26F64964">
        <w:rPr>
          <w:rFonts w:ascii="Calibri" w:hAnsi="Calibri" w:cs="Calibri"/>
          <w:lang w:val="en-US"/>
        </w:rPr>
        <w:t xml:space="preserve"> was often difficult for patients, as they did not know how to navigate and use the application. Poor IT literacy was common amongst the older generation, with older participants in studies mentioning their lack of familiarity with technology (</w:t>
      </w:r>
      <w:r w:rsidRPr="6A640EE8">
        <w:rPr>
          <w:rFonts w:ascii="Calibri" w:hAnsi="Calibri" w:cs="Calibri"/>
          <w:highlight w:val="white"/>
          <w:lang w:val="en-US"/>
        </w:rPr>
        <w:t xml:space="preserve">Eno, </w:t>
      </w:r>
      <w:proofErr w:type="spellStart"/>
      <w:r w:rsidRPr="6A640EE8">
        <w:rPr>
          <w:rFonts w:ascii="Calibri" w:hAnsi="Calibri" w:cs="Calibri"/>
          <w:highlight w:val="white"/>
          <w:lang w:val="en-US"/>
        </w:rPr>
        <w:t>Rucj</w:t>
      </w:r>
      <w:proofErr w:type="spellEnd"/>
      <w:r w:rsidRPr="6A640EE8">
        <w:rPr>
          <w:rFonts w:ascii="Calibri" w:hAnsi="Calibri" w:cs="Calibri"/>
          <w:highlight w:val="white"/>
          <w:lang w:val="en-US"/>
        </w:rPr>
        <w:t xml:space="preserve">, </w:t>
      </w:r>
      <w:proofErr w:type="spellStart"/>
      <w:r w:rsidRPr="6A640EE8">
        <w:rPr>
          <w:rFonts w:ascii="Calibri" w:hAnsi="Calibri" w:cs="Calibri"/>
          <w:highlight w:val="white"/>
          <w:lang w:val="en-US"/>
        </w:rPr>
        <w:t>Rusmussen</w:t>
      </w:r>
      <w:proofErr w:type="spellEnd"/>
      <w:r w:rsidRPr="6A640EE8">
        <w:rPr>
          <w:rFonts w:ascii="Calibri" w:hAnsi="Calibri" w:cs="Calibri"/>
          <w:highlight w:val="white"/>
          <w:lang w:val="en-US"/>
        </w:rPr>
        <w:t>,</w:t>
      </w:r>
      <w:r w:rsidRPr="6A640EE8">
        <w:rPr>
          <w:rFonts w:ascii="Calibri" w:hAnsi="Calibri" w:cs="Calibri"/>
          <w:lang w:val="en-US"/>
        </w:rPr>
        <w:t xml:space="preserve"> </w:t>
      </w:r>
      <w:proofErr w:type="spellStart"/>
      <w:r w:rsidRPr="6A640EE8">
        <w:rPr>
          <w:rFonts w:ascii="Calibri" w:hAnsi="Calibri" w:cs="Calibri"/>
          <w:highlight w:val="white"/>
          <w:lang w:val="en-US"/>
        </w:rPr>
        <w:t>Waldram</w:t>
      </w:r>
      <w:proofErr w:type="spellEnd"/>
      <w:r w:rsidRPr="6A640EE8">
        <w:rPr>
          <w:rFonts w:ascii="Calibri" w:hAnsi="Calibri" w:cs="Calibri"/>
          <w:highlight w:val="white"/>
          <w:lang w:val="en-US"/>
        </w:rPr>
        <w:t xml:space="preserve">, Thomas, Purnell, Wang, Massie, </w:t>
      </w:r>
      <w:proofErr w:type="spellStart"/>
      <w:r w:rsidRPr="6A640EE8">
        <w:rPr>
          <w:rFonts w:ascii="Calibri" w:hAnsi="Calibri" w:cs="Calibri"/>
          <w:highlight w:val="white"/>
          <w:lang w:val="en-US"/>
        </w:rPr>
        <w:t>Almmary</w:t>
      </w:r>
      <w:proofErr w:type="spellEnd"/>
      <w:r w:rsidRPr="6A640EE8">
        <w:rPr>
          <w:rFonts w:ascii="Calibri" w:hAnsi="Calibri" w:cs="Calibri"/>
          <w:highlight w:val="white"/>
          <w:lang w:val="en-US"/>
        </w:rPr>
        <w:t xml:space="preserve">, Cooper, </w:t>
      </w:r>
      <w:proofErr w:type="spellStart"/>
      <w:r w:rsidRPr="6A640EE8">
        <w:rPr>
          <w:rFonts w:ascii="Calibri" w:hAnsi="Calibri" w:cs="Calibri"/>
          <w:highlight w:val="white"/>
          <w:lang w:val="en-US"/>
        </w:rPr>
        <w:t>Segev</w:t>
      </w:r>
      <w:proofErr w:type="spellEnd"/>
      <w:r w:rsidRPr="6A640EE8">
        <w:rPr>
          <w:rFonts w:ascii="Calibri" w:hAnsi="Calibri" w:cs="Calibri"/>
          <w:highlight w:val="white"/>
          <w:lang w:val="en-US"/>
        </w:rPr>
        <w:t>, Levan &amp;</w:t>
      </w:r>
      <w:r w:rsidRPr="6A640EE8">
        <w:rPr>
          <w:rFonts w:ascii="Calibri" w:hAnsi="Calibri" w:cs="Calibri"/>
          <w:lang w:val="en-US"/>
        </w:rPr>
        <w:t xml:space="preserve"> </w:t>
      </w:r>
      <w:r w:rsidRPr="6A640EE8">
        <w:rPr>
          <w:rFonts w:ascii="Calibri" w:hAnsi="Calibri" w:cs="Calibri"/>
          <w:highlight w:val="white"/>
          <w:lang w:val="en-US"/>
        </w:rPr>
        <w:t>Henderson, 2019</w:t>
      </w:r>
      <w:r w:rsidRPr="6A640EE8">
        <w:rPr>
          <w:rFonts w:ascii="Calibri" w:hAnsi="Calibri" w:cs="Calibri"/>
          <w:lang w:val="en-US"/>
        </w:rPr>
        <w:t xml:space="preserve">; </w:t>
      </w:r>
      <w:r w:rsidRPr="6A640EE8">
        <w:rPr>
          <w:rFonts w:ascii="Calibri" w:hAnsi="Calibri" w:cs="Calibri"/>
          <w:highlight w:val="white"/>
          <w:lang w:val="en-US"/>
        </w:rPr>
        <w:t>O'Brien et al 2019</w:t>
      </w:r>
      <w:r w:rsidRPr="26F64964">
        <w:rPr>
          <w:rFonts w:ascii="Calibri" w:hAnsi="Calibri" w:cs="Calibri"/>
          <w:lang w:val="en-US"/>
        </w:rPr>
        <w:t xml:space="preserve">). </w:t>
      </w:r>
    </w:p>
    <w:p w14:paraId="6872F164" w14:textId="77777777" w:rsidR="00C408CC" w:rsidRDefault="00C408CC" w:rsidP="45199841">
      <w:pPr>
        <w:spacing w:after="0" w:line="360" w:lineRule="auto"/>
        <w:rPr>
          <w:rFonts w:ascii="Calibri" w:hAnsi="Calibri" w:cs="Calibri"/>
          <w:lang w:val="en-US"/>
        </w:rPr>
      </w:pPr>
      <w:r w:rsidRPr="45199841">
        <w:rPr>
          <w:rFonts w:ascii="Calibri" w:hAnsi="Calibri" w:cs="Calibri"/>
          <w:lang w:val="en-US"/>
        </w:rPr>
        <w:t> </w:t>
      </w:r>
    </w:p>
    <w:p w14:paraId="2A10C424" w14:textId="3929DA58" w:rsidR="00C408CC" w:rsidRDefault="00281627" w:rsidP="0064797F">
      <w:pPr>
        <w:spacing w:after="0" w:line="360" w:lineRule="auto"/>
        <w:jc w:val="both"/>
        <w:rPr>
          <w:rFonts w:ascii="Calibri" w:hAnsi="Calibri" w:cs="Calibri"/>
          <w:lang w:val="en-US"/>
        </w:rPr>
      </w:pPr>
      <w:r w:rsidRPr="26F64964">
        <w:rPr>
          <w:rFonts w:ascii="Calibri" w:hAnsi="Calibri" w:cs="Calibri"/>
          <w:b/>
          <w:bCs/>
          <w:lang w:val="en-US"/>
        </w:rPr>
        <w:t>Demographic and s</w:t>
      </w:r>
      <w:r w:rsidR="00C408CC" w:rsidRPr="26F64964">
        <w:rPr>
          <w:rFonts w:ascii="Calibri" w:hAnsi="Calibri" w:cs="Calibri"/>
          <w:b/>
          <w:bCs/>
          <w:lang w:val="en-US"/>
        </w:rPr>
        <w:t>ocio-economic factors as barriers</w:t>
      </w:r>
      <w:r w:rsidR="000A125E" w:rsidRPr="26F64964">
        <w:rPr>
          <w:rFonts w:ascii="Calibri" w:hAnsi="Calibri" w:cs="Calibri"/>
          <w:lang w:val="en-US"/>
        </w:rPr>
        <w:t xml:space="preserve">: </w:t>
      </w:r>
      <w:r w:rsidR="00D75051" w:rsidRPr="26F64964">
        <w:rPr>
          <w:rFonts w:ascii="Calibri" w:hAnsi="Calibri" w:cs="Calibri"/>
          <w:lang w:val="en-US"/>
        </w:rPr>
        <w:t xml:space="preserve">The </w:t>
      </w:r>
      <w:r w:rsidRPr="26F64964">
        <w:rPr>
          <w:rFonts w:ascii="Calibri" w:hAnsi="Calibri" w:cs="Calibri"/>
          <w:lang w:val="en-US"/>
        </w:rPr>
        <w:t>findings</w:t>
      </w:r>
      <w:r w:rsidR="00D75051" w:rsidRPr="26F64964">
        <w:rPr>
          <w:rFonts w:ascii="Calibri" w:hAnsi="Calibri" w:cs="Calibri"/>
          <w:lang w:val="en-US"/>
        </w:rPr>
        <w:t xml:space="preserve"> of this SLR </w:t>
      </w:r>
      <w:r w:rsidR="002A4CBD" w:rsidRPr="26F64964">
        <w:rPr>
          <w:rFonts w:ascii="Calibri" w:hAnsi="Calibri" w:cs="Calibri"/>
          <w:lang w:val="en-US"/>
        </w:rPr>
        <w:t>show</w:t>
      </w:r>
      <w:r w:rsidR="00D75051" w:rsidRPr="26F64964">
        <w:rPr>
          <w:rFonts w:ascii="Calibri" w:hAnsi="Calibri" w:cs="Calibri"/>
          <w:lang w:val="en-US"/>
        </w:rPr>
        <w:t xml:space="preserve"> </w:t>
      </w:r>
      <w:r w:rsidR="00D75051" w:rsidRPr="26F64964">
        <w:rPr>
          <w:rFonts w:ascii="Calibri" w:hAnsi="Calibri" w:cs="Calibri"/>
          <w:highlight w:val="white"/>
          <w:lang w:val="en-US"/>
        </w:rPr>
        <w:t xml:space="preserve">that </w:t>
      </w:r>
      <w:r w:rsidRPr="26F64964">
        <w:rPr>
          <w:rFonts w:ascii="Calibri" w:hAnsi="Calibri" w:cs="Calibri"/>
          <w:highlight w:val="white"/>
          <w:lang w:val="en-US"/>
        </w:rPr>
        <w:t xml:space="preserve">demographic and </w:t>
      </w:r>
      <w:r w:rsidR="00D75051" w:rsidRPr="26F64964">
        <w:rPr>
          <w:rFonts w:ascii="Calibri" w:hAnsi="Calibri" w:cs="Calibri"/>
          <w:highlight w:val="white"/>
          <w:lang w:val="en-US"/>
        </w:rPr>
        <w:t>soci</w:t>
      </w:r>
      <w:r w:rsidR="00192FEF" w:rsidRPr="26F64964">
        <w:rPr>
          <w:rFonts w:ascii="Calibri" w:hAnsi="Calibri" w:cs="Calibri"/>
          <w:highlight w:val="white"/>
          <w:lang w:val="en-US"/>
        </w:rPr>
        <w:t>o</w:t>
      </w:r>
      <w:r w:rsidR="00C408CC" w:rsidRPr="26F64964">
        <w:rPr>
          <w:rFonts w:ascii="Calibri" w:hAnsi="Calibri" w:cs="Calibri"/>
          <w:highlight w:val="white"/>
          <w:lang w:val="en-US"/>
        </w:rPr>
        <w:t xml:space="preserve">-economic factors such as </w:t>
      </w:r>
      <w:r w:rsidRPr="26F64964">
        <w:rPr>
          <w:rFonts w:ascii="Calibri" w:hAnsi="Calibri" w:cs="Calibri"/>
          <w:highlight w:val="white"/>
          <w:lang w:val="en-US"/>
        </w:rPr>
        <w:t xml:space="preserve">age, </w:t>
      </w:r>
      <w:r w:rsidR="00C408CC" w:rsidRPr="26F64964">
        <w:rPr>
          <w:rFonts w:ascii="Calibri" w:hAnsi="Calibri" w:cs="Calibri"/>
          <w:highlight w:val="white"/>
          <w:lang w:val="en-US"/>
        </w:rPr>
        <w:t>income and education</w:t>
      </w:r>
      <w:r w:rsidR="00C408CC" w:rsidRPr="26F64964">
        <w:rPr>
          <w:rFonts w:ascii="Calibri" w:hAnsi="Calibri" w:cs="Calibri"/>
          <w:lang w:val="en-US"/>
        </w:rPr>
        <w:t xml:space="preserve"> </w:t>
      </w:r>
      <w:r w:rsidR="00743416" w:rsidRPr="26F64964">
        <w:rPr>
          <w:rFonts w:ascii="Calibri" w:hAnsi="Calibri" w:cs="Calibri"/>
          <w:lang w:val="en-US"/>
        </w:rPr>
        <w:t xml:space="preserve">are </w:t>
      </w:r>
      <w:r w:rsidR="00C408CC" w:rsidRPr="26F64964">
        <w:rPr>
          <w:rFonts w:ascii="Calibri" w:hAnsi="Calibri" w:cs="Calibri"/>
          <w:lang w:val="en-US"/>
        </w:rPr>
        <w:t xml:space="preserve">also </w:t>
      </w:r>
      <w:r w:rsidR="00D75051" w:rsidRPr="26F64964">
        <w:rPr>
          <w:rFonts w:ascii="Calibri" w:hAnsi="Calibri" w:cs="Calibri"/>
          <w:lang w:val="en-US"/>
        </w:rPr>
        <w:t xml:space="preserve">identified as challenges </w:t>
      </w:r>
      <w:r w:rsidR="00331B2A" w:rsidRPr="26F64964">
        <w:rPr>
          <w:rFonts w:ascii="Calibri" w:hAnsi="Calibri" w:cs="Calibri"/>
          <w:lang w:val="en-US"/>
        </w:rPr>
        <w:t xml:space="preserve">that </w:t>
      </w:r>
      <w:r w:rsidR="00C408CC" w:rsidRPr="26F64964">
        <w:rPr>
          <w:rFonts w:ascii="Calibri" w:hAnsi="Calibri" w:cs="Calibri"/>
          <w:lang w:val="en-US"/>
        </w:rPr>
        <w:t xml:space="preserve">contribute to poor IT literacy. </w:t>
      </w:r>
      <w:r w:rsidR="00535CC8" w:rsidRPr="26F64964">
        <w:rPr>
          <w:rFonts w:ascii="Calibri" w:hAnsi="Calibri" w:cs="Calibri"/>
          <w:lang w:val="en-US"/>
        </w:rPr>
        <w:t xml:space="preserve">This </w:t>
      </w:r>
      <w:r w:rsidR="00154F1D" w:rsidRPr="26F64964">
        <w:rPr>
          <w:rFonts w:ascii="Calibri" w:hAnsi="Calibri" w:cs="Calibri"/>
          <w:lang w:val="en-US"/>
        </w:rPr>
        <w:t>is supported by the findings in studies with older patients (</w:t>
      </w:r>
      <w:r w:rsidR="00154F1D" w:rsidRPr="6A640EE8">
        <w:rPr>
          <w:rFonts w:ascii="Calibri" w:hAnsi="Calibri" w:cs="Calibri"/>
          <w:highlight w:val="white"/>
          <w:lang w:val="en-US"/>
        </w:rPr>
        <w:t>Eno et al., 2019</w:t>
      </w:r>
      <w:r w:rsidR="00154F1D" w:rsidRPr="6A640EE8">
        <w:rPr>
          <w:rFonts w:ascii="Calibri" w:hAnsi="Calibri" w:cs="Calibri"/>
          <w:lang w:val="en-US"/>
        </w:rPr>
        <w:t xml:space="preserve">; </w:t>
      </w:r>
      <w:r w:rsidR="00154F1D" w:rsidRPr="6A640EE8">
        <w:rPr>
          <w:rFonts w:ascii="Calibri" w:hAnsi="Calibri" w:cs="Calibri"/>
          <w:highlight w:val="white"/>
          <w:lang w:val="en-US"/>
        </w:rPr>
        <w:t>O'Brien et al., 2019</w:t>
      </w:r>
      <w:r w:rsidR="00154F1D" w:rsidRPr="6A640EE8">
        <w:rPr>
          <w:rFonts w:ascii="Calibri" w:hAnsi="Calibri" w:cs="Calibri"/>
          <w:lang w:val="en-US"/>
        </w:rPr>
        <w:t>).</w:t>
      </w:r>
      <w:r w:rsidR="00154F1D" w:rsidRPr="26F64964">
        <w:rPr>
          <w:rFonts w:ascii="Calibri" w:hAnsi="Calibri" w:cs="Calibri"/>
          <w:lang w:val="en-US"/>
        </w:rPr>
        <w:t xml:space="preserve"> </w:t>
      </w:r>
      <w:r w:rsidR="00C408CC" w:rsidRPr="26F64964">
        <w:rPr>
          <w:rFonts w:ascii="Calibri" w:hAnsi="Calibri" w:cs="Calibri"/>
          <w:lang w:val="en-US"/>
        </w:rPr>
        <w:t xml:space="preserve">With low income, it is difficult for individuals to afford and access technology and </w:t>
      </w:r>
      <w:r w:rsidR="00743416" w:rsidRPr="26F64964">
        <w:rPr>
          <w:rFonts w:ascii="Calibri" w:hAnsi="Calibri" w:cs="Calibri"/>
          <w:lang w:val="en-US"/>
        </w:rPr>
        <w:t xml:space="preserve">the </w:t>
      </w:r>
      <w:r w:rsidR="00C408CC" w:rsidRPr="26F64964">
        <w:rPr>
          <w:rFonts w:ascii="Calibri" w:hAnsi="Calibri" w:cs="Calibri"/>
          <w:lang w:val="en-US"/>
        </w:rPr>
        <w:t>internet</w:t>
      </w:r>
      <w:r w:rsidR="00743416" w:rsidRPr="26F64964">
        <w:rPr>
          <w:rFonts w:ascii="Calibri" w:hAnsi="Calibri" w:cs="Calibri"/>
          <w:lang w:val="en-US"/>
        </w:rPr>
        <w:t>;</w:t>
      </w:r>
      <w:r w:rsidR="00C408CC" w:rsidRPr="26F64964">
        <w:rPr>
          <w:rFonts w:ascii="Calibri" w:hAnsi="Calibri" w:cs="Calibri"/>
          <w:lang w:val="en-US"/>
        </w:rPr>
        <w:t xml:space="preserve"> </w:t>
      </w:r>
      <w:proofErr w:type="gramStart"/>
      <w:r w:rsidR="00535CC8" w:rsidRPr="26F64964">
        <w:rPr>
          <w:rFonts w:ascii="Calibri" w:hAnsi="Calibri" w:cs="Calibri"/>
          <w:lang w:val="en-US"/>
        </w:rPr>
        <w:t>therefore</w:t>
      </w:r>
      <w:proofErr w:type="gramEnd"/>
      <w:r w:rsidR="00C408CC" w:rsidRPr="26F64964">
        <w:rPr>
          <w:rFonts w:ascii="Calibri" w:hAnsi="Calibri" w:cs="Calibri"/>
          <w:lang w:val="en-US"/>
        </w:rPr>
        <w:t xml:space="preserve"> they</w:t>
      </w:r>
      <w:r w:rsidR="00331B2A" w:rsidRPr="26F64964">
        <w:rPr>
          <w:rFonts w:ascii="Calibri" w:hAnsi="Calibri" w:cs="Calibri"/>
          <w:lang w:val="en-US"/>
        </w:rPr>
        <w:t xml:space="preserve"> a</w:t>
      </w:r>
      <w:r w:rsidR="00C408CC" w:rsidRPr="26F64964">
        <w:rPr>
          <w:rFonts w:ascii="Calibri" w:hAnsi="Calibri" w:cs="Calibri"/>
          <w:lang w:val="en-US"/>
        </w:rPr>
        <w:t>re more likely to have little to no IT exposure and knowledge (</w:t>
      </w:r>
      <w:r w:rsidR="00C408CC" w:rsidRPr="6A640EE8">
        <w:rPr>
          <w:rFonts w:ascii="Calibri" w:hAnsi="Calibri" w:cs="Calibri"/>
          <w:highlight w:val="white"/>
          <w:lang w:val="en-US"/>
        </w:rPr>
        <w:t>Eno et al., 2019</w:t>
      </w:r>
      <w:r w:rsidR="00C408CC" w:rsidRPr="6A640EE8">
        <w:rPr>
          <w:rFonts w:ascii="Calibri" w:hAnsi="Calibri" w:cs="Calibri"/>
          <w:lang w:val="en-US"/>
        </w:rPr>
        <w:t>).</w:t>
      </w:r>
      <w:r w:rsidR="00C408CC" w:rsidRPr="26F64964">
        <w:rPr>
          <w:rFonts w:ascii="Calibri" w:hAnsi="Calibri" w:cs="Calibri"/>
          <w:lang w:val="en-US"/>
        </w:rPr>
        <w:t xml:space="preserve"> Poor education contributes to low IT literacy as individuals are not properly equipped nor have the knowledge to engage and interact with technology (</w:t>
      </w:r>
      <w:r w:rsidR="00C408CC" w:rsidRPr="6A640EE8">
        <w:rPr>
          <w:rFonts w:ascii="Calibri" w:hAnsi="Calibri" w:cs="Calibri"/>
          <w:highlight w:val="white"/>
          <w:lang w:val="en-US"/>
        </w:rPr>
        <w:t>O'Brien et al., 2018</w:t>
      </w:r>
      <w:r w:rsidR="00C408CC" w:rsidRPr="26F64964">
        <w:rPr>
          <w:rFonts w:ascii="Calibri" w:hAnsi="Calibri" w:cs="Calibri"/>
          <w:lang w:val="en-US"/>
        </w:rPr>
        <w:t>). Language is another significant factor that contributes to poor IT literacy</w:t>
      </w:r>
      <w:r w:rsidR="00743416" w:rsidRPr="26F64964">
        <w:rPr>
          <w:rFonts w:ascii="Calibri" w:hAnsi="Calibri" w:cs="Calibri"/>
          <w:lang w:val="en-US"/>
        </w:rPr>
        <w:t xml:space="preserve"> </w:t>
      </w:r>
      <w:r w:rsidR="00C408CC" w:rsidRPr="26F64964">
        <w:rPr>
          <w:rFonts w:ascii="Calibri" w:hAnsi="Calibri" w:cs="Calibri"/>
          <w:lang w:val="en-US"/>
        </w:rPr>
        <w:t xml:space="preserve">with English being the main language used with digital health interventions and technology, it hinders non-English </w:t>
      </w:r>
      <w:r w:rsidR="00535CC8" w:rsidRPr="26F64964">
        <w:rPr>
          <w:rFonts w:ascii="Calibri" w:hAnsi="Calibri" w:cs="Calibri"/>
          <w:lang w:val="en-US"/>
        </w:rPr>
        <w:t>speakers’</w:t>
      </w:r>
      <w:r w:rsidR="00C408CC" w:rsidRPr="26F64964">
        <w:rPr>
          <w:rFonts w:ascii="Calibri" w:hAnsi="Calibri" w:cs="Calibri"/>
          <w:lang w:val="en-US"/>
        </w:rPr>
        <w:t xml:space="preserve"> ability to understand and navigate such technology (</w:t>
      </w:r>
      <w:r w:rsidR="00C408CC" w:rsidRPr="6A640EE8">
        <w:rPr>
          <w:rFonts w:ascii="Calibri" w:hAnsi="Calibri" w:cs="Calibri"/>
          <w:highlight w:val="white"/>
          <w:lang w:val="en-US"/>
        </w:rPr>
        <w:t>Eno et al., 2019</w:t>
      </w:r>
      <w:r w:rsidR="00C408CC" w:rsidRPr="26F64964">
        <w:rPr>
          <w:rFonts w:ascii="Calibri" w:hAnsi="Calibri" w:cs="Calibri"/>
          <w:lang w:val="en-US"/>
        </w:rPr>
        <w:t xml:space="preserve">). </w:t>
      </w:r>
    </w:p>
    <w:p w14:paraId="60416847" w14:textId="77777777" w:rsidR="00C408CC" w:rsidRDefault="00C408CC" w:rsidP="45199841">
      <w:pPr>
        <w:spacing w:after="0" w:line="360" w:lineRule="auto"/>
        <w:rPr>
          <w:rFonts w:ascii="Calibri" w:hAnsi="Calibri" w:cs="Calibri"/>
          <w:lang w:val="en-US"/>
        </w:rPr>
      </w:pPr>
      <w:r w:rsidRPr="45199841">
        <w:rPr>
          <w:rFonts w:ascii="Calibri" w:hAnsi="Calibri" w:cs="Calibri"/>
          <w:lang w:val="en-US"/>
        </w:rPr>
        <w:t> </w:t>
      </w:r>
    </w:p>
    <w:p w14:paraId="7C197D82" w14:textId="27117F43" w:rsidR="00C124A2" w:rsidRPr="00334135" w:rsidRDefault="00C408CC" w:rsidP="00334135">
      <w:pPr>
        <w:spacing w:after="0" w:line="360" w:lineRule="auto"/>
        <w:jc w:val="both"/>
        <w:rPr>
          <w:rFonts w:ascii="Calibri" w:hAnsi="Calibri" w:cs="Calibri"/>
          <w:lang w:val="en-US"/>
        </w:rPr>
      </w:pPr>
      <w:r w:rsidRPr="26F64964">
        <w:rPr>
          <w:rFonts w:ascii="Calibri" w:hAnsi="Calibri" w:cs="Calibri"/>
          <w:b/>
          <w:bCs/>
          <w:lang w:val="en-US"/>
        </w:rPr>
        <w:lastRenderedPageBreak/>
        <w:t>Poor IT acceptance</w:t>
      </w:r>
      <w:r w:rsidR="00535CC8" w:rsidRPr="26F64964">
        <w:rPr>
          <w:rFonts w:ascii="Calibri" w:hAnsi="Calibri" w:cs="Calibri"/>
          <w:lang w:val="en-US"/>
        </w:rPr>
        <w:t xml:space="preserve">: </w:t>
      </w:r>
      <w:r w:rsidRPr="26F64964">
        <w:rPr>
          <w:rFonts w:ascii="Calibri" w:hAnsi="Calibri" w:cs="Calibri"/>
          <w:lang w:val="en-US"/>
        </w:rPr>
        <w:t xml:space="preserve">The lack of familiarity with technology drives fear and leads to less </w:t>
      </w:r>
      <w:r w:rsidRPr="26F64964">
        <w:rPr>
          <w:rFonts w:ascii="Calibri" w:hAnsi="Calibri" w:cs="Calibri"/>
          <w:highlight w:val="white"/>
          <w:lang w:val="en-US"/>
        </w:rPr>
        <w:t>acceptance and adoption of</w:t>
      </w:r>
      <w:r w:rsidRPr="26F64964">
        <w:rPr>
          <w:rFonts w:ascii="Calibri" w:hAnsi="Calibri" w:cs="Calibri"/>
          <w:lang w:val="en-US"/>
        </w:rPr>
        <w:t xml:space="preserve"> digital health technology. The poor IT acceptability as a result of poor IT literacy can be explained by the technology acceptance model </w:t>
      </w:r>
      <w:r w:rsidRPr="26F64964">
        <w:rPr>
          <w:rFonts w:ascii="Calibri" w:hAnsi="Calibri" w:cs="Calibri"/>
          <w:highlight w:val="white"/>
          <w:lang w:val="en-US"/>
        </w:rPr>
        <w:t xml:space="preserve">(TAM). </w:t>
      </w:r>
      <w:r w:rsidRPr="00856166">
        <w:rPr>
          <w:rFonts w:ascii="Calibri" w:hAnsi="Calibri" w:cs="Calibri"/>
          <w:lang w:val="en-US"/>
        </w:rPr>
        <w:t xml:space="preserve">The technology acceptance model </w:t>
      </w:r>
      <w:r w:rsidR="00856166" w:rsidRPr="00856166">
        <w:rPr>
          <w:rFonts w:ascii="Calibri" w:hAnsi="Calibri" w:cs="Calibri"/>
          <w:lang w:val="en-US"/>
        </w:rPr>
        <w:t>alludes</w:t>
      </w:r>
      <w:r w:rsidRPr="00856166">
        <w:rPr>
          <w:rFonts w:ascii="Calibri" w:hAnsi="Calibri" w:cs="Calibri"/>
          <w:lang w:val="en-US"/>
        </w:rPr>
        <w:t xml:space="preserve"> to</w:t>
      </w:r>
      <w:r w:rsidRPr="26F64964">
        <w:rPr>
          <w:rFonts w:ascii="Calibri" w:hAnsi="Calibri" w:cs="Calibri"/>
          <w:lang w:val="en-US"/>
        </w:rPr>
        <w:t xml:space="preserve"> two main factors that influence individual intention to use technology</w:t>
      </w:r>
      <w:r w:rsidR="00B34A30" w:rsidRPr="005B7974">
        <w:rPr>
          <w:rFonts w:ascii="Calibri" w:hAnsi="Calibri" w:cs="Calibri"/>
          <w:lang w:val="en-US"/>
        </w:rPr>
        <w:t>,</w:t>
      </w:r>
      <w:r w:rsidR="00DB735E" w:rsidRPr="005B7974">
        <w:rPr>
          <w:rFonts w:ascii="Calibri" w:hAnsi="Calibri" w:cs="Calibri"/>
          <w:lang w:val="en-US"/>
        </w:rPr>
        <w:t xml:space="preserve"> </w:t>
      </w:r>
      <w:r w:rsidRPr="005B7974">
        <w:rPr>
          <w:rFonts w:ascii="Calibri" w:hAnsi="Calibri" w:cs="Calibri"/>
          <w:lang w:val="en-US"/>
        </w:rPr>
        <w:t xml:space="preserve">perceived usefulness and perceived ease of use (Davis, 1989). </w:t>
      </w:r>
      <w:r w:rsidRPr="26F64964">
        <w:rPr>
          <w:rFonts w:ascii="Calibri" w:hAnsi="Calibri" w:cs="Calibri"/>
          <w:highlight w:val="white"/>
          <w:lang w:val="en-US"/>
        </w:rPr>
        <w:t>Perceived usefulness refers to</w:t>
      </w:r>
      <w:r w:rsidRPr="26F64964">
        <w:rPr>
          <w:rFonts w:ascii="Calibri" w:hAnsi="Calibri" w:cs="Calibri"/>
          <w:lang w:val="en-US"/>
        </w:rPr>
        <w:t xml:space="preserve"> one's belief that technology will provide benefits and advantages (</w:t>
      </w:r>
      <w:r w:rsidRPr="6A640EE8">
        <w:rPr>
          <w:rFonts w:ascii="Calibri" w:hAnsi="Calibri" w:cs="Calibri"/>
          <w:highlight w:val="white"/>
          <w:lang w:val="en-US"/>
        </w:rPr>
        <w:t>Davis, 1989</w:t>
      </w:r>
      <w:r w:rsidRPr="6A640EE8">
        <w:rPr>
          <w:rFonts w:ascii="Calibri" w:hAnsi="Calibri" w:cs="Calibri"/>
          <w:lang w:val="en-US"/>
        </w:rPr>
        <w:t xml:space="preserve">; </w:t>
      </w:r>
      <w:r w:rsidRPr="6A640EE8">
        <w:rPr>
          <w:rFonts w:ascii="Calibri" w:hAnsi="Calibri" w:cs="Calibri"/>
          <w:highlight w:val="white"/>
          <w:lang w:val="en-US"/>
        </w:rPr>
        <w:t>Holden &amp; Karsh, 2010</w:t>
      </w:r>
      <w:r w:rsidRPr="26F64964">
        <w:rPr>
          <w:rFonts w:ascii="Calibri" w:hAnsi="Calibri" w:cs="Calibri"/>
          <w:lang w:val="en-US"/>
        </w:rPr>
        <w:t xml:space="preserve">). Perceived </w:t>
      </w:r>
      <w:r w:rsidRPr="26F64964">
        <w:rPr>
          <w:rFonts w:ascii="Calibri" w:hAnsi="Calibri" w:cs="Calibri"/>
          <w:highlight w:val="white"/>
          <w:lang w:val="en-US"/>
        </w:rPr>
        <w:t>ease of use refers to</w:t>
      </w:r>
      <w:r w:rsidRPr="26F64964">
        <w:rPr>
          <w:rFonts w:ascii="Calibri" w:hAnsi="Calibri" w:cs="Calibri"/>
          <w:lang w:val="en-US"/>
        </w:rPr>
        <w:t xml:space="preserve"> one's belief that using </w:t>
      </w:r>
      <w:r w:rsidR="00535CC8" w:rsidRPr="26F64964">
        <w:rPr>
          <w:rFonts w:ascii="Calibri" w:hAnsi="Calibri" w:cs="Calibri"/>
          <w:highlight w:val="white"/>
          <w:lang w:val="en-US"/>
        </w:rPr>
        <w:t>technology</w:t>
      </w:r>
      <w:r w:rsidRPr="26F64964">
        <w:rPr>
          <w:rFonts w:ascii="Calibri" w:hAnsi="Calibri" w:cs="Calibri"/>
          <w:highlight w:val="white"/>
          <w:lang w:val="en-US"/>
        </w:rPr>
        <w:t xml:space="preserve"> would be</w:t>
      </w:r>
      <w:r w:rsidRPr="26F64964">
        <w:rPr>
          <w:rFonts w:ascii="Calibri" w:hAnsi="Calibri" w:cs="Calibri"/>
          <w:lang w:val="en-US"/>
        </w:rPr>
        <w:t xml:space="preserve"> relatively easy and free of effort (</w:t>
      </w:r>
      <w:r w:rsidRPr="6A640EE8">
        <w:rPr>
          <w:rFonts w:ascii="Calibri" w:hAnsi="Calibri" w:cs="Calibri"/>
          <w:highlight w:val="white"/>
          <w:lang w:val="en-US"/>
        </w:rPr>
        <w:t>Davis, 1989</w:t>
      </w:r>
      <w:r w:rsidRPr="6A640EE8">
        <w:rPr>
          <w:rFonts w:ascii="Calibri" w:hAnsi="Calibri" w:cs="Calibri"/>
          <w:lang w:val="en-US"/>
        </w:rPr>
        <w:t xml:space="preserve">; </w:t>
      </w:r>
      <w:r w:rsidRPr="6A640EE8">
        <w:rPr>
          <w:rFonts w:ascii="Calibri" w:hAnsi="Calibri" w:cs="Calibri"/>
          <w:highlight w:val="white"/>
          <w:lang w:val="en-US"/>
        </w:rPr>
        <w:t>Holden &amp; Karsh, 2010</w:t>
      </w:r>
      <w:r w:rsidRPr="26F64964">
        <w:rPr>
          <w:rFonts w:ascii="Calibri" w:hAnsi="Calibri" w:cs="Calibri"/>
          <w:lang w:val="en-US"/>
        </w:rPr>
        <w:t>). With poor IT literacy, individuals would perceive digital health technology to be complex and difficult to use and therefor</w:t>
      </w:r>
      <w:r w:rsidR="00B34A30" w:rsidRPr="26F64964">
        <w:rPr>
          <w:rFonts w:ascii="Calibri" w:hAnsi="Calibri" w:cs="Calibri"/>
          <w:lang w:val="en-US"/>
        </w:rPr>
        <w:t>e</w:t>
      </w:r>
      <w:r w:rsidRPr="26F64964">
        <w:rPr>
          <w:rFonts w:ascii="Calibri" w:hAnsi="Calibri" w:cs="Calibri"/>
          <w:lang w:val="en-US"/>
        </w:rPr>
        <w:t xml:space="preserve"> would lack the intention </w:t>
      </w:r>
      <w:r w:rsidRPr="26F64964">
        <w:rPr>
          <w:rFonts w:ascii="Calibri" w:hAnsi="Calibri" w:cs="Calibri"/>
          <w:highlight w:val="white"/>
          <w:lang w:val="en-US"/>
        </w:rPr>
        <w:t>to use and adopt the</w:t>
      </w:r>
      <w:r w:rsidRPr="26F64964">
        <w:rPr>
          <w:rFonts w:ascii="Calibri" w:hAnsi="Calibri" w:cs="Calibri"/>
          <w:lang w:val="en-US"/>
        </w:rPr>
        <w:t xml:space="preserve"> digital health technology</w:t>
      </w:r>
      <w:r w:rsidR="00DB735E" w:rsidRPr="26F64964">
        <w:rPr>
          <w:rFonts w:ascii="Calibri" w:hAnsi="Calibri" w:cs="Calibri"/>
          <w:lang w:val="en-US"/>
        </w:rPr>
        <w:t xml:space="preserve"> while engaged in before or aftercare</w:t>
      </w:r>
      <w:r w:rsidR="00E54856" w:rsidRPr="26F64964">
        <w:rPr>
          <w:rFonts w:ascii="Calibri" w:hAnsi="Calibri" w:cs="Calibri"/>
          <w:lang w:val="en-US"/>
        </w:rPr>
        <w:t xml:space="preserve"> of transplantation</w:t>
      </w:r>
      <w:r w:rsidRPr="26F64964">
        <w:rPr>
          <w:rFonts w:ascii="Calibri" w:hAnsi="Calibri" w:cs="Calibri"/>
          <w:lang w:val="en-US"/>
        </w:rPr>
        <w:t xml:space="preserve">. </w:t>
      </w:r>
      <w:proofErr w:type="gramStart"/>
      <w:r w:rsidR="1CDDE930" w:rsidRPr="26F64964">
        <w:rPr>
          <w:rFonts w:ascii="Calibri" w:eastAsia="Calibri" w:hAnsi="Calibri" w:cs="Calibri"/>
          <w:lang w:val="en-US"/>
        </w:rPr>
        <w:t>Similar to</w:t>
      </w:r>
      <w:proofErr w:type="gramEnd"/>
      <w:r w:rsidR="1CDDE930" w:rsidRPr="26F64964">
        <w:rPr>
          <w:rFonts w:ascii="Calibri" w:eastAsia="Calibri" w:hAnsi="Calibri" w:cs="Calibri"/>
          <w:lang w:val="en-US"/>
        </w:rPr>
        <w:t xml:space="preserve"> patients, the perceived </w:t>
      </w:r>
      <w:r w:rsidR="1CDDE930" w:rsidRPr="26F64964">
        <w:rPr>
          <w:rFonts w:ascii="Calibri" w:eastAsia="Calibri" w:hAnsi="Calibri" w:cs="Calibri"/>
          <w:highlight w:val="white"/>
          <w:lang w:val="en-US"/>
        </w:rPr>
        <w:t>ease of use and perceived usefulness of</w:t>
      </w:r>
      <w:r w:rsidR="1CDDE930" w:rsidRPr="26F64964">
        <w:rPr>
          <w:rFonts w:ascii="Calibri" w:eastAsia="Calibri" w:hAnsi="Calibri" w:cs="Calibri"/>
          <w:lang w:val="en-US"/>
        </w:rPr>
        <w:t xml:space="preserve"> digital health interventions influenced providers</w:t>
      </w:r>
      <w:r w:rsidR="00B34A30" w:rsidRPr="26F64964">
        <w:rPr>
          <w:rFonts w:ascii="Calibri" w:eastAsia="Calibri" w:hAnsi="Calibri" w:cs="Calibri"/>
          <w:lang w:val="en-US"/>
        </w:rPr>
        <w:t>'</w:t>
      </w:r>
      <w:r w:rsidR="1CDDE930" w:rsidRPr="26F64964">
        <w:rPr>
          <w:rFonts w:ascii="Calibri" w:eastAsia="Calibri" w:hAnsi="Calibri" w:cs="Calibri"/>
          <w:lang w:val="en-US"/>
        </w:rPr>
        <w:t xml:space="preserve"> intention to deploy and adopt interventions. A study mentioned how transplant providers and workers found it difficult to use and adopt mHealth as they did not have much experience with mHealth (</w:t>
      </w:r>
      <w:r w:rsidR="1CDDE930" w:rsidRPr="6A640EE8">
        <w:rPr>
          <w:rFonts w:ascii="Calibri" w:eastAsia="Calibri" w:hAnsi="Calibri" w:cs="Calibri"/>
          <w:highlight w:val="white"/>
          <w:lang w:val="en-US"/>
        </w:rPr>
        <w:t>Eno et al., 2019</w:t>
      </w:r>
      <w:r w:rsidR="1CDDE930" w:rsidRPr="26F64964">
        <w:rPr>
          <w:rFonts w:ascii="Calibri" w:eastAsia="Calibri" w:hAnsi="Calibri" w:cs="Calibri"/>
          <w:lang w:val="en-US"/>
        </w:rPr>
        <w:t xml:space="preserve">). </w:t>
      </w:r>
      <w:r w:rsidR="1CDDE930" w:rsidRPr="26F64964">
        <w:rPr>
          <w:lang w:val="en-US"/>
        </w:rPr>
        <w:t xml:space="preserve"> </w:t>
      </w:r>
    </w:p>
    <w:p w14:paraId="033222A7" w14:textId="3B4CBF4A" w:rsidR="00C124A2" w:rsidRDefault="00975535" w:rsidP="1CDDE930">
      <w:pPr>
        <w:pStyle w:val="Heading3"/>
        <w:jc w:val="left"/>
        <w:rPr>
          <w:rFonts w:ascii="Calibri" w:eastAsia="Calibri" w:hAnsi="Calibri" w:cs="Calibri"/>
          <w:caps w:val="0"/>
          <w:color w:val="000000" w:themeColor="text1"/>
          <w:sz w:val="22"/>
          <w:szCs w:val="22"/>
          <w:lang w:val="en-US"/>
        </w:rPr>
      </w:pPr>
      <w:bookmarkStart w:id="25" w:name="_Toc166853990"/>
      <w:r w:rsidRPr="1CDDE930">
        <w:rPr>
          <w:lang w:val="en-US"/>
        </w:rPr>
        <w:t>4.</w:t>
      </w:r>
      <w:r>
        <w:rPr>
          <w:lang w:val="en-US"/>
        </w:rPr>
        <w:t xml:space="preserve">2.1.2 </w:t>
      </w:r>
      <w:r w:rsidRPr="1CDDE930">
        <w:rPr>
          <w:lang w:val="en-US"/>
        </w:rPr>
        <w:t>U</w:t>
      </w:r>
      <w:r w:rsidR="00094022">
        <w:rPr>
          <w:lang w:val="en-US"/>
        </w:rPr>
        <w:t>sability</w:t>
      </w:r>
      <w:r w:rsidR="1CDDE930" w:rsidRPr="1CDDE930">
        <w:rPr>
          <w:lang w:val="en-US"/>
        </w:rPr>
        <w:t xml:space="preserve"> and Implementation Challenges</w:t>
      </w:r>
      <w:bookmarkEnd w:id="25"/>
    </w:p>
    <w:p w14:paraId="316848C1" w14:textId="55A41FF7" w:rsidR="00AB676F" w:rsidRPr="00975535" w:rsidRDefault="00391464" w:rsidP="00AB676F">
      <w:pPr>
        <w:spacing w:after="0" w:line="360" w:lineRule="auto"/>
        <w:jc w:val="both"/>
        <w:rPr>
          <w:rFonts w:ascii="Calibri" w:hAnsi="Calibri" w:cs="Calibri"/>
          <w:bCs/>
          <w:lang w:val="en-US"/>
        </w:rPr>
      </w:pPr>
      <w:r w:rsidRPr="00975535">
        <w:rPr>
          <w:rFonts w:ascii="Calibri" w:hAnsi="Calibri" w:cs="Calibri"/>
          <w:bCs/>
          <w:lang w:val="en-US"/>
        </w:rPr>
        <w:t>Regarding the</w:t>
      </w:r>
      <w:r w:rsidR="00D10AE9" w:rsidRPr="00975535">
        <w:rPr>
          <w:rFonts w:ascii="Calibri" w:hAnsi="Calibri" w:cs="Calibri"/>
          <w:bCs/>
          <w:lang w:val="en-US"/>
        </w:rPr>
        <w:t xml:space="preserve"> usability and implementation challenges with using digital health tools, </w:t>
      </w:r>
      <w:r w:rsidRPr="00975535">
        <w:rPr>
          <w:rFonts w:ascii="Calibri" w:hAnsi="Calibri" w:cs="Calibri"/>
          <w:bCs/>
          <w:lang w:val="en-US"/>
        </w:rPr>
        <w:t xml:space="preserve">5 of the analyzed studies highlighted the </w:t>
      </w:r>
      <w:r w:rsidR="00C26F6A" w:rsidRPr="00975535">
        <w:rPr>
          <w:rFonts w:ascii="Calibri" w:hAnsi="Calibri" w:cs="Calibri"/>
          <w:bCs/>
          <w:lang w:val="en-US"/>
        </w:rPr>
        <w:t xml:space="preserve">root causes behind these </w:t>
      </w:r>
      <w:r w:rsidR="008D2C6A" w:rsidRPr="00975535">
        <w:rPr>
          <w:rFonts w:ascii="Calibri" w:hAnsi="Calibri" w:cs="Calibri"/>
          <w:bCs/>
          <w:lang w:val="en-US"/>
        </w:rPr>
        <w:t xml:space="preserve">barriers </w:t>
      </w:r>
      <w:r w:rsidR="00C26F6A" w:rsidRPr="00975535">
        <w:rPr>
          <w:rFonts w:ascii="Calibri" w:hAnsi="Calibri" w:cs="Calibri"/>
          <w:bCs/>
          <w:lang w:val="en-US"/>
        </w:rPr>
        <w:t>such as manual and continu</w:t>
      </w:r>
      <w:r w:rsidR="008D2C6A" w:rsidRPr="00975535">
        <w:rPr>
          <w:rFonts w:ascii="Calibri" w:hAnsi="Calibri" w:cs="Calibri"/>
          <w:bCs/>
          <w:lang w:val="en-US"/>
        </w:rPr>
        <w:t>ou</w:t>
      </w:r>
      <w:r w:rsidR="00C26F6A" w:rsidRPr="00975535">
        <w:rPr>
          <w:rFonts w:ascii="Calibri" w:hAnsi="Calibri" w:cs="Calibri"/>
          <w:bCs/>
          <w:lang w:val="en-US"/>
        </w:rPr>
        <w:t xml:space="preserve">s data entry, </w:t>
      </w:r>
      <w:r w:rsidR="008D2C6A" w:rsidRPr="00975535">
        <w:rPr>
          <w:rFonts w:ascii="Calibri" w:hAnsi="Calibri" w:cs="Calibri"/>
          <w:bCs/>
          <w:lang w:val="en-US"/>
        </w:rPr>
        <w:t xml:space="preserve">poor decisions </w:t>
      </w:r>
      <w:r w:rsidR="00123D41" w:rsidRPr="00975535">
        <w:rPr>
          <w:rFonts w:ascii="Calibri" w:hAnsi="Calibri" w:cs="Calibri"/>
          <w:bCs/>
          <w:lang w:val="en-US"/>
        </w:rPr>
        <w:t>because of i</w:t>
      </w:r>
      <w:r w:rsidR="00C26F6A" w:rsidRPr="00975535">
        <w:rPr>
          <w:rFonts w:ascii="Calibri" w:hAnsi="Calibri" w:cs="Calibri"/>
          <w:bCs/>
          <w:lang w:val="en-US"/>
        </w:rPr>
        <w:t xml:space="preserve">naccurate data from </w:t>
      </w:r>
      <w:r w:rsidR="00B34A30">
        <w:rPr>
          <w:rFonts w:ascii="Calibri" w:hAnsi="Calibri" w:cs="Calibri"/>
          <w:bCs/>
          <w:lang w:val="en-US"/>
        </w:rPr>
        <w:t xml:space="preserve">the </w:t>
      </w:r>
      <w:r w:rsidR="00AB676F" w:rsidRPr="00975535">
        <w:rPr>
          <w:rFonts w:ascii="Calibri" w:hAnsi="Calibri" w:cs="Calibri"/>
          <w:bCs/>
          <w:lang w:val="en-US"/>
        </w:rPr>
        <w:t>p</w:t>
      </w:r>
      <w:r w:rsidR="00C26F6A" w:rsidRPr="00975535">
        <w:rPr>
          <w:rFonts w:ascii="Calibri" w:hAnsi="Calibri" w:cs="Calibri"/>
          <w:bCs/>
          <w:lang w:val="en-US"/>
        </w:rPr>
        <w:t xml:space="preserve">atient’s end, lack of professional support, </w:t>
      </w:r>
      <w:r w:rsidR="00AB676F" w:rsidRPr="00975535">
        <w:rPr>
          <w:rFonts w:ascii="Calibri" w:hAnsi="Calibri" w:cs="Calibri"/>
          <w:bCs/>
          <w:lang w:val="en-US"/>
        </w:rPr>
        <w:t xml:space="preserve">poor dissemination of digital intervention and costs. </w:t>
      </w:r>
    </w:p>
    <w:p w14:paraId="41B8C473" w14:textId="77777777" w:rsidR="00AB676F" w:rsidRPr="00AB676F" w:rsidRDefault="00AB676F" w:rsidP="00AB676F">
      <w:pPr>
        <w:spacing w:after="0" w:line="360" w:lineRule="auto"/>
        <w:jc w:val="both"/>
        <w:rPr>
          <w:rFonts w:ascii="Calibri" w:hAnsi="Calibri" w:cs="Calibri"/>
          <w:bCs/>
          <w:color w:val="7030A0"/>
          <w:lang w:val="en-US"/>
        </w:rPr>
      </w:pPr>
    </w:p>
    <w:p w14:paraId="40372917" w14:textId="03749154" w:rsidR="00C124A2" w:rsidRPr="00CB24BF" w:rsidRDefault="6D0F8E16" w:rsidP="00154F1D">
      <w:pPr>
        <w:spacing w:line="360" w:lineRule="auto"/>
        <w:jc w:val="both"/>
        <w:rPr>
          <w:rFonts w:asciiTheme="minorHAnsi" w:eastAsia="Calibri" w:hAnsiTheme="minorHAnsi" w:cstheme="minorHAnsi"/>
          <w:b/>
          <w:bCs/>
          <w:color w:val="000000" w:themeColor="text1"/>
          <w:lang w:val="en-US"/>
        </w:rPr>
      </w:pPr>
      <w:r w:rsidRPr="00734E32">
        <w:rPr>
          <w:rFonts w:asciiTheme="minorHAnsi" w:hAnsiTheme="minorHAnsi" w:cstheme="minorHAnsi"/>
          <w:b/>
          <w:bCs/>
          <w:lang w:val="en-US"/>
        </w:rPr>
        <w:t>Manual and continuous data entry</w:t>
      </w:r>
      <w:r w:rsidR="00E9031F" w:rsidRPr="00154F1D">
        <w:rPr>
          <w:rFonts w:asciiTheme="minorHAnsi" w:eastAsia="Calibri" w:hAnsiTheme="minorHAnsi" w:cstheme="minorHAnsi"/>
          <w:b/>
          <w:bCs/>
          <w:color w:val="212121"/>
          <w:lang w:val="en-US"/>
        </w:rPr>
        <w:t xml:space="preserve">: </w:t>
      </w:r>
      <w:r w:rsidR="00AE4EAA" w:rsidRPr="00154F1D">
        <w:rPr>
          <w:rFonts w:asciiTheme="minorHAnsi" w:eastAsia="Calibri" w:hAnsiTheme="minorHAnsi" w:cstheme="minorHAnsi"/>
          <w:color w:val="212121"/>
          <w:lang w:val="en-US"/>
        </w:rPr>
        <w:t>Oli</w:t>
      </w:r>
      <w:r w:rsidR="00E5456F" w:rsidRPr="00154F1D">
        <w:rPr>
          <w:rFonts w:asciiTheme="minorHAnsi" w:eastAsia="Calibri" w:hAnsiTheme="minorHAnsi" w:cstheme="minorHAnsi"/>
          <w:color w:val="212121"/>
          <w:lang w:val="en-US"/>
        </w:rPr>
        <w:t>veria and colleagues (2023) highlighted that t</w:t>
      </w:r>
      <w:r w:rsidRPr="00154F1D">
        <w:rPr>
          <w:rFonts w:asciiTheme="minorHAnsi" w:eastAsia="Calibri" w:hAnsiTheme="minorHAnsi" w:cstheme="minorHAnsi"/>
          <w:color w:val="212121"/>
          <w:lang w:val="en-US"/>
        </w:rPr>
        <w:t>he manual process of entering data continuously can get tiresome for patie</w:t>
      </w:r>
      <w:r w:rsidRPr="00975535">
        <w:rPr>
          <w:rFonts w:asciiTheme="minorHAnsi" w:eastAsia="Calibri" w:hAnsiTheme="minorHAnsi" w:cstheme="minorHAnsi"/>
          <w:lang w:val="en-US"/>
        </w:rPr>
        <w:t>nts</w:t>
      </w:r>
      <w:r w:rsidR="00AC6EFF" w:rsidRPr="00975535">
        <w:rPr>
          <w:rFonts w:asciiTheme="minorHAnsi" w:eastAsia="Calibri" w:hAnsiTheme="minorHAnsi" w:cstheme="minorHAnsi"/>
          <w:lang w:val="en-US"/>
        </w:rPr>
        <w:t>. According</w:t>
      </w:r>
      <w:r w:rsidRPr="00975535">
        <w:rPr>
          <w:rFonts w:asciiTheme="minorHAnsi" w:eastAsia="Calibri" w:hAnsiTheme="minorHAnsi" w:cstheme="minorHAnsi"/>
          <w:lang w:val="en-US"/>
        </w:rPr>
        <w:t xml:space="preserve"> to TAM</w:t>
      </w:r>
      <w:r w:rsidR="002D5FBC" w:rsidRPr="00975535">
        <w:rPr>
          <w:rFonts w:asciiTheme="minorHAnsi" w:eastAsia="Calibri" w:hAnsiTheme="minorHAnsi" w:cstheme="minorHAnsi"/>
          <w:lang w:val="en-US"/>
        </w:rPr>
        <w:t>,</w:t>
      </w:r>
      <w:r w:rsidR="003607D2" w:rsidRPr="00975535">
        <w:rPr>
          <w:rFonts w:asciiTheme="minorHAnsi" w:eastAsia="Calibri" w:hAnsiTheme="minorHAnsi" w:cstheme="minorHAnsi"/>
          <w:lang w:val="en-US"/>
        </w:rPr>
        <w:t xml:space="preserve"> </w:t>
      </w:r>
      <w:r w:rsidR="003607D2" w:rsidRPr="00975535">
        <w:rPr>
          <w:rFonts w:asciiTheme="minorHAnsi" w:eastAsia="Calibri" w:hAnsiTheme="minorHAnsi" w:cstheme="minorHAnsi"/>
        </w:rPr>
        <w:t xml:space="preserve">if the perceived usefulness is low, it would result in a weak intention to adopt and utilize digital health technology. </w:t>
      </w:r>
    </w:p>
    <w:p w14:paraId="4A19E153" w14:textId="671A8252" w:rsidR="00C124A2" w:rsidRPr="00CB24BF" w:rsidRDefault="6D0F8E16" w:rsidP="26F64964">
      <w:pPr>
        <w:spacing w:line="360" w:lineRule="auto"/>
        <w:jc w:val="both"/>
        <w:rPr>
          <w:rFonts w:asciiTheme="minorHAnsi" w:eastAsia="Calibri" w:hAnsiTheme="minorHAnsi" w:cstheme="minorBidi"/>
          <w:b/>
          <w:bCs/>
          <w:color w:val="000000" w:themeColor="text1"/>
          <w:lang w:val="en-US"/>
        </w:rPr>
      </w:pPr>
      <w:r w:rsidRPr="26F64964">
        <w:rPr>
          <w:rFonts w:asciiTheme="minorHAnsi" w:hAnsiTheme="minorHAnsi" w:cstheme="minorBidi"/>
          <w:b/>
          <w:bCs/>
          <w:lang w:val="en-US"/>
        </w:rPr>
        <w:t xml:space="preserve">Inaccurate data from </w:t>
      </w:r>
      <w:r w:rsidR="00B34A30" w:rsidRPr="26F64964">
        <w:rPr>
          <w:rFonts w:asciiTheme="minorHAnsi" w:hAnsiTheme="minorHAnsi" w:cstheme="minorBidi"/>
          <w:b/>
          <w:bCs/>
          <w:lang w:val="en-US"/>
        </w:rPr>
        <w:t xml:space="preserve">the </w:t>
      </w:r>
      <w:r w:rsidRPr="26F64964">
        <w:rPr>
          <w:rFonts w:asciiTheme="minorHAnsi" w:hAnsiTheme="minorHAnsi" w:cstheme="minorBidi"/>
          <w:b/>
          <w:bCs/>
          <w:lang w:val="en-US"/>
        </w:rPr>
        <w:t>Patient's end can lead to poor decisions</w:t>
      </w:r>
      <w:r w:rsidR="00E5456F" w:rsidRPr="26F64964">
        <w:rPr>
          <w:rFonts w:asciiTheme="minorHAnsi" w:eastAsia="Calibri" w:hAnsiTheme="minorHAnsi" w:cstheme="minorBidi"/>
          <w:color w:val="212121"/>
          <w:lang w:val="en-US"/>
        </w:rPr>
        <w:t xml:space="preserve">: </w:t>
      </w:r>
      <w:r w:rsidRPr="26F64964">
        <w:rPr>
          <w:rFonts w:asciiTheme="minorHAnsi" w:eastAsia="Calibri" w:hAnsiTheme="minorHAnsi" w:cstheme="minorBidi"/>
          <w:color w:val="212121"/>
          <w:lang w:val="en-US"/>
        </w:rPr>
        <w:t xml:space="preserve">Digital health interventions enable remote monitoring of patients, which involves patient involvement </w:t>
      </w:r>
      <w:r w:rsidR="00B34A30" w:rsidRPr="26F64964">
        <w:rPr>
          <w:rFonts w:asciiTheme="minorHAnsi" w:eastAsia="Calibri" w:hAnsiTheme="minorHAnsi" w:cstheme="minorBidi"/>
          <w:color w:val="212121"/>
          <w:lang w:val="en-US"/>
        </w:rPr>
        <w:t xml:space="preserve">in </w:t>
      </w:r>
      <w:r w:rsidRPr="26F64964">
        <w:rPr>
          <w:rFonts w:asciiTheme="minorHAnsi" w:eastAsia="Calibri" w:hAnsiTheme="minorHAnsi" w:cstheme="minorBidi"/>
          <w:color w:val="212121"/>
          <w:lang w:val="en-US"/>
        </w:rPr>
        <w:t xml:space="preserve">inputting data. The problem in using said </w:t>
      </w:r>
      <w:r w:rsidR="00123D41" w:rsidRPr="26F64964">
        <w:rPr>
          <w:rFonts w:asciiTheme="minorHAnsi" w:eastAsia="Calibri" w:hAnsiTheme="minorHAnsi" w:cstheme="minorBidi"/>
          <w:color w:val="212121"/>
          <w:lang w:val="en-US"/>
        </w:rPr>
        <w:t>data</w:t>
      </w:r>
      <w:r w:rsidRPr="26F64964">
        <w:rPr>
          <w:rFonts w:asciiTheme="minorHAnsi" w:eastAsia="Calibri" w:hAnsiTheme="minorHAnsi" w:cstheme="minorBidi"/>
          <w:color w:val="212121"/>
          <w:lang w:val="en-US"/>
        </w:rPr>
        <w:t xml:space="preserve"> was the reliability and accuracy of the information provided by patients (Keating, </w:t>
      </w:r>
      <w:r w:rsidRPr="6A640EE8">
        <w:rPr>
          <w:rFonts w:asciiTheme="minorHAnsi" w:eastAsia="Calibri" w:hAnsiTheme="minorHAnsi" w:cstheme="minorBidi"/>
          <w:color w:val="212121"/>
          <w:highlight w:val="white"/>
          <w:lang w:val="en-US"/>
        </w:rPr>
        <w:t>Barnett, Hannigan, Elvin-Walsh, Coombes, Campbell, Macdonald &amp; Hickman, 2020</w:t>
      </w:r>
      <w:r w:rsidRPr="26F64964">
        <w:rPr>
          <w:rFonts w:asciiTheme="minorHAnsi" w:eastAsia="Calibri" w:hAnsiTheme="minorHAnsi" w:cstheme="minorBidi"/>
          <w:color w:val="212121"/>
          <w:lang w:val="en-US"/>
        </w:rPr>
        <w:t xml:space="preserve">). The variance of individual data performed in-clinic by professionals in comparison to </w:t>
      </w:r>
      <w:r w:rsidR="00B34A30" w:rsidRPr="26F64964">
        <w:rPr>
          <w:rFonts w:asciiTheme="minorHAnsi" w:eastAsia="Calibri" w:hAnsiTheme="minorHAnsi" w:cstheme="minorBidi"/>
          <w:color w:val="212121"/>
          <w:lang w:val="en-US"/>
        </w:rPr>
        <w:t>patient-</w:t>
      </w:r>
      <w:r w:rsidRPr="26F64964">
        <w:rPr>
          <w:rFonts w:asciiTheme="minorHAnsi" w:eastAsia="Calibri" w:hAnsiTheme="minorHAnsi" w:cstheme="minorBidi"/>
          <w:color w:val="212121"/>
          <w:lang w:val="en-US"/>
        </w:rPr>
        <w:t xml:space="preserve">recorded data raises concerns </w:t>
      </w:r>
      <w:r w:rsidR="00B34A30" w:rsidRPr="26F64964">
        <w:rPr>
          <w:rFonts w:asciiTheme="minorHAnsi" w:eastAsia="Calibri" w:hAnsiTheme="minorHAnsi" w:cstheme="minorBidi"/>
          <w:color w:val="212121"/>
          <w:lang w:val="en-US"/>
        </w:rPr>
        <w:t xml:space="preserve">about </w:t>
      </w:r>
      <w:r w:rsidRPr="26F64964">
        <w:rPr>
          <w:rFonts w:asciiTheme="minorHAnsi" w:eastAsia="Calibri" w:hAnsiTheme="minorHAnsi" w:cstheme="minorBidi"/>
          <w:color w:val="212121"/>
          <w:lang w:val="en-US"/>
        </w:rPr>
        <w:t>using patient outcomes in decision making (</w:t>
      </w:r>
      <w:r w:rsidRPr="6A640EE8">
        <w:rPr>
          <w:rFonts w:asciiTheme="minorHAnsi" w:eastAsia="Calibri" w:hAnsiTheme="minorHAnsi" w:cstheme="minorBidi"/>
          <w:color w:val="212121"/>
          <w:highlight w:val="white"/>
          <w:lang w:val="en-US"/>
        </w:rPr>
        <w:t>Keating et al., 2020</w:t>
      </w:r>
      <w:r w:rsidRPr="26F64964">
        <w:rPr>
          <w:rFonts w:asciiTheme="minorHAnsi" w:eastAsia="Calibri" w:hAnsiTheme="minorHAnsi" w:cstheme="minorBidi"/>
          <w:color w:val="212121"/>
          <w:lang w:val="en-US"/>
        </w:rPr>
        <w:t>).</w:t>
      </w:r>
    </w:p>
    <w:p w14:paraId="0AD8CE29" w14:textId="59C0C21B" w:rsidR="00C124A2" w:rsidRPr="00CB24BF" w:rsidRDefault="6D0F8E16" w:rsidP="26F64964">
      <w:pPr>
        <w:spacing w:line="360" w:lineRule="auto"/>
        <w:jc w:val="both"/>
        <w:rPr>
          <w:rFonts w:asciiTheme="minorHAnsi" w:eastAsia="Calibri" w:hAnsiTheme="minorHAnsi" w:cstheme="minorBidi"/>
          <w:color w:val="212121"/>
          <w:lang w:val="en-US"/>
        </w:rPr>
      </w:pPr>
      <w:r w:rsidRPr="26F64964">
        <w:rPr>
          <w:rFonts w:asciiTheme="minorHAnsi" w:eastAsia="Calibri Light" w:hAnsiTheme="minorHAnsi" w:cstheme="minorBidi"/>
          <w:b/>
          <w:bCs/>
          <w:color w:val="000000" w:themeColor="text1"/>
          <w:lang w:val="en-US"/>
        </w:rPr>
        <w:t>Lack of professional support</w:t>
      </w:r>
      <w:r w:rsidR="00A31522" w:rsidRPr="26F64964">
        <w:rPr>
          <w:rFonts w:asciiTheme="minorHAnsi" w:eastAsia="Calibri" w:hAnsiTheme="minorHAnsi" w:cstheme="minorBidi"/>
          <w:color w:val="212121"/>
          <w:lang w:val="en-US"/>
        </w:rPr>
        <w:t xml:space="preserve">: </w:t>
      </w:r>
      <w:r w:rsidRPr="26F64964">
        <w:rPr>
          <w:rFonts w:asciiTheme="minorHAnsi" w:eastAsia="Calibri" w:hAnsiTheme="minorHAnsi" w:cstheme="minorBidi"/>
          <w:color w:val="212121"/>
          <w:lang w:val="en-US"/>
        </w:rPr>
        <w:t xml:space="preserve">A study found that adoption and engagement with digital health technology </w:t>
      </w:r>
      <w:r w:rsidR="00B34A30" w:rsidRPr="26F64964">
        <w:rPr>
          <w:rFonts w:asciiTheme="minorHAnsi" w:eastAsia="Calibri" w:hAnsiTheme="minorHAnsi" w:cstheme="minorBidi"/>
          <w:color w:val="212121"/>
          <w:lang w:val="en-US"/>
        </w:rPr>
        <w:t xml:space="preserve">were </w:t>
      </w:r>
      <w:r w:rsidRPr="26F64964">
        <w:rPr>
          <w:rFonts w:asciiTheme="minorHAnsi" w:eastAsia="Calibri" w:hAnsiTheme="minorHAnsi" w:cstheme="minorBidi"/>
          <w:color w:val="212121"/>
          <w:lang w:val="en-US"/>
        </w:rPr>
        <w:t xml:space="preserve">low because of </w:t>
      </w:r>
      <w:r w:rsidR="00B34A30" w:rsidRPr="26F64964">
        <w:rPr>
          <w:rFonts w:asciiTheme="minorHAnsi" w:eastAsia="Calibri" w:hAnsiTheme="minorHAnsi" w:cstheme="minorBidi"/>
          <w:color w:val="212121"/>
          <w:lang w:val="en-US"/>
        </w:rPr>
        <w:t xml:space="preserve">a </w:t>
      </w:r>
      <w:r w:rsidRPr="26F64964">
        <w:rPr>
          <w:rFonts w:asciiTheme="minorHAnsi" w:eastAsia="Calibri" w:hAnsiTheme="minorHAnsi" w:cstheme="minorBidi"/>
          <w:color w:val="212121"/>
          <w:lang w:val="en-US"/>
        </w:rPr>
        <w:t>lack of professional support (</w:t>
      </w:r>
      <w:r w:rsidRPr="6A640EE8">
        <w:rPr>
          <w:rFonts w:asciiTheme="minorHAnsi" w:eastAsia="Calibri" w:hAnsiTheme="minorHAnsi" w:cstheme="minorBidi"/>
          <w:color w:val="212121"/>
          <w:highlight w:val="white"/>
          <w:lang w:val="en-US"/>
        </w:rPr>
        <w:t>Oliveira et al., 2023</w:t>
      </w:r>
      <w:r w:rsidRPr="26F64964">
        <w:rPr>
          <w:rFonts w:asciiTheme="minorHAnsi" w:eastAsia="Calibri" w:hAnsiTheme="minorHAnsi" w:cstheme="minorBidi"/>
          <w:color w:val="212121"/>
          <w:lang w:val="en-US"/>
        </w:rPr>
        <w:t xml:space="preserve">). Lack of </w:t>
      </w:r>
      <w:r w:rsidRPr="26F64964">
        <w:rPr>
          <w:rFonts w:asciiTheme="minorHAnsi" w:eastAsia="Calibri" w:hAnsiTheme="minorHAnsi" w:cstheme="minorBidi"/>
          <w:color w:val="212121"/>
          <w:lang w:val="en-US"/>
        </w:rPr>
        <w:lastRenderedPageBreak/>
        <w:t xml:space="preserve">clinical support can significantly impact the adoption of digital health technology in </w:t>
      </w:r>
      <w:r w:rsidR="009976FF" w:rsidRPr="26F64964">
        <w:rPr>
          <w:rFonts w:asciiTheme="minorHAnsi" w:eastAsia="Calibri" w:hAnsiTheme="minorHAnsi" w:cstheme="minorBidi"/>
          <w:color w:val="212121"/>
          <w:lang w:val="en-US"/>
        </w:rPr>
        <w:t xml:space="preserve">several </w:t>
      </w:r>
      <w:r w:rsidRPr="26F64964">
        <w:rPr>
          <w:rFonts w:asciiTheme="minorHAnsi" w:eastAsia="Calibri" w:hAnsiTheme="minorHAnsi" w:cstheme="minorBidi"/>
          <w:color w:val="212121"/>
          <w:lang w:val="en-US"/>
        </w:rPr>
        <w:t>ways</w:t>
      </w:r>
      <w:r w:rsidR="00F72DD1" w:rsidRPr="26F64964">
        <w:rPr>
          <w:rFonts w:asciiTheme="minorHAnsi" w:eastAsia="Calibri" w:hAnsiTheme="minorHAnsi" w:cstheme="minorBidi"/>
          <w:color w:val="212121"/>
          <w:lang w:val="en-US"/>
        </w:rPr>
        <w:t xml:space="preserve">. For example, </w:t>
      </w:r>
      <w:r w:rsidR="00086DF9" w:rsidRPr="26F64964">
        <w:rPr>
          <w:rFonts w:asciiTheme="minorHAnsi" w:eastAsia="Calibri" w:hAnsiTheme="minorHAnsi" w:cstheme="minorBidi"/>
          <w:color w:val="212121"/>
          <w:lang w:val="en-US"/>
        </w:rPr>
        <w:t>from</w:t>
      </w:r>
      <w:r w:rsidR="00C32B5B" w:rsidRPr="26F64964">
        <w:rPr>
          <w:rFonts w:asciiTheme="minorHAnsi" w:eastAsia="Calibri" w:hAnsiTheme="minorHAnsi" w:cstheme="minorBidi"/>
          <w:color w:val="212121"/>
          <w:lang w:val="en-US"/>
        </w:rPr>
        <w:t xml:space="preserve"> the patient's perspective, they depend on healthcare providers to guide and validate the use of eHealth interventions (</w:t>
      </w:r>
      <w:r w:rsidR="00C32B5B" w:rsidRPr="6A640EE8">
        <w:rPr>
          <w:rFonts w:asciiTheme="minorHAnsi" w:eastAsia="Calibri" w:hAnsiTheme="minorHAnsi" w:cstheme="minorBidi"/>
          <w:color w:val="212121"/>
          <w:highlight w:val="white"/>
          <w:lang w:val="en-US"/>
        </w:rPr>
        <w:t>Eno et al., 2019</w:t>
      </w:r>
      <w:r w:rsidR="00C32B5B" w:rsidRPr="6A640EE8">
        <w:rPr>
          <w:rFonts w:asciiTheme="minorHAnsi" w:eastAsia="Calibri" w:hAnsiTheme="minorHAnsi" w:cstheme="minorBidi"/>
          <w:color w:val="212121"/>
          <w:lang w:val="en-US"/>
        </w:rPr>
        <w:t xml:space="preserve">; </w:t>
      </w:r>
      <w:r w:rsidR="00C32B5B" w:rsidRPr="6A640EE8">
        <w:rPr>
          <w:rFonts w:asciiTheme="minorHAnsi" w:eastAsia="Calibri" w:hAnsiTheme="minorHAnsi" w:cstheme="minorBidi"/>
          <w:color w:val="212121"/>
          <w:highlight w:val="white"/>
          <w:lang w:val="en-US"/>
        </w:rPr>
        <w:t>O'Brien et al., 2019</w:t>
      </w:r>
      <w:r w:rsidR="00C32B5B" w:rsidRPr="6A640EE8">
        <w:rPr>
          <w:rFonts w:asciiTheme="minorHAnsi" w:eastAsia="Calibri" w:hAnsiTheme="minorHAnsi" w:cstheme="minorBidi"/>
          <w:color w:val="212121"/>
          <w:lang w:val="en-US"/>
        </w:rPr>
        <w:t>).</w:t>
      </w:r>
      <w:r w:rsidR="00C32B5B" w:rsidRPr="26F64964">
        <w:rPr>
          <w:rFonts w:asciiTheme="minorHAnsi" w:eastAsia="Calibri" w:hAnsiTheme="minorHAnsi" w:cstheme="minorBidi"/>
          <w:color w:val="212121"/>
          <w:lang w:val="en-US"/>
        </w:rPr>
        <w:t xml:space="preserve"> Without their support, patients may question the reliability and credibility of eHealth interventions </w:t>
      </w:r>
      <w:r w:rsidR="00B34A30" w:rsidRPr="26F64964">
        <w:rPr>
          <w:rFonts w:asciiTheme="minorHAnsi" w:eastAsia="Calibri" w:hAnsiTheme="minorHAnsi" w:cstheme="minorBidi"/>
          <w:color w:val="212121"/>
          <w:lang w:val="en-US"/>
        </w:rPr>
        <w:t xml:space="preserve">which </w:t>
      </w:r>
      <w:r w:rsidR="00C32B5B" w:rsidRPr="26F64964">
        <w:rPr>
          <w:rFonts w:asciiTheme="minorHAnsi" w:eastAsia="Calibri" w:hAnsiTheme="minorHAnsi" w:cstheme="minorBidi"/>
          <w:color w:val="212121"/>
          <w:lang w:val="en-US"/>
        </w:rPr>
        <w:t xml:space="preserve">may deter patients from adopting and engaging with eHealth tools. </w:t>
      </w:r>
      <w:r w:rsidR="00086DF9" w:rsidRPr="26F64964">
        <w:rPr>
          <w:rFonts w:asciiTheme="minorHAnsi" w:eastAsia="Calibri" w:hAnsiTheme="minorHAnsi" w:cstheme="minorBidi"/>
          <w:color w:val="212121"/>
          <w:lang w:val="en-US"/>
        </w:rPr>
        <w:t>Other s</w:t>
      </w:r>
      <w:r w:rsidRPr="26F64964">
        <w:rPr>
          <w:rFonts w:asciiTheme="minorHAnsi" w:eastAsia="Calibri" w:hAnsiTheme="minorHAnsi" w:cstheme="minorBidi"/>
          <w:color w:val="212121"/>
          <w:lang w:val="en-US"/>
        </w:rPr>
        <w:t xml:space="preserve">tudies have </w:t>
      </w:r>
      <w:r w:rsidR="00A47D5D" w:rsidRPr="26F64964">
        <w:rPr>
          <w:rFonts w:asciiTheme="minorHAnsi" w:eastAsia="Calibri" w:hAnsiTheme="minorHAnsi" w:cstheme="minorBidi"/>
          <w:color w:val="212121"/>
          <w:lang w:val="en-US"/>
        </w:rPr>
        <w:t xml:space="preserve">reported </w:t>
      </w:r>
      <w:r w:rsidR="00405A95" w:rsidRPr="26F64964">
        <w:rPr>
          <w:rFonts w:asciiTheme="minorHAnsi" w:eastAsia="Calibri" w:hAnsiTheme="minorHAnsi" w:cstheme="minorBidi"/>
          <w:color w:val="212121"/>
          <w:lang w:val="en-US"/>
        </w:rPr>
        <w:t xml:space="preserve">a </w:t>
      </w:r>
      <w:r w:rsidRPr="26F64964">
        <w:rPr>
          <w:rFonts w:asciiTheme="minorHAnsi" w:eastAsia="Calibri" w:hAnsiTheme="minorHAnsi" w:cstheme="minorBidi"/>
          <w:color w:val="212121"/>
          <w:lang w:val="en-US"/>
        </w:rPr>
        <w:t xml:space="preserve">lack of experience and unfamiliarity </w:t>
      </w:r>
      <w:r w:rsidR="00405A95" w:rsidRPr="26F64964">
        <w:rPr>
          <w:rFonts w:asciiTheme="minorHAnsi" w:eastAsia="Calibri" w:hAnsiTheme="minorHAnsi" w:cstheme="minorBidi"/>
          <w:color w:val="212121"/>
          <w:lang w:val="en-US"/>
        </w:rPr>
        <w:t xml:space="preserve">with </w:t>
      </w:r>
      <w:r w:rsidRPr="26F64964">
        <w:rPr>
          <w:rFonts w:asciiTheme="minorHAnsi" w:eastAsia="Calibri" w:hAnsiTheme="minorHAnsi" w:cstheme="minorBidi"/>
          <w:color w:val="212121"/>
          <w:lang w:val="en-US"/>
        </w:rPr>
        <w:t>eHealth solution</w:t>
      </w:r>
      <w:r w:rsidR="00405A95" w:rsidRPr="26F64964">
        <w:rPr>
          <w:rFonts w:asciiTheme="minorHAnsi" w:eastAsia="Calibri" w:hAnsiTheme="minorHAnsi" w:cstheme="minorBidi"/>
          <w:color w:val="212121"/>
          <w:lang w:val="en-US"/>
        </w:rPr>
        <w:t>s</w:t>
      </w:r>
      <w:r w:rsidRPr="26F64964">
        <w:rPr>
          <w:rFonts w:asciiTheme="minorHAnsi" w:eastAsia="Calibri" w:hAnsiTheme="minorHAnsi" w:cstheme="minorBidi"/>
          <w:color w:val="212121"/>
          <w:lang w:val="en-US"/>
        </w:rPr>
        <w:t xml:space="preserve"> amongst patients</w:t>
      </w:r>
      <w:r w:rsidR="003D5795" w:rsidRPr="26F64964">
        <w:rPr>
          <w:rFonts w:asciiTheme="minorHAnsi" w:eastAsia="Calibri" w:hAnsiTheme="minorHAnsi" w:cstheme="minorBidi"/>
          <w:color w:val="212121"/>
          <w:lang w:val="en-US"/>
        </w:rPr>
        <w:t xml:space="preserve"> </w:t>
      </w:r>
      <w:r w:rsidR="003D5795" w:rsidRPr="26F64964">
        <w:rPr>
          <w:rFonts w:asciiTheme="minorHAnsi" w:eastAsia="Calibri" w:hAnsiTheme="minorHAnsi" w:cstheme="minorBidi"/>
          <w:lang w:val="en-US"/>
        </w:rPr>
        <w:t>as another issue in using digital tools</w:t>
      </w:r>
      <w:r w:rsidRPr="26F64964">
        <w:rPr>
          <w:rFonts w:asciiTheme="minorHAnsi" w:eastAsia="Calibri" w:hAnsiTheme="minorHAnsi" w:cstheme="minorBidi"/>
          <w:lang w:val="en-US"/>
        </w:rPr>
        <w:t xml:space="preserve"> (</w:t>
      </w:r>
      <w:r w:rsidRPr="6A640EE8">
        <w:rPr>
          <w:rFonts w:asciiTheme="minorHAnsi" w:eastAsia="Calibri" w:hAnsiTheme="minorHAnsi" w:cstheme="minorBidi"/>
          <w:color w:val="212121"/>
          <w:highlight w:val="white"/>
          <w:lang w:val="en-US"/>
        </w:rPr>
        <w:t>Eno et al., 2019</w:t>
      </w:r>
      <w:r w:rsidRPr="6A640EE8">
        <w:rPr>
          <w:rFonts w:asciiTheme="minorHAnsi" w:eastAsia="Calibri" w:hAnsiTheme="minorHAnsi" w:cstheme="minorBidi"/>
          <w:color w:val="212121"/>
          <w:lang w:val="en-US"/>
        </w:rPr>
        <w:t xml:space="preserve">; </w:t>
      </w:r>
      <w:r w:rsidRPr="6A640EE8">
        <w:rPr>
          <w:rFonts w:asciiTheme="minorHAnsi" w:eastAsia="Calibri" w:hAnsiTheme="minorHAnsi" w:cstheme="minorBidi"/>
          <w:color w:val="212121"/>
          <w:highlight w:val="white"/>
          <w:lang w:val="en-US"/>
        </w:rPr>
        <w:t>O'Brien et al., 2019</w:t>
      </w:r>
      <w:r w:rsidRPr="6A640EE8">
        <w:rPr>
          <w:rFonts w:asciiTheme="minorHAnsi" w:eastAsia="Calibri" w:hAnsiTheme="minorHAnsi" w:cstheme="minorBidi"/>
          <w:lang w:val="en-US"/>
        </w:rPr>
        <w:t>)</w:t>
      </w:r>
      <w:r w:rsidR="00422B53" w:rsidRPr="6A640EE8">
        <w:rPr>
          <w:rFonts w:asciiTheme="minorHAnsi" w:eastAsia="Calibri" w:hAnsiTheme="minorHAnsi" w:cstheme="minorBidi"/>
          <w:lang w:val="en-US"/>
        </w:rPr>
        <w:t>.</w:t>
      </w:r>
      <w:r w:rsidR="00A47D5D" w:rsidRPr="26F64964">
        <w:rPr>
          <w:rFonts w:asciiTheme="minorHAnsi" w:eastAsia="Calibri" w:hAnsiTheme="minorHAnsi" w:cstheme="minorBidi"/>
          <w:lang w:val="en-US"/>
        </w:rPr>
        <w:t xml:space="preserve"> </w:t>
      </w:r>
      <w:r w:rsidR="00E5330C" w:rsidRPr="26F64964">
        <w:rPr>
          <w:rFonts w:asciiTheme="minorHAnsi" w:eastAsia="Calibri" w:hAnsiTheme="minorHAnsi" w:cstheme="minorBidi"/>
          <w:lang w:val="en-US"/>
        </w:rPr>
        <w:t xml:space="preserve">For example, </w:t>
      </w:r>
      <w:r w:rsidR="00405A95" w:rsidRPr="26F64964">
        <w:rPr>
          <w:rFonts w:asciiTheme="minorHAnsi" w:eastAsia="Calibri" w:hAnsiTheme="minorHAnsi" w:cstheme="minorBidi"/>
          <w:lang w:val="en-US"/>
        </w:rPr>
        <w:t xml:space="preserve">the </w:t>
      </w:r>
      <w:r w:rsidR="00E5330C" w:rsidRPr="26F64964">
        <w:rPr>
          <w:rFonts w:asciiTheme="minorHAnsi" w:eastAsia="Calibri" w:hAnsiTheme="minorHAnsi" w:cstheme="minorBidi"/>
          <w:highlight w:val="white"/>
          <w:lang w:val="en-US"/>
        </w:rPr>
        <w:t>c</w:t>
      </w:r>
      <w:r w:rsidR="00BE06D6" w:rsidRPr="26F64964">
        <w:rPr>
          <w:rFonts w:asciiTheme="minorHAnsi" w:eastAsia="Calibri" w:hAnsiTheme="minorHAnsi" w:cstheme="minorBidi"/>
          <w:highlight w:val="white"/>
          <w:lang w:val="en-US"/>
        </w:rPr>
        <w:t>omplexity of the</w:t>
      </w:r>
      <w:r w:rsidR="00BE06D6" w:rsidRPr="26F64964">
        <w:rPr>
          <w:rFonts w:asciiTheme="minorHAnsi" w:eastAsia="Calibri" w:hAnsiTheme="minorHAnsi" w:cstheme="minorBidi"/>
          <w:lang w:val="en-US"/>
        </w:rPr>
        <w:t xml:space="preserve"> user interface in mobile health applications</w:t>
      </w:r>
      <w:r w:rsidR="00A47D5D" w:rsidRPr="26F64964">
        <w:rPr>
          <w:rFonts w:asciiTheme="minorHAnsi" w:eastAsia="Calibri" w:hAnsiTheme="minorHAnsi" w:cstheme="minorBidi"/>
          <w:lang w:val="en-US"/>
        </w:rPr>
        <w:t xml:space="preserve"> </w:t>
      </w:r>
      <w:r w:rsidR="004A2DEF" w:rsidRPr="26F64964">
        <w:rPr>
          <w:rFonts w:asciiTheme="minorHAnsi" w:eastAsia="Calibri" w:hAnsiTheme="minorHAnsi" w:cstheme="minorBidi"/>
          <w:lang w:val="en-US"/>
        </w:rPr>
        <w:t xml:space="preserve">along with the users’ lack of experience in using such technologies </w:t>
      </w:r>
      <w:r w:rsidR="00915545" w:rsidRPr="26F64964">
        <w:rPr>
          <w:rFonts w:asciiTheme="minorHAnsi" w:eastAsia="Calibri" w:hAnsiTheme="minorHAnsi" w:cstheme="minorBidi"/>
          <w:lang w:val="en-US"/>
        </w:rPr>
        <w:t>will deter patients from using eHealth tools</w:t>
      </w:r>
      <w:r w:rsidR="00465221" w:rsidRPr="26F64964">
        <w:rPr>
          <w:rFonts w:asciiTheme="minorHAnsi" w:eastAsia="Calibri" w:hAnsiTheme="minorHAnsi" w:cstheme="minorBidi"/>
          <w:lang w:val="en-US"/>
        </w:rPr>
        <w:t xml:space="preserve"> </w:t>
      </w:r>
      <w:r w:rsidR="0086495F" w:rsidRPr="26F64964">
        <w:rPr>
          <w:rFonts w:asciiTheme="minorHAnsi" w:eastAsia="Calibri" w:hAnsiTheme="minorHAnsi" w:cstheme="minorBidi"/>
          <w:lang w:val="en-US"/>
        </w:rPr>
        <w:t>(</w:t>
      </w:r>
      <w:r w:rsidR="0086495F" w:rsidRPr="6A640EE8">
        <w:rPr>
          <w:rFonts w:asciiTheme="minorHAnsi" w:eastAsia="Calibri" w:hAnsiTheme="minorHAnsi" w:cstheme="minorBidi"/>
          <w:highlight w:val="white"/>
          <w:lang w:val="en-US"/>
        </w:rPr>
        <w:t>O’Brien et al., 2019</w:t>
      </w:r>
      <w:r w:rsidR="0086495F" w:rsidRPr="6A640EE8">
        <w:rPr>
          <w:rFonts w:asciiTheme="minorHAnsi" w:eastAsia="Calibri" w:hAnsiTheme="minorHAnsi" w:cstheme="minorBidi"/>
          <w:lang w:val="en-US"/>
        </w:rPr>
        <w:t>)</w:t>
      </w:r>
      <w:r w:rsidRPr="6A640EE8">
        <w:rPr>
          <w:rFonts w:asciiTheme="minorHAnsi" w:eastAsia="Calibri" w:hAnsiTheme="minorHAnsi" w:cstheme="minorBidi"/>
          <w:lang w:val="en-US"/>
        </w:rPr>
        <w:t>.</w:t>
      </w:r>
      <w:r w:rsidRPr="26F64964">
        <w:rPr>
          <w:rFonts w:asciiTheme="minorHAnsi" w:eastAsia="Calibri" w:hAnsiTheme="minorHAnsi" w:cstheme="minorBidi"/>
          <w:lang w:val="en-US"/>
        </w:rPr>
        <w:t xml:space="preserve"> </w:t>
      </w:r>
      <w:r w:rsidRPr="26F64964">
        <w:rPr>
          <w:rFonts w:asciiTheme="minorHAnsi" w:eastAsia="Calibri" w:hAnsiTheme="minorHAnsi" w:cstheme="minorBidi"/>
          <w:color w:val="212121"/>
          <w:lang w:val="en-US"/>
        </w:rPr>
        <w:t>eHealth applications can be confusing and hard for patients to understand and navigate. Without clinical support to provide explanations of the usage, functionality and usage of these tools</w:t>
      </w:r>
      <w:r w:rsidR="00DD5C9A" w:rsidRPr="26F64964">
        <w:rPr>
          <w:rFonts w:asciiTheme="minorHAnsi" w:eastAsia="Calibri" w:hAnsiTheme="minorHAnsi" w:cstheme="minorBidi"/>
          <w:color w:val="212121"/>
          <w:lang w:val="en-US"/>
        </w:rPr>
        <w:t>,</w:t>
      </w:r>
      <w:r w:rsidRPr="26F64964">
        <w:rPr>
          <w:rFonts w:asciiTheme="minorHAnsi" w:eastAsia="Calibri" w:hAnsiTheme="minorHAnsi" w:cstheme="minorBidi"/>
          <w:color w:val="212121"/>
          <w:lang w:val="en-US"/>
        </w:rPr>
        <w:t xml:space="preserve"> patients </w:t>
      </w:r>
      <w:r w:rsidR="00DD5C9A" w:rsidRPr="26F64964">
        <w:rPr>
          <w:rFonts w:asciiTheme="minorHAnsi" w:eastAsia="Calibri" w:hAnsiTheme="minorHAnsi" w:cstheme="minorBidi"/>
          <w:color w:val="212121"/>
          <w:lang w:val="en-US"/>
        </w:rPr>
        <w:t>get</w:t>
      </w:r>
      <w:r w:rsidRPr="26F64964">
        <w:rPr>
          <w:rFonts w:asciiTheme="minorHAnsi" w:eastAsia="Calibri" w:hAnsiTheme="minorHAnsi" w:cstheme="minorBidi"/>
          <w:color w:val="212121"/>
          <w:lang w:val="en-US"/>
        </w:rPr>
        <w:t xml:space="preserve"> confused </w:t>
      </w:r>
      <w:r w:rsidR="00405A95" w:rsidRPr="26F64964">
        <w:rPr>
          <w:rFonts w:asciiTheme="minorHAnsi" w:eastAsia="Calibri" w:hAnsiTheme="minorHAnsi" w:cstheme="minorBidi"/>
          <w:color w:val="212121"/>
          <w:lang w:val="en-US"/>
        </w:rPr>
        <w:t xml:space="preserve">which </w:t>
      </w:r>
      <w:r w:rsidRPr="26F64964">
        <w:rPr>
          <w:rFonts w:asciiTheme="minorHAnsi" w:eastAsia="Calibri" w:hAnsiTheme="minorHAnsi" w:cstheme="minorBidi"/>
          <w:color w:val="212121"/>
          <w:lang w:val="en-US"/>
        </w:rPr>
        <w:t>may lead to improper use and misinterpretation of data, ultimately preventing effective adoption as indicated in studies (</w:t>
      </w:r>
      <w:r w:rsidRPr="6A640EE8">
        <w:rPr>
          <w:rFonts w:asciiTheme="minorHAnsi" w:eastAsia="Calibri" w:hAnsiTheme="minorHAnsi" w:cstheme="minorBidi"/>
          <w:color w:val="212121"/>
          <w:highlight w:val="white"/>
          <w:lang w:val="en-US"/>
        </w:rPr>
        <w:t>Eno et al., 2019</w:t>
      </w:r>
      <w:r w:rsidRPr="6A640EE8">
        <w:rPr>
          <w:rFonts w:asciiTheme="minorHAnsi" w:eastAsia="Calibri" w:hAnsiTheme="minorHAnsi" w:cstheme="minorBidi"/>
          <w:color w:val="212121"/>
          <w:lang w:val="en-US"/>
        </w:rPr>
        <w:t xml:space="preserve">; </w:t>
      </w:r>
      <w:r w:rsidRPr="6A640EE8">
        <w:rPr>
          <w:rFonts w:asciiTheme="minorHAnsi" w:eastAsia="Calibri" w:hAnsiTheme="minorHAnsi" w:cstheme="minorBidi"/>
          <w:color w:val="212121"/>
          <w:highlight w:val="white"/>
          <w:lang w:val="en-US"/>
        </w:rPr>
        <w:t>O'Brien et al., 2019</w:t>
      </w:r>
      <w:r w:rsidRPr="6A640EE8">
        <w:rPr>
          <w:rFonts w:asciiTheme="minorHAnsi" w:eastAsia="Calibri" w:hAnsiTheme="minorHAnsi" w:cstheme="minorBidi"/>
          <w:color w:val="212121"/>
          <w:lang w:val="en-US"/>
        </w:rPr>
        <w:t xml:space="preserve">). </w:t>
      </w:r>
    </w:p>
    <w:p w14:paraId="64324D57" w14:textId="6943BD7A" w:rsidR="00C124A2" w:rsidRPr="00154F1D" w:rsidRDefault="00C31FC1" w:rsidP="26F64964">
      <w:pPr>
        <w:spacing w:line="360" w:lineRule="auto"/>
        <w:jc w:val="both"/>
        <w:rPr>
          <w:rFonts w:asciiTheme="minorHAnsi" w:eastAsia="Calibri" w:hAnsiTheme="minorHAnsi" w:cstheme="minorBidi"/>
          <w:color w:val="000000" w:themeColor="text1"/>
          <w:lang w:val="en-US"/>
        </w:rPr>
      </w:pPr>
      <w:r w:rsidRPr="26F64964">
        <w:rPr>
          <w:rFonts w:asciiTheme="minorHAnsi" w:eastAsia="Calibri" w:hAnsiTheme="minorHAnsi" w:cstheme="minorBidi"/>
          <w:color w:val="212121"/>
          <w:lang w:val="en-US"/>
        </w:rPr>
        <w:t>Moreover, c</w:t>
      </w:r>
      <w:r w:rsidR="6D0F8E16" w:rsidRPr="26F64964">
        <w:rPr>
          <w:rFonts w:asciiTheme="minorHAnsi" w:eastAsia="Calibri" w:hAnsiTheme="minorHAnsi" w:cstheme="minorBidi"/>
          <w:color w:val="212121"/>
          <w:lang w:val="en-US"/>
        </w:rPr>
        <w:t>linical providers usually encourage and motivate patients to use eHealth tools in line with their patient care plans (</w:t>
      </w:r>
      <w:r w:rsidR="6D0F8E16" w:rsidRPr="6A640EE8">
        <w:rPr>
          <w:rFonts w:asciiTheme="minorHAnsi" w:eastAsia="Calibri" w:hAnsiTheme="minorHAnsi" w:cstheme="minorBidi"/>
          <w:color w:val="212121"/>
          <w:highlight w:val="white"/>
          <w:lang w:val="en-US"/>
        </w:rPr>
        <w:t>Oliveira et al., 2023</w:t>
      </w:r>
      <w:r w:rsidR="6D0F8E16" w:rsidRPr="26F64964">
        <w:rPr>
          <w:rFonts w:asciiTheme="minorHAnsi" w:eastAsia="Calibri" w:hAnsiTheme="minorHAnsi" w:cstheme="minorBidi"/>
          <w:color w:val="212121"/>
          <w:lang w:val="en-US"/>
        </w:rPr>
        <w:t>). The absence of support can lead to a lack of motivation for patients to consistently engage with eHealth tools, significantly impacting the effectiveness of remote monitoring and/or self-management (</w:t>
      </w:r>
      <w:r w:rsidR="6D0F8E16" w:rsidRPr="6A640EE8">
        <w:rPr>
          <w:rFonts w:asciiTheme="minorHAnsi" w:eastAsia="Calibri" w:hAnsiTheme="minorHAnsi" w:cstheme="minorBidi"/>
          <w:color w:val="212121"/>
          <w:highlight w:val="white"/>
          <w:lang w:val="en-US"/>
        </w:rPr>
        <w:t>Keating et al., 2020</w:t>
      </w:r>
      <w:r w:rsidR="6D0F8E16" w:rsidRPr="6A640EE8">
        <w:rPr>
          <w:rFonts w:asciiTheme="minorHAnsi" w:eastAsia="Calibri" w:hAnsiTheme="minorHAnsi" w:cstheme="minorBidi"/>
          <w:color w:val="212121"/>
          <w:lang w:val="en-US"/>
        </w:rPr>
        <w:t xml:space="preserve">; </w:t>
      </w:r>
      <w:r w:rsidR="6D0F8E16" w:rsidRPr="6A640EE8">
        <w:rPr>
          <w:rFonts w:asciiTheme="minorHAnsi" w:eastAsia="Calibri" w:hAnsiTheme="minorHAnsi" w:cstheme="minorBidi"/>
          <w:color w:val="212121"/>
          <w:highlight w:val="white"/>
          <w:lang w:val="en-US"/>
        </w:rPr>
        <w:t>Oliveira et al., 2023</w:t>
      </w:r>
      <w:r w:rsidR="6D0F8E16" w:rsidRPr="26F64964">
        <w:rPr>
          <w:rFonts w:asciiTheme="minorHAnsi" w:eastAsia="Calibri" w:hAnsiTheme="minorHAnsi" w:cstheme="minorBidi"/>
          <w:color w:val="212121"/>
          <w:lang w:val="en-US"/>
        </w:rPr>
        <w:t xml:space="preserve">). Overall, clinical support </w:t>
      </w:r>
      <w:r w:rsidR="6D0F8E16" w:rsidRPr="26F64964">
        <w:rPr>
          <w:rFonts w:asciiTheme="minorHAnsi" w:eastAsia="Calibri" w:hAnsiTheme="minorHAnsi" w:cstheme="minorBidi"/>
          <w:color w:val="212121"/>
          <w:highlight w:val="white"/>
          <w:lang w:val="en-US"/>
        </w:rPr>
        <w:t>plays a significant</w:t>
      </w:r>
      <w:r w:rsidR="6D0F8E16" w:rsidRPr="26F64964">
        <w:rPr>
          <w:rFonts w:asciiTheme="minorHAnsi" w:eastAsia="Calibri" w:hAnsiTheme="minorHAnsi" w:cstheme="minorBidi"/>
          <w:color w:val="212121"/>
          <w:lang w:val="en-US"/>
        </w:rPr>
        <w:t xml:space="preserve"> role in facilitating patient understanding, trust, engagement, and effective use of eHealth solutions. Its absence can hinder </w:t>
      </w:r>
      <w:r w:rsidR="6D0F8E16" w:rsidRPr="26F64964">
        <w:rPr>
          <w:rFonts w:asciiTheme="minorHAnsi" w:eastAsia="Calibri" w:hAnsiTheme="minorHAnsi" w:cstheme="minorBidi"/>
          <w:color w:val="212121"/>
          <w:highlight w:val="white"/>
          <w:lang w:val="en-US"/>
        </w:rPr>
        <w:t>the seamless integration</w:t>
      </w:r>
      <w:r w:rsidR="6D0F8E16" w:rsidRPr="26F64964">
        <w:rPr>
          <w:rFonts w:asciiTheme="minorHAnsi" w:eastAsia="Calibri" w:hAnsiTheme="minorHAnsi" w:cstheme="minorBidi"/>
          <w:color w:val="212121"/>
          <w:lang w:val="en-US"/>
        </w:rPr>
        <w:t xml:space="preserve"> and adoption of </w:t>
      </w:r>
      <w:r w:rsidR="6D0F8E16" w:rsidRPr="26F64964">
        <w:rPr>
          <w:rFonts w:asciiTheme="minorHAnsi" w:eastAsia="Calibri" w:hAnsiTheme="minorHAnsi" w:cstheme="minorBidi"/>
          <w:color w:val="212121"/>
          <w:highlight w:val="white"/>
          <w:lang w:val="en-US"/>
        </w:rPr>
        <w:t>these technologies into</w:t>
      </w:r>
      <w:r w:rsidR="6D0F8E16" w:rsidRPr="26F64964">
        <w:rPr>
          <w:rFonts w:asciiTheme="minorHAnsi" w:eastAsia="Calibri" w:hAnsiTheme="minorHAnsi" w:cstheme="minorBidi"/>
          <w:color w:val="212121"/>
          <w:lang w:val="en-US"/>
        </w:rPr>
        <w:t xml:space="preserve"> patients' healthcare routines</w:t>
      </w:r>
      <w:r w:rsidR="00C25B91" w:rsidRPr="26F64964">
        <w:rPr>
          <w:rFonts w:asciiTheme="minorHAnsi" w:eastAsia="Calibri" w:hAnsiTheme="minorHAnsi" w:cstheme="minorBidi"/>
          <w:color w:val="212121"/>
          <w:lang w:val="en-US"/>
        </w:rPr>
        <w:t xml:space="preserve"> </w:t>
      </w:r>
      <w:r w:rsidR="00C25B91" w:rsidRPr="26F64964">
        <w:rPr>
          <w:rFonts w:asciiTheme="minorHAnsi" w:eastAsia="Calibri" w:hAnsiTheme="minorHAnsi" w:cstheme="minorBidi"/>
          <w:lang w:val="en-US"/>
        </w:rPr>
        <w:t>before and after transplantation</w:t>
      </w:r>
      <w:r w:rsidR="6D0F8E16" w:rsidRPr="26F64964">
        <w:rPr>
          <w:rFonts w:asciiTheme="minorHAnsi" w:eastAsia="Calibri" w:hAnsiTheme="minorHAnsi" w:cstheme="minorBidi"/>
          <w:lang w:val="en-US"/>
        </w:rPr>
        <w:t>.</w:t>
      </w:r>
    </w:p>
    <w:p w14:paraId="66BD99B6" w14:textId="52E37227" w:rsidR="00C124A2" w:rsidRPr="00154F1D" w:rsidRDefault="6D0F8E16" w:rsidP="26F64964">
      <w:pPr>
        <w:spacing w:line="360" w:lineRule="auto"/>
        <w:jc w:val="both"/>
        <w:rPr>
          <w:rFonts w:asciiTheme="minorHAnsi" w:eastAsia="Calibri" w:hAnsiTheme="minorHAnsi" w:cstheme="minorBidi"/>
          <w:color w:val="000000" w:themeColor="text1"/>
          <w:lang w:val="en-US"/>
        </w:rPr>
      </w:pPr>
      <w:r w:rsidRPr="26F64964">
        <w:rPr>
          <w:rFonts w:asciiTheme="minorHAnsi" w:eastAsia="Calibri Light" w:hAnsiTheme="minorHAnsi" w:cstheme="minorBidi"/>
          <w:b/>
          <w:bCs/>
          <w:color w:val="000000" w:themeColor="text1"/>
          <w:lang w:val="en-US"/>
        </w:rPr>
        <w:t>Poor dissemination of digital intervention</w:t>
      </w:r>
      <w:r w:rsidR="001A569F" w:rsidRPr="26F64964">
        <w:rPr>
          <w:rFonts w:asciiTheme="minorHAnsi" w:eastAsia="Calibri" w:hAnsiTheme="minorHAnsi" w:cstheme="minorBidi"/>
          <w:color w:val="212121"/>
          <w:lang w:val="en-US"/>
        </w:rPr>
        <w:t xml:space="preserve">: </w:t>
      </w:r>
      <w:r w:rsidRPr="26F64964">
        <w:rPr>
          <w:rFonts w:asciiTheme="minorHAnsi" w:eastAsia="Calibri" w:hAnsiTheme="minorHAnsi" w:cstheme="minorBidi"/>
          <w:color w:val="212121"/>
          <w:lang w:val="en-US"/>
        </w:rPr>
        <w:t xml:space="preserve">Another barrier </w:t>
      </w:r>
      <w:r w:rsidR="00405A95" w:rsidRPr="26F64964">
        <w:rPr>
          <w:rFonts w:asciiTheme="minorHAnsi" w:eastAsia="Calibri" w:hAnsiTheme="minorHAnsi" w:cstheme="minorBidi"/>
          <w:color w:val="212121"/>
          <w:lang w:val="en-US"/>
        </w:rPr>
        <w:t xml:space="preserve">to </w:t>
      </w:r>
      <w:r w:rsidRPr="26F64964">
        <w:rPr>
          <w:rFonts w:asciiTheme="minorHAnsi" w:eastAsia="Calibri" w:hAnsiTheme="minorHAnsi" w:cstheme="minorBidi"/>
          <w:color w:val="212121"/>
          <w:lang w:val="en-US"/>
        </w:rPr>
        <w:t>the use of digital technology/intervention was the lack of awareness (</w:t>
      </w:r>
      <w:r w:rsidRPr="6A640EE8">
        <w:rPr>
          <w:rFonts w:asciiTheme="minorHAnsi" w:eastAsia="Calibri" w:hAnsiTheme="minorHAnsi" w:cstheme="minorBidi"/>
          <w:color w:val="212121"/>
          <w:highlight w:val="white"/>
          <w:lang w:val="en-US"/>
        </w:rPr>
        <w:t>O'Brien et al., 2019</w:t>
      </w:r>
      <w:r w:rsidRPr="6A640EE8">
        <w:rPr>
          <w:rFonts w:asciiTheme="minorHAnsi" w:eastAsia="Calibri" w:hAnsiTheme="minorHAnsi" w:cstheme="minorBidi"/>
          <w:color w:val="212121"/>
          <w:lang w:val="en-US"/>
        </w:rPr>
        <w:t xml:space="preserve">; </w:t>
      </w:r>
      <w:r w:rsidRPr="6A640EE8">
        <w:rPr>
          <w:rFonts w:asciiTheme="minorHAnsi" w:eastAsia="Calibri" w:hAnsiTheme="minorHAnsi" w:cstheme="minorBidi"/>
          <w:color w:val="212121"/>
          <w:highlight w:val="white"/>
          <w:lang w:val="en-US"/>
        </w:rPr>
        <w:t>Oliveira et al., 2023</w:t>
      </w:r>
      <w:r w:rsidRPr="26F64964">
        <w:rPr>
          <w:rFonts w:asciiTheme="minorHAnsi" w:eastAsia="Calibri" w:hAnsiTheme="minorHAnsi" w:cstheme="minorBidi"/>
          <w:color w:val="212121"/>
          <w:lang w:val="en-US"/>
        </w:rPr>
        <w:t>). A study found that patients were unaware that digital interventions existed to help manage symptoms</w:t>
      </w:r>
      <w:r w:rsidR="00405A95" w:rsidRPr="26F64964">
        <w:rPr>
          <w:rFonts w:asciiTheme="minorHAnsi" w:eastAsia="Calibri" w:hAnsiTheme="minorHAnsi" w:cstheme="minorBidi"/>
          <w:color w:val="212121"/>
          <w:lang w:val="en-US"/>
        </w:rPr>
        <w:t>,</w:t>
      </w:r>
      <w:r w:rsidRPr="26F64964">
        <w:rPr>
          <w:rFonts w:asciiTheme="minorHAnsi" w:eastAsia="Calibri" w:hAnsiTheme="minorHAnsi" w:cstheme="minorBidi"/>
          <w:color w:val="212121"/>
          <w:lang w:val="en-US"/>
        </w:rPr>
        <w:t xml:space="preserve"> as providers were not promoting/raising awareness of the digital interventions to patients (</w:t>
      </w:r>
      <w:r w:rsidRPr="6A640EE8">
        <w:rPr>
          <w:rFonts w:asciiTheme="minorHAnsi" w:eastAsia="Calibri" w:hAnsiTheme="minorHAnsi" w:cstheme="minorBidi"/>
          <w:color w:val="212121"/>
          <w:highlight w:val="white"/>
          <w:lang w:val="en-US"/>
        </w:rPr>
        <w:t>Oliveira et al., 2023</w:t>
      </w:r>
      <w:r w:rsidRPr="26F64964">
        <w:rPr>
          <w:rFonts w:asciiTheme="minorHAnsi" w:eastAsia="Calibri" w:hAnsiTheme="minorHAnsi" w:cstheme="minorBidi"/>
          <w:color w:val="212121"/>
          <w:lang w:val="en-US"/>
        </w:rPr>
        <w:t xml:space="preserve">). </w:t>
      </w:r>
    </w:p>
    <w:p w14:paraId="317FE016" w14:textId="63CB2BEC" w:rsidR="00C124A2" w:rsidRDefault="6D0F8E16" w:rsidP="26F64964">
      <w:pPr>
        <w:spacing w:line="360" w:lineRule="auto"/>
        <w:jc w:val="both"/>
        <w:rPr>
          <w:rFonts w:asciiTheme="minorHAnsi" w:eastAsia="Calibri" w:hAnsiTheme="minorHAnsi" w:cstheme="minorBidi"/>
          <w:color w:val="212121"/>
          <w:lang w:val="en-US"/>
        </w:rPr>
      </w:pPr>
      <w:r w:rsidRPr="26F64964">
        <w:rPr>
          <w:rFonts w:asciiTheme="minorHAnsi" w:eastAsia="Calibri Light" w:hAnsiTheme="minorHAnsi" w:cstheme="minorBidi"/>
          <w:b/>
          <w:bCs/>
          <w:color w:val="000000" w:themeColor="text1"/>
          <w:lang w:val="en-US"/>
        </w:rPr>
        <w:t>Costs</w:t>
      </w:r>
      <w:r w:rsidR="001A569F" w:rsidRPr="26F64964">
        <w:rPr>
          <w:rFonts w:asciiTheme="minorHAnsi" w:eastAsia="Calibri" w:hAnsiTheme="minorHAnsi" w:cstheme="minorBidi"/>
          <w:color w:val="212121"/>
          <w:lang w:val="en-US"/>
        </w:rPr>
        <w:t xml:space="preserve">: </w:t>
      </w:r>
      <w:r w:rsidR="1CDDE930" w:rsidRPr="26F64964">
        <w:rPr>
          <w:rFonts w:asciiTheme="minorHAnsi" w:eastAsia="Calibri" w:hAnsiTheme="minorHAnsi" w:cstheme="minorBidi"/>
          <w:color w:val="212121"/>
          <w:lang w:val="en-US"/>
        </w:rPr>
        <w:t xml:space="preserve">Implementing and provisioning digital health interventions were costly not only to patients but also </w:t>
      </w:r>
      <w:r w:rsidR="00405A95" w:rsidRPr="26F64964">
        <w:rPr>
          <w:rFonts w:asciiTheme="minorHAnsi" w:eastAsia="Calibri" w:hAnsiTheme="minorHAnsi" w:cstheme="minorBidi"/>
          <w:color w:val="212121"/>
          <w:lang w:val="en-US"/>
        </w:rPr>
        <w:t xml:space="preserve">to </w:t>
      </w:r>
      <w:r w:rsidR="1CDDE930" w:rsidRPr="26F64964">
        <w:rPr>
          <w:rFonts w:asciiTheme="minorHAnsi" w:eastAsia="Calibri" w:hAnsiTheme="minorHAnsi" w:cstheme="minorBidi"/>
          <w:color w:val="212121"/>
          <w:lang w:val="en-US"/>
        </w:rPr>
        <w:t>clinical providers (</w:t>
      </w:r>
      <w:r w:rsidR="1CDDE930" w:rsidRPr="6A640EE8">
        <w:rPr>
          <w:rFonts w:asciiTheme="minorHAnsi" w:eastAsia="Calibri" w:hAnsiTheme="minorHAnsi" w:cstheme="minorBidi"/>
          <w:color w:val="212121"/>
          <w:highlight w:val="white"/>
          <w:lang w:val="en-US"/>
        </w:rPr>
        <w:t>Eno et al., 2019</w:t>
      </w:r>
      <w:r w:rsidR="1CDDE930" w:rsidRPr="6A640EE8">
        <w:rPr>
          <w:rFonts w:asciiTheme="minorHAnsi" w:eastAsia="Calibri" w:hAnsiTheme="minorHAnsi" w:cstheme="minorBidi"/>
          <w:color w:val="212121"/>
          <w:lang w:val="en-US"/>
        </w:rPr>
        <w:t>).</w:t>
      </w:r>
      <w:r w:rsidR="1CDDE930" w:rsidRPr="26F64964">
        <w:rPr>
          <w:rFonts w:asciiTheme="minorHAnsi" w:eastAsia="Calibri" w:hAnsiTheme="minorHAnsi" w:cstheme="minorBidi"/>
          <w:color w:val="212121"/>
          <w:lang w:val="en-US"/>
        </w:rPr>
        <w:t xml:space="preserve"> </w:t>
      </w:r>
      <w:r w:rsidR="001A569F" w:rsidRPr="26F64964">
        <w:rPr>
          <w:rFonts w:asciiTheme="minorHAnsi" w:eastAsia="Calibri" w:hAnsiTheme="minorHAnsi" w:cstheme="minorBidi"/>
          <w:color w:val="212121"/>
          <w:lang w:val="en-US"/>
        </w:rPr>
        <w:t>Researchers</w:t>
      </w:r>
      <w:r w:rsidR="1CDDE930" w:rsidRPr="26F64964">
        <w:rPr>
          <w:rFonts w:asciiTheme="minorHAnsi" w:eastAsia="Calibri" w:hAnsiTheme="minorHAnsi" w:cstheme="minorBidi"/>
          <w:color w:val="212121"/>
          <w:lang w:val="en-US"/>
        </w:rPr>
        <w:t xml:space="preserve"> identified the conflict of the costs associated with eHealth usage in transplant clinics, where clinics were unsure of whether to pass the costs to patients or absorb the fees</w:t>
      </w:r>
      <w:r w:rsidR="009C1731" w:rsidRPr="26F64964">
        <w:rPr>
          <w:rFonts w:asciiTheme="minorHAnsi" w:eastAsia="Calibri" w:hAnsiTheme="minorHAnsi" w:cstheme="minorBidi"/>
          <w:color w:val="212121"/>
          <w:lang w:val="en-US"/>
        </w:rPr>
        <w:t xml:space="preserve">; </w:t>
      </w:r>
      <w:r w:rsidR="1CDDE930" w:rsidRPr="26F64964">
        <w:rPr>
          <w:rFonts w:asciiTheme="minorHAnsi" w:eastAsia="Calibri" w:hAnsiTheme="minorHAnsi" w:cstheme="minorBidi"/>
          <w:color w:val="212121"/>
          <w:lang w:val="en-US"/>
        </w:rPr>
        <w:t xml:space="preserve">there </w:t>
      </w:r>
      <w:r w:rsidR="009C1731" w:rsidRPr="26F64964">
        <w:rPr>
          <w:rFonts w:asciiTheme="minorHAnsi" w:eastAsia="Calibri" w:hAnsiTheme="minorHAnsi" w:cstheme="minorBidi"/>
          <w:color w:val="212121"/>
          <w:lang w:val="en-US"/>
        </w:rPr>
        <w:t xml:space="preserve">were </w:t>
      </w:r>
      <w:r w:rsidR="1CDDE930" w:rsidRPr="26F64964">
        <w:rPr>
          <w:rFonts w:asciiTheme="minorHAnsi" w:eastAsia="Calibri" w:hAnsiTheme="minorHAnsi" w:cstheme="minorBidi"/>
          <w:color w:val="212121"/>
          <w:lang w:val="en-US"/>
        </w:rPr>
        <w:t>also questions in finding the avenues to</w:t>
      </w:r>
      <w:r w:rsidR="1CDDE930" w:rsidRPr="26F64964">
        <w:rPr>
          <w:rFonts w:asciiTheme="minorHAnsi" w:eastAsia="Calibri" w:hAnsiTheme="minorHAnsi" w:cstheme="minorBidi"/>
          <w:color w:val="7030A0"/>
          <w:lang w:val="en-US"/>
        </w:rPr>
        <w:t xml:space="preserve"> </w:t>
      </w:r>
      <w:r w:rsidR="1CDDE930" w:rsidRPr="26F64964">
        <w:rPr>
          <w:rFonts w:asciiTheme="minorHAnsi" w:eastAsia="Calibri" w:hAnsiTheme="minorHAnsi" w:cstheme="minorBidi"/>
          <w:lang w:val="en-US"/>
        </w:rPr>
        <w:t>fun</w:t>
      </w:r>
      <w:r w:rsidR="003F6512" w:rsidRPr="26F64964">
        <w:rPr>
          <w:rFonts w:asciiTheme="minorHAnsi" w:eastAsia="Calibri" w:hAnsiTheme="minorHAnsi" w:cstheme="minorBidi"/>
          <w:lang w:val="en-US"/>
        </w:rPr>
        <w:t>d</w:t>
      </w:r>
      <w:r w:rsidR="1CDDE930" w:rsidRPr="26F64964">
        <w:rPr>
          <w:rFonts w:asciiTheme="minorHAnsi" w:eastAsia="Calibri" w:hAnsiTheme="minorHAnsi" w:cstheme="minorBidi"/>
          <w:color w:val="7030A0"/>
          <w:lang w:val="en-US"/>
        </w:rPr>
        <w:t xml:space="preserve"> </w:t>
      </w:r>
      <w:r w:rsidR="1CDDE930" w:rsidRPr="26F64964">
        <w:rPr>
          <w:rFonts w:asciiTheme="minorHAnsi" w:eastAsia="Calibri" w:hAnsiTheme="minorHAnsi" w:cstheme="minorBidi"/>
          <w:color w:val="212121"/>
          <w:lang w:val="en-US"/>
        </w:rPr>
        <w:t>the implementation of eHealth tools (</w:t>
      </w:r>
      <w:r w:rsidR="1CDDE930" w:rsidRPr="6A640EE8">
        <w:rPr>
          <w:rFonts w:asciiTheme="minorHAnsi" w:eastAsia="Calibri" w:hAnsiTheme="minorHAnsi" w:cstheme="minorBidi"/>
          <w:color w:val="212121"/>
          <w:highlight w:val="white"/>
          <w:lang w:val="en-US"/>
        </w:rPr>
        <w:t>Eno et al., 2019</w:t>
      </w:r>
      <w:r w:rsidR="1CDDE930" w:rsidRPr="26F64964">
        <w:rPr>
          <w:rFonts w:asciiTheme="minorHAnsi" w:eastAsia="Calibri" w:hAnsiTheme="minorHAnsi" w:cstheme="minorBidi"/>
          <w:color w:val="212121"/>
          <w:lang w:val="en-US"/>
        </w:rPr>
        <w:t>).</w:t>
      </w:r>
    </w:p>
    <w:p w14:paraId="6D4ED9A8" w14:textId="77777777" w:rsidR="00503828" w:rsidRDefault="00503828" w:rsidP="26F64964">
      <w:pPr>
        <w:spacing w:line="360" w:lineRule="auto"/>
        <w:jc w:val="both"/>
        <w:rPr>
          <w:rFonts w:asciiTheme="minorHAnsi" w:eastAsia="Calibri" w:hAnsiTheme="minorHAnsi" w:cstheme="minorBidi"/>
          <w:color w:val="212121"/>
          <w:lang w:val="en-US"/>
        </w:rPr>
      </w:pPr>
    </w:p>
    <w:p w14:paraId="0FAABF94" w14:textId="77777777" w:rsidR="00503828" w:rsidRPr="00CB24BF" w:rsidRDefault="00503828" w:rsidP="26F64964">
      <w:pPr>
        <w:spacing w:line="360" w:lineRule="auto"/>
        <w:jc w:val="both"/>
        <w:rPr>
          <w:rFonts w:asciiTheme="minorHAnsi" w:eastAsia="Calibri" w:hAnsiTheme="minorHAnsi" w:cstheme="minorBidi"/>
          <w:color w:val="212121"/>
          <w:lang w:val="en-US"/>
        </w:rPr>
      </w:pPr>
    </w:p>
    <w:p w14:paraId="4CD054E0" w14:textId="332F6002" w:rsidR="00A56554" w:rsidRDefault="1CDDE930" w:rsidP="1CDDE930">
      <w:pPr>
        <w:pStyle w:val="Heading3"/>
        <w:jc w:val="left"/>
        <w:rPr>
          <w:rFonts w:ascii="Calibri" w:eastAsia="Calibri" w:hAnsi="Calibri" w:cs="Calibri"/>
          <w:caps w:val="0"/>
          <w:color w:val="000000" w:themeColor="text1"/>
          <w:sz w:val="22"/>
          <w:szCs w:val="22"/>
          <w:lang w:val="en-US"/>
        </w:rPr>
      </w:pPr>
      <w:bookmarkStart w:id="26" w:name="_Toc166853991"/>
      <w:r w:rsidRPr="1CDDE930">
        <w:rPr>
          <w:lang w:val="en-US"/>
        </w:rPr>
        <w:lastRenderedPageBreak/>
        <w:t>4.</w:t>
      </w:r>
      <w:r w:rsidR="00975535">
        <w:rPr>
          <w:lang w:val="en-US"/>
        </w:rPr>
        <w:t>2.</w:t>
      </w:r>
      <w:r w:rsidRPr="1CDDE930">
        <w:rPr>
          <w:lang w:val="en-US"/>
        </w:rPr>
        <w:t>1.3 User Experience and Trust Issues</w:t>
      </w:r>
      <w:bookmarkEnd w:id="26"/>
    </w:p>
    <w:p w14:paraId="74E9E92E" w14:textId="3C01A59C" w:rsidR="00B4517F" w:rsidRPr="00975535" w:rsidRDefault="00227108" w:rsidP="26F64964">
      <w:pPr>
        <w:spacing w:line="360" w:lineRule="auto"/>
        <w:jc w:val="both"/>
        <w:rPr>
          <w:rFonts w:asciiTheme="minorHAnsi" w:hAnsiTheme="minorHAnsi" w:cstheme="minorBidi"/>
          <w:b/>
          <w:bCs/>
          <w:lang w:val="en-US"/>
        </w:rPr>
      </w:pPr>
      <w:r w:rsidRPr="26F64964">
        <w:rPr>
          <w:rFonts w:asciiTheme="minorHAnsi" w:hAnsiTheme="minorHAnsi" w:cstheme="minorBidi"/>
        </w:rPr>
        <w:t>Six</w:t>
      </w:r>
      <w:r w:rsidR="00B4517F" w:rsidRPr="26F64964">
        <w:rPr>
          <w:rFonts w:asciiTheme="minorHAnsi" w:hAnsiTheme="minorHAnsi" w:cstheme="minorBidi"/>
        </w:rPr>
        <w:t xml:space="preserve"> </w:t>
      </w:r>
      <w:proofErr w:type="spellStart"/>
      <w:r w:rsidR="009C1731" w:rsidRPr="26F64964">
        <w:rPr>
          <w:rFonts w:asciiTheme="minorHAnsi" w:hAnsiTheme="minorHAnsi" w:cstheme="minorBidi"/>
        </w:rPr>
        <w:t>analyzed</w:t>
      </w:r>
      <w:proofErr w:type="spellEnd"/>
      <w:r w:rsidR="009C1731" w:rsidRPr="26F64964">
        <w:rPr>
          <w:rFonts w:asciiTheme="minorHAnsi" w:hAnsiTheme="minorHAnsi" w:cstheme="minorBidi"/>
        </w:rPr>
        <w:t xml:space="preserve"> </w:t>
      </w:r>
      <w:r w:rsidR="00B4517F" w:rsidRPr="26F64964">
        <w:rPr>
          <w:rFonts w:asciiTheme="minorHAnsi" w:hAnsiTheme="minorHAnsi" w:cstheme="minorBidi"/>
        </w:rPr>
        <w:t>studies emphasized the underlying reasons behind the</w:t>
      </w:r>
      <w:r w:rsidR="002812D7" w:rsidRPr="26F64964">
        <w:rPr>
          <w:rFonts w:asciiTheme="minorHAnsi" w:hAnsiTheme="minorHAnsi" w:cstheme="minorBidi"/>
        </w:rPr>
        <w:t xml:space="preserve"> user experience</w:t>
      </w:r>
      <w:r w:rsidR="00B4517F" w:rsidRPr="26F64964">
        <w:rPr>
          <w:rFonts w:asciiTheme="minorHAnsi" w:hAnsiTheme="minorHAnsi" w:cstheme="minorBidi"/>
        </w:rPr>
        <w:t xml:space="preserve"> and </w:t>
      </w:r>
      <w:r w:rsidR="002812D7" w:rsidRPr="26F64964">
        <w:rPr>
          <w:rFonts w:asciiTheme="minorHAnsi" w:hAnsiTheme="minorHAnsi" w:cstheme="minorBidi"/>
        </w:rPr>
        <w:t>trust issues</w:t>
      </w:r>
      <w:r w:rsidR="00B4517F" w:rsidRPr="26F64964">
        <w:rPr>
          <w:rFonts w:asciiTheme="minorHAnsi" w:hAnsiTheme="minorHAnsi" w:cstheme="minorBidi"/>
        </w:rPr>
        <w:t xml:space="preserve"> </w:t>
      </w:r>
      <w:r w:rsidR="002812D7" w:rsidRPr="26F64964">
        <w:rPr>
          <w:rFonts w:asciiTheme="minorHAnsi" w:hAnsiTheme="minorHAnsi" w:cstheme="minorBidi"/>
        </w:rPr>
        <w:t>associated with</w:t>
      </w:r>
      <w:r w:rsidR="00B4517F" w:rsidRPr="26F64964">
        <w:rPr>
          <w:rFonts w:asciiTheme="minorHAnsi" w:hAnsiTheme="minorHAnsi" w:cstheme="minorBidi"/>
        </w:rPr>
        <w:t xml:space="preserve"> utilizing digital health tools. These challenges encompassed issues </w:t>
      </w:r>
      <w:r w:rsidR="00CB24BF" w:rsidRPr="26F64964">
        <w:rPr>
          <w:rFonts w:asciiTheme="minorHAnsi" w:hAnsiTheme="minorHAnsi" w:cstheme="minorBidi"/>
          <w:highlight w:val="white"/>
        </w:rPr>
        <w:t xml:space="preserve">such as </w:t>
      </w:r>
      <w:r w:rsidRPr="26F64964">
        <w:rPr>
          <w:rFonts w:asciiTheme="minorHAnsi" w:hAnsiTheme="minorHAnsi" w:cstheme="minorBidi"/>
          <w:highlight w:val="white"/>
        </w:rPr>
        <w:t>privacy and security concerns, lack of</w:t>
      </w:r>
      <w:r w:rsidRPr="26F64964">
        <w:rPr>
          <w:rFonts w:asciiTheme="minorHAnsi" w:hAnsiTheme="minorHAnsi" w:cstheme="minorBidi"/>
        </w:rPr>
        <w:t xml:space="preserve"> human connection</w:t>
      </w:r>
      <w:r w:rsidR="002812D7" w:rsidRPr="26F64964">
        <w:rPr>
          <w:rFonts w:asciiTheme="minorHAnsi" w:hAnsiTheme="minorHAnsi" w:cstheme="minorBidi"/>
        </w:rPr>
        <w:t xml:space="preserve"> and </w:t>
      </w:r>
      <w:r w:rsidRPr="26F64964">
        <w:rPr>
          <w:rFonts w:asciiTheme="minorHAnsi" w:hAnsiTheme="minorHAnsi" w:cstheme="minorBidi"/>
        </w:rPr>
        <w:t>outdated/</w:t>
      </w:r>
      <w:r w:rsidR="002812D7" w:rsidRPr="26F64964">
        <w:rPr>
          <w:rFonts w:asciiTheme="minorHAnsi" w:hAnsiTheme="minorHAnsi" w:cstheme="minorBidi"/>
        </w:rPr>
        <w:t xml:space="preserve">inconsistent information. </w:t>
      </w:r>
    </w:p>
    <w:p w14:paraId="00403341" w14:textId="0F111DC7" w:rsidR="00A56554" w:rsidRPr="00134E71" w:rsidRDefault="1CDDE930" w:rsidP="26F64964">
      <w:pPr>
        <w:spacing w:line="360" w:lineRule="auto"/>
        <w:jc w:val="both"/>
        <w:rPr>
          <w:rFonts w:asciiTheme="minorHAnsi" w:eastAsia="Calibri" w:hAnsiTheme="minorHAnsi" w:cstheme="minorBidi"/>
          <w:color w:val="212121"/>
          <w:lang w:val="en-US"/>
        </w:rPr>
      </w:pPr>
      <w:r w:rsidRPr="00DB0BA1">
        <w:rPr>
          <w:rFonts w:asciiTheme="minorHAnsi" w:eastAsia="Calibri Light" w:hAnsiTheme="minorHAnsi" w:cstheme="minorBidi"/>
          <w:b/>
          <w:bCs/>
          <w:color w:val="000000" w:themeColor="text1"/>
          <w:highlight w:val="white"/>
          <w:lang w:val="en-US"/>
        </w:rPr>
        <w:t>Privacy and Security Concerns</w:t>
      </w:r>
      <w:r w:rsidR="005F095D" w:rsidRPr="00DB0BA1">
        <w:rPr>
          <w:rFonts w:asciiTheme="minorHAnsi" w:eastAsia="Calibri" w:hAnsiTheme="minorHAnsi" w:cstheme="minorBidi"/>
          <w:b/>
          <w:bCs/>
          <w:color w:val="212121"/>
          <w:highlight w:val="white"/>
          <w:lang w:val="en-US"/>
        </w:rPr>
        <w:t>:</w:t>
      </w:r>
      <w:r w:rsidR="005F095D" w:rsidRPr="26F64964">
        <w:rPr>
          <w:rFonts w:asciiTheme="minorHAnsi" w:eastAsia="Calibri" w:hAnsiTheme="minorHAnsi" w:cstheme="minorBidi"/>
          <w:color w:val="212121"/>
          <w:highlight w:val="white"/>
          <w:lang w:val="en-US"/>
        </w:rPr>
        <w:t xml:space="preserve"> </w:t>
      </w:r>
      <w:r w:rsidRPr="26F64964">
        <w:rPr>
          <w:rFonts w:asciiTheme="minorHAnsi" w:eastAsia="Calibri" w:hAnsiTheme="minorHAnsi" w:cstheme="minorBidi"/>
          <w:color w:val="212121"/>
          <w:highlight w:val="white"/>
          <w:lang w:val="en-US"/>
        </w:rPr>
        <w:t>Privacy and security</w:t>
      </w:r>
      <w:r w:rsidRPr="26F64964">
        <w:rPr>
          <w:rFonts w:asciiTheme="minorHAnsi" w:eastAsia="Calibri" w:hAnsiTheme="minorHAnsi" w:cstheme="minorBidi"/>
          <w:color w:val="212121"/>
          <w:lang w:val="en-US"/>
        </w:rPr>
        <w:t xml:space="preserve"> concerns were identified as barriers for patients and clinical providers using digital health interventions and technologies (Tang et al., 2022). </w:t>
      </w:r>
      <w:r w:rsidRPr="26F64964">
        <w:rPr>
          <w:rFonts w:asciiTheme="minorHAnsi" w:eastAsia="Calibri" w:hAnsiTheme="minorHAnsi" w:cstheme="minorBidi"/>
          <w:color w:val="212121"/>
          <w:highlight w:val="white"/>
          <w:lang w:val="en-US"/>
        </w:rPr>
        <w:t>Patients were concerned about the</w:t>
      </w:r>
      <w:r w:rsidRPr="26F64964">
        <w:rPr>
          <w:rFonts w:asciiTheme="minorHAnsi" w:eastAsia="Calibri" w:hAnsiTheme="minorHAnsi" w:cstheme="minorBidi"/>
          <w:color w:val="212121"/>
          <w:lang w:val="en-US"/>
        </w:rPr>
        <w:t xml:space="preserve"> confidentiality and </w:t>
      </w:r>
      <w:r w:rsidRPr="26F64964">
        <w:rPr>
          <w:rFonts w:asciiTheme="minorHAnsi" w:eastAsia="Calibri" w:hAnsiTheme="minorHAnsi" w:cstheme="minorBidi"/>
          <w:color w:val="212121"/>
          <w:highlight w:val="white"/>
          <w:lang w:val="en-US"/>
        </w:rPr>
        <w:t>security of their health information</w:t>
      </w:r>
      <w:r w:rsidRPr="26F64964">
        <w:rPr>
          <w:rFonts w:asciiTheme="minorHAnsi" w:eastAsia="Calibri" w:hAnsiTheme="minorHAnsi" w:cstheme="minorBidi"/>
          <w:lang w:val="en-US"/>
        </w:rPr>
        <w:t xml:space="preserve">. </w:t>
      </w:r>
      <w:r w:rsidR="009D0E32" w:rsidRPr="26F64964">
        <w:rPr>
          <w:rFonts w:asciiTheme="minorHAnsi" w:eastAsia="Calibri" w:hAnsiTheme="minorHAnsi" w:cstheme="minorBidi"/>
          <w:lang w:val="en-US"/>
        </w:rPr>
        <w:t xml:space="preserve">For example, </w:t>
      </w:r>
      <w:r w:rsidRPr="26F64964">
        <w:rPr>
          <w:rFonts w:asciiTheme="minorHAnsi" w:eastAsia="Calibri" w:hAnsiTheme="minorHAnsi" w:cstheme="minorBidi"/>
          <w:lang w:val="en-US"/>
        </w:rPr>
        <w:t xml:space="preserve">participants </w:t>
      </w:r>
      <w:r w:rsidR="00490885" w:rsidRPr="26F64964">
        <w:rPr>
          <w:rFonts w:asciiTheme="minorHAnsi" w:eastAsia="Calibri" w:hAnsiTheme="minorHAnsi" w:cstheme="minorBidi"/>
          <w:lang w:val="en-US"/>
        </w:rPr>
        <w:t xml:space="preserve">of </w:t>
      </w:r>
      <w:r w:rsidR="00423423" w:rsidRPr="26F64964">
        <w:rPr>
          <w:rFonts w:asciiTheme="minorHAnsi" w:eastAsia="Calibri" w:hAnsiTheme="minorHAnsi" w:cstheme="minorBidi"/>
          <w:lang w:val="en-US"/>
        </w:rPr>
        <w:t xml:space="preserve">a study </w:t>
      </w:r>
      <w:r w:rsidR="00490885" w:rsidRPr="26F64964">
        <w:rPr>
          <w:rFonts w:asciiTheme="minorHAnsi" w:eastAsia="Calibri" w:hAnsiTheme="minorHAnsi" w:cstheme="minorBidi"/>
          <w:lang w:val="en-US"/>
        </w:rPr>
        <w:t xml:space="preserve">using </w:t>
      </w:r>
      <w:r w:rsidR="009C1731" w:rsidRPr="26F64964">
        <w:rPr>
          <w:rFonts w:asciiTheme="minorHAnsi" w:eastAsia="Calibri" w:hAnsiTheme="minorHAnsi" w:cstheme="minorBidi"/>
          <w:lang w:val="en-US"/>
        </w:rPr>
        <w:t xml:space="preserve">the </w:t>
      </w:r>
      <w:r w:rsidR="00DC25DD" w:rsidRPr="26F64964">
        <w:rPr>
          <w:rFonts w:asciiTheme="minorHAnsi" w:eastAsia="Calibri" w:hAnsiTheme="minorHAnsi" w:cstheme="minorBidi"/>
          <w:lang w:val="en-US"/>
        </w:rPr>
        <w:t xml:space="preserve">mHealth tool for </w:t>
      </w:r>
      <w:r w:rsidR="0051325E" w:rsidRPr="26F64964">
        <w:rPr>
          <w:rFonts w:asciiTheme="minorHAnsi" w:eastAsia="Calibri" w:hAnsiTheme="minorHAnsi" w:cstheme="minorBidi"/>
          <w:lang w:val="en-US"/>
        </w:rPr>
        <w:t xml:space="preserve">living kidney donors in the US </w:t>
      </w:r>
      <w:r w:rsidRPr="26F64964">
        <w:rPr>
          <w:rFonts w:asciiTheme="minorHAnsi" w:eastAsia="Calibri" w:hAnsiTheme="minorHAnsi" w:cstheme="minorBidi"/>
          <w:lang w:val="en-US"/>
        </w:rPr>
        <w:t xml:space="preserve">were </w:t>
      </w:r>
      <w:r w:rsidR="00975535" w:rsidRPr="26F64964">
        <w:rPr>
          <w:rFonts w:asciiTheme="minorHAnsi" w:eastAsia="Calibri" w:hAnsiTheme="minorHAnsi" w:cstheme="minorBidi"/>
          <w:lang w:val="en-US"/>
        </w:rPr>
        <w:t>concerned with</w:t>
      </w:r>
      <w:r w:rsidRPr="26F64964">
        <w:rPr>
          <w:rFonts w:asciiTheme="minorHAnsi" w:eastAsia="Calibri" w:hAnsiTheme="minorHAnsi" w:cstheme="minorBidi"/>
          <w:lang w:val="en-US"/>
        </w:rPr>
        <w:t xml:space="preserve"> how their health information was used, transferred, </w:t>
      </w:r>
      <w:r w:rsidR="008A7D35" w:rsidRPr="26F64964">
        <w:rPr>
          <w:rFonts w:asciiTheme="minorHAnsi" w:eastAsia="Calibri" w:hAnsiTheme="minorHAnsi" w:cstheme="minorBidi"/>
          <w:lang w:val="en-US"/>
        </w:rPr>
        <w:t xml:space="preserve">and </w:t>
      </w:r>
      <w:r w:rsidRPr="26F64964">
        <w:rPr>
          <w:rFonts w:asciiTheme="minorHAnsi" w:eastAsia="Calibri" w:hAnsiTheme="minorHAnsi" w:cstheme="minorBidi"/>
          <w:lang w:val="en-US"/>
        </w:rPr>
        <w:t>stored</w:t>
      </w:r>
      <w:r w:rsidR="008A7D35" w:rsidRPr="26F64964">
        <w:rPr>
          <w:rFonts w:asciiTheme="minorHAnsi" w:eastAsia="Calibri" w:hAnsiTheme="minorHAnsi" w:cstheme="minorBidi"/>
          <w:lang w:val="en-US"/>
        </w:rPr>
        <w:t xml:space="preserve"> </w:t>
      </w:r>
      <w:r w:rsidRPr="26F64964">
        <w:rPr>
          <w:rFonts w:asciiTheme="minorHAnsi" w:eastAsia="Calibri" w:hAnsiTheme="minorHAnsi" w:cstheme="minorBidi"/>
          <w:lang w:val="en-US"/>
        </w:rPr>
        <w:t>(</w:t>
      </w:r>
      <w:r w:rsidRPr="6A640EE8">
        <w:rPr>
          <w:rFonts w:asciiTheme="minorHAnsi" w:eastAsia="Calibri" w:hAnsiTheme="minorHAnsi" w:cstheme="minorBidi"/>
          <w:highlight w:val="white"/>
          <w:lang w:val="en-US"/>
        </w:rPr>
        <w:t>Eno et al., 2019).</w:t>
      </w:r>
      <w:r w:rsidRPr="26F64964">
        <w:rPr>
          <w:rFonts w:asciiTheme="minorHAnsi" w:eastAsia="Calibri" w:hAnsiTheme="minorHAnsi" w:cstheme="minorBidi"/>
          <w:highlight w:val="white"/>
          <w:lang w:val="en-US"/>
        </w:rPr>
        <w:t xml:space="preserve"> </w:t>
      </w:r>
      <w:r w:rsidR="00E15865" w:rsidRPr="26F64964">
        <w:rPr>
          <w:rFonts w:asciiTheme="minorHAnsi" w:eastAsia="Calibri" w:hAnsiTheme="minorHAnsi" w:cstheme="minorBidi"/>
          <w:highlight w:val="white"/>
          <w:lang w:val="en-US"/>
        </w:rPr>
        <w:t>Several studies</w:t>
      </w:r>
      <w:r w:rsidR="00E15865" w:rsidRPr="26F64964">
        <w:rPr>
          <w:rFonts w:asciiTheme="minorHAnsi" w:eastAsia="Calibri" w:hAnsiTheme="minorHAnsi" w:cstheme="minorBidi"/>
          <w:lang w:val="en-US"/>
        </w:rPr>
        <w:t xml:space="preserve"> reported that with </w:t>
      </w:r>
      <w:r w:rsidRPr="26F64964">
        <w:rPr>
          <w:rFonts w:asciiTheme="minorHAnsi" w:eastAsia="Calibri" w:hAnsiTheme="minorHAnsi" w:cstheme="minorBidi"/>
          <w:lang w:val="en-US"/>
        </w:rPr>
        <w:t xml:space="preserve">data breaches and cyber security threats increasing within the </w:t>
      </w:r>
      <w:r w:rsidRPr="26F64964">
        <w:rPr>
          <w:rFonts w:asciiTheme="minorHAnsi" w:eastAsia="Calibri" w:hAnsiTheme="minorHAnsi" w:cstheme="minorBidi"/>
          <w:color w:val="212121"/>
          <w:lang w:val="en-US"/>
        </w:rPr>
        <w:t>health sector, individuals are hesitant to embrace digital health technologies to handle their health information (</w:t>
      </w:r>
      <w:r w:rsidR="00E15865" w:rsidRPr="26F64964">
        <w:rPr>
          <w:rFonts w:asciiTheme="minorHAnsi" w:eastAsia="Calibri" w:hAnsiTheme="minorHAnsi" w:cstheme="minorBidi"/>
          <w:color w:val="212121"/>
          <w:lang w:val="en-US"/>
        </w:rPr>
        <w:t xml:space="preserve">e.g., </w:t>
      </w:r>
      <w:proofErr w:type="spellStart"/>
      <w:r w:rsidRPr="26F64964">
        <w:rPr>
          <w:rFonts w:asciiTheme="minorHAnsi" w:eastAsia="Calibri" w:hAnsiTheme="minorHAnsi" w:cstheme="minorBidi"/>
          <w:color w:val="212121"/>
          <w:lang w:val="en-US"/>
        </w:rPr>
        <w:t>Alkinoon</w:t>
      </w:r>
      <w:proofErr w:type="spellEnd"/>
      <w:r w:rsidRPr="26F64964">
        <w:rPr>
          <w:rFonts w:asciiTheme="minorHAnsi" w:eastAsia="Calibri" w:hAnsiTheme="minorHAnsi" w:cstheme="minorBidi"/>
          <w:color w:val="212121"/>
          <w:lang w:val="en-US"/>
        </w:rPr>
        <w:t xml:space="preserve">, Choi &amp; </w:t>
      </w:r>
      <w:proofErr w:type="spellStart"/>
      <w:r w:rsidRPr="26F64964">
        <w:rPr>
          <w:rFonts w:asciiTheme="minorHAnsi" w:eastAsia="Calibri" w:hAnsiTheme="minorHAnsi" w:cstheme="minorBidi"/>
          <w:color w:val="212121"/>
          <w:lang w:val="en-US"/>
        </w:rPr>
        <w:t>Mohaisen</w:t>
      </w:r>
      <w:proofErr w:type="spellEnd"/>
      <w:r w:rsidRPr="26F64964">
        <w:rPr>
          <w:rFonts w:asciiTheme="minorHAnsi" w:eastAsia="Calibri" w:hAnsiTheme="minorHAnsi" w:cstheme="minorBidi"/>
          <w:color w:val="212121"/>
          <w:lang w:val="en-US"/>
        </w:rPr>
        <w:t xml:space="preserve">, 2021; </w:t>
      </w:r>
      <w:r w:rsidRPr="6A640EE8">
        <w:rPr>
          <w:rFonts w:asciiTheme="minorHAnsi" w:eastAsia="Calibri" w:hAnsiTheme="minorHAnsi" w:cstheme="minorBidi"/>
          <w:color w:val="212121"/>
          <w:highlight w:val="white"/>
          <w:lang w:val="en-US"/>
        </w:rPr>
        <w:t>Eno et al., 2019</w:t>
      </w:r>
      <w:r w:rsidRPr="26F64964">
        <w:rPr>
          <w:rFonts w:asciiTheme="minorHAnsi" w:eastAsia="Calibri" w:hAnsiTheme="minorHAnsi" w:cstheme="minorBidi"/>
          <w:color w:val="212121"/>
          <w:lang w:val="en-US"/>
        </w:rPr>
        <w:t xml:space="preserve">; </w:t>
      </w:r>
      <w:proofErr w:type="spellStart"/>
      <w:r w:rsidRPr="26F64964">
        <w:rPr>
          <w:rFonts w:asciiTheme="minorHAnsi" w:eastAsia="Calibri" w:hAnsiTheme="minorHAnsi" w:cstheme="minorBidi"/>
          <w:color w:val="212121"/>
          <w:lang w:val="en-US"/>
        </w:rPr>
        <w:t>Seh</w:t>
      </w:r>
      <w:proofErr w:type="spellEnd"/>
      <w:r w:rsidRPr="26F64964">
        <w:rPr>
          <w:rFonts w:asciiTheme="minorHAnsi" w:eastAsia="Calibri" w:hAnsiTheme="minorHAnsi" w:cstheme="minorBidi"/>
          <w:color w:val="212121"/>
          <w:lang w:val="en-US"/>
        </w:rPr>
        <w:t xml:space="preserve">, </w:t>
      </w:r>
      <w:proofErr w:type="spellStart"/>
      <w:r w:rsidRPr="26F64964">
        <w:rPr>
          <w:rFonts w:asciiTheme="minorHAnsi" w:eastAsia="Calibri" w:hAnsiTheme="minorHAnsi" w:cstheme="minorBidi"/>
          <w:color w:val="212121"/>
          <w:highlight w:val="white"/>
          <w:lang w:val="en-US"/>
        </w:rPr>
        <w:t>Zarour</w:t>
      </w:r>
      <w:proofErr w:type="spellEnd"/>
      <w:r w:rsidRPr="26F64964">
        <w:rPr>
          <w:rFonts w:asciiTheme="minorHAnsi" w:eastAsia="Calibri" w:hAnsiTheme="minorHAnsi" w:cstheme="minorBidi"/>
          <w:color w:val="212121"/>
          <w:highlight w:val="white"/>
          <w:lang w:val="en-US"/>
        </w:rPr>
        <w:t xml:space="preserve">, </w:t>
      </w:r>
      <w:proofErr w:type="spellStart"/>
      <w:r w:rsidRPr="26F64964">
        <w:rPr>
          <w:rFonts w:asciiTheme="minorHAnsi" w:eastAsia="Calibri" w:hAnsiTheme="minorHAnsi" w:cstheme="minorBidi"/>
          <w:color w:val="212121"/>
          <w:highlight w:val="white"/>
          <w:lang w:val="en-US"/>
        </w:rPr>
        <w:t>Alenezi</w:t>
      </w:r>
      <w:proofErr w:type="spellEnd"/>
      <w:r w:rsidRPr="26F64964">
        <w:rPr>
          <w:rFonts w:asciiTheme="minorHAnsi" w:eastAsia="Calibri" w:hAnsiTheme="minorHAnsi" w:cstheme="minorBidi"/>
          <w:color w:val="212121"/>
          <w:highlight w:val="white"/>
          <w:lang w:val="en-US"/>
        </w:rPr>
        <w:t>, Sarkar, Agrawal, Kumar &amp; Ahmad, 2020</w:t>
      </w:r>
      <w:r w:rsidRPr="26F64964">
        <w:rPr>
          <w:rFonts w:asciiTheme="minorHAnsi" w:eastAsia="Calibri" w:hAnsiTheme="minorHAnsi" w:cstheme="minorBidi"/>
          <w:color w:val="212121"/>
          <w:lang w:val="en-US"/>
        </w:rPr>
        <w:t xml:space="preserve">). According to research, </w:t>
      </w:r>
      <w:r w:rsidRPr="26F64964">
        <w:rPr>
          <w:rFonts w:asciiTheme="minorHAnsi" w:eastAsia="Calibri" w:hAnsiTheme="minorHAnsi" w:cstheme="minorBidi"/>
          <w:color w:val="212121"/>
          <w:highlight w:val="white"/>
          <w:lang w:val="en-US"/>
        </w:rPr>
        <w:t>healthcare data breaches of 500</w:t>
      </w:r>
      <w:r w:rsidRPr="26F64964">
        <w:rPr>
          <w:rFonts w:asciiTheme="minorHAnsi" w:eastAsia="Calibri" w:hAnsiTheme="minorHAnsi" w:cstheme="minorBidi"/>
          <w:color w:val="212121"/>
          <w:lang w:val="en-US"/>
        </w:rPr>
        <w:t xml:space="preserve"> and </w:t>
      </w:r>
      <w:r w:rsidRPr="26F64964">
        <w:rPr>
          <w:rFonts w:asciiTheme="minorHAnsi" w:eastAsia="Calibri" w:hAnsiTheme="minorHAnsi" w:cstheme="minorBidi"/>
          <w:color w:val="212121"/>
          <w:highlight w:val="white"/>
          <w:lang w:val="en-US"/>
        </w:rPr>
        <w:t>more were reported at a rate of around 1 per day</w:t>
      </w:r>
      <w:r w:rsidRPr="26F64964">
        <w:rPr>
          <w:rFonts w:asciiTheme="minorHAnsi" w:eastAsia="Calibri" w:hAnsiTheme="minorHAnsi" w:cstheme="minorBidi"/>
          <w:color w:val="212121"/>
          <w:lang w:val="en-US"/>
        </w:rPr>
        <w:t xml:space="preserve"> in 2018 </w:t>
      </w:r>
      <w:proofErr w:type="gramStart"/>
      <w:r w:rsidRPr="26F64964">
        <w:rPr>
          <w:rFonts w:asciiTheme="minorHAnsi" w:eastAsia="Calibri" w:hAnsiTheme="minorHAnsi" w:cstheme="minorBidi"/>
          <w:color w:val="212121"/>
          <w:lang w:val="en-US"/>
        </w:rPr>
        <w:t xml:space="preserve">and </w:t>
      </w:r>
      <w:r w:rsidR="00E52279" w:rsidRPr="26F64964">
        <w:rPr>
          <w:rFonts w:asciiTheme="minorHAnsi" w:eastAsia="Calibri" w:hAnsiTheme="minorHAnsi" w:cstheme="minorBidi"/>
          <w:color w:val="212121"/>
          <w:lang w:val="en-US"/>
        </w:rPr>
        <w:t xml:space="preserve"> </w:t>
      </w:r>
      <w:r w:rsidR="009C1731" w:rsidRPr="26F64964">
        <w:rPr>
          <w:rFonts w:asciiTheme="minorHAnsi" w:eastAsia="Calibri" w:hAnsiTheme="minorHAnsi" w:cstheme="minorBidi"/>
          <w:color w:val="212121"/>
          <w:lang w:val="en-US"/>
        </w:rPr>
        <w:t>have</w:t>
      </w:r>
      <w:proofErr w:type="gramEnd"/>
      <w:r w:rsidR="009C1731" w:rsidRPr="26F64964">
        <w:rPr>
          <w:rFonts w:asciiTheme="minorHAnsi" w:eastAsia="Calibri" w:hAnsiTheme="minorHAnsi" w:cstheme="minorBidi"/>
          <w:color w:val="212121"/>
          <w:lang w:val="en-US"/>
        </w:rPr>
        <w:t xml:space="preserve"> almost doubled since then</w:t>
      </w:r>
      <w:r w:rsidRPr="26F64964">
        <w:rPr>
          <w:rFonts w:asciiTheme="minorHAnsi" w:eastAsia="Calibri" w:hAnsiTheme="minorHAnsi" w:cstheme="minorBidi"/>
          <w:color w:val="212121"/>
          <w:lang w:val="en-US"/>
        </w:rPr>
        <w:t xml:space="preserve"> (</w:t>
      </w:r>
      <w:proofErr w:type="spellStart"/>
      <w:r w:rsidRPr="26F64964">
        <w:rPr>
          <w:rFonts w:asciiTheme="minorHAnsi" w:eastAsia="Calibri" w:hAnsiTheme="minorHAnsi" w:cstheme="minorBidi"/>
          <w:color w:val="212121"/>
          <w:lang w:val="en-US"/>
        </w:rPr>
        <w:t>Hippa</w:t>
      </w:r>
      <w:proofErr w:type="spellEnd"/>
      <w:r w:rsidRPr="26F64964">
        <w:rPr>
          <w:rFonts w:asciiTheme="minorHAnsi" w:eastAsia="Calibri" w:hAnsiTheme="minorHAnsi" w:cstheme="minorBidi"/>
          <w:color w:val="212121"/>
          <w:lang w:val="en-US"/>
        </w:rPr>
        <w:t xml:space="preserve"> Journal, </w:t>
      </w:r>
      <w:r w:rsidRPr="26F64964">
        <w:rPr>
          <w:rFonts w:asciiTheme="minorHAnsi" w:eastAsia="Calibri" w:hAnsiTheme="minorHAnsi" w:cstheme="minorBidi"/>
          <w:lang w:val="en-US"/>
        </w:rPr>
        <w:t>2023). With the rapid increase in data breaches, patients ar</w:t>
      </w:r>
      <w:r w:rsidR="00F75147" w:rsidRPr="26F64964">
        <w:rPr>
          <w:rFonts w:asciiTheme="minorHAnsi" w:eastAsia="Calibri" w:hAnsiTheme="minorHAnsi" w:cstheme="minorBidi"/>
          <w:lang w:val="en-US"/>
        </w:rPr>
        <w:t xml:space="preserve">e concerned with the </w:t>
      </w:r>
      <w:r w:rsidR="00134E71" w:rsidRPr="26F64964">
        <w:rPr>
          <w:rFonts w:asciiTheme="minorHAnsi" w:eastAsia="Calibri" w:hAnsiTheme="minorHAnsi" w:cstheme="minorBidi"/>
          <w:lang w:val="en-US"/>
        </w:rPr>
        <w:t>privacy</w:t>
      </w:r>
      <w:r w:rsidR="00F75147" w:rsidRPr="26F64964">
        <w:rPr>
          <w:rFonts w:asciiTheme="minorHAnsi" w:eastAsia="Calibri" w:hAnsiTheme="minorHAnsi" w:cstheme="minorBidi"/>
          <w:lang w:val="en-US"/>
        </w:rPr>
        <w:t xml:space="preserve"> and security of their data, which</w:t>
      </w:r>
      <w:r w:rsidR="00134E71" w:rsidRPr="26F64964">
        <w:rPr>
          <w:rFonts w:asciiTheme="minorHAnsi" w:eastAsia="Calibri" w:hAnsiTheme="minorHAnsi" w:cstheme="minorBidi"/>
          <w:lang w:val="en-US"/>
        </w:rPr>
        <w:t xml:space="preserve"> can deter individuals </w:t>
      </w:r>
      <w:r w:rsidRPr="26F64964">
        <w:rPr>
          <w:rFonts w:asciiTheme="minorHAnsi" w:eastAsia="Calibri" w:hAnsiTheme="minorHAnsi" w:cstheme="minorBidi"/>
          <w:lang w:val="en-US"/>
        </w:rPr>
        <w:t>from engaging with digital health technologies</w:t>
      </w:r>
      <w:r w:rsidR="00E15865" w:rsidRPr="26F64964">
        <w:rPr>
          <w:rFonts w:asciiTheme="minorHAnsi" w:eastAsia="Calibri" w:hAnsiTheme="minorHAnsi" w:cstheme="minorBidi"/>
          <w:lang w:val="en-US"/>
        </w:rPr>
        <w:t xml:space="preserve"> for transplant </w:t>
      </w:r>
      <w:r w:rsidR="00134E71" w:rsidRPr="26F64964">
        <w:rPr>
          <w:rFonts w:asciiTheme="minorHAnsi" w:eastAsia="Calibri" w:hAnsiTheme="minorHAnsi" w:cstheme="minorBidi"/>
          <w:lang w:val="en-US"/>
        </w:rPr>
        <w:t>purposes.</w:t>
      </w:r>
    </w:p>
    <w:p w14:paraId="54CCCC3E" w14:textId="691ED8BA" w:rsidR="008D31F8" w:rsidRPr="00821F5C" w:rsidRDefault="1CDDE930" w:rsidP="26F64964">
      <w:pPr>
        <w:spacing w:line="360" w:lineRule="auto"/>
        <w:jc w:val="both"/>
        <w:rPr>
          <w:rFonts w:asciiTheme="minorHAnsi" w:eastAsia="Calibri" w:hAnsiTheme="minorHAnsi" w:cstheme="minorBidi"/>
          <w:color w:val="000000" w:themeColor="text1"/>
          <w:lang w:val="en-US"/>
        </w:rPr>
      </w:pPr>
      <w:r w:rsidRPr="26F64964">
        <w:rPr>
          <w:rFonts w:asciiTheme="minorHAnsi" w:eastAsia="Calibri Light" w:hAnsiTheme="minorHAnsi" w:cstheme="minorBidi"/>
          <w:b/>
          <w:bCs/>
          <w:color w:val="000000" w:themeColor="text1"/>
          <w:lang w:val="en-US"/>
        </w:rPr>
        <w:t>Lack of human connection</w:t>
      </w:r>
      <w:r w:rsidR="005F095D" w:rsidRPr="26F64964">
        <w:rPr>
          <w:rFonts w:asciiTheme="minorHAnsi" w:eastAsia="Calibri" w:hAnsiTheme="minorHAnsi" w:cstheme="minorBidi"/>
          <w:color w:val="212121"/>
          <w:lang w:val="en-US"/>
        </w:rPr>
        <w:t xml:space="preserve">: </w:t>
      </w:r>
      <w:r w:rsidRPr="26F64964">
        <w:rPr>
          <w:rFonts w:asciiTheme="minorHAnsi" w:eastAsia="Calibri" w:hAnsiTheme="minorHAnsi" w:cstheme="minorBidi"/>
          <w:color w:val="212121"/>
          <w:lang w:val="en-US"/>
        </w:rPr>
        <w:t>It</w:t>
      </w:r>
      <w:r w:rsidR="00BA37FA" w:rsidRPr="26F64964">
        <w:rPr>
          <w:rFonts w:asciiTheme="minorHAnsi" w:eastAsia="Calibri" w:hAnsiTheme="minorHAnsi" w:cstheme="minorBidi"/>
          <w:color w:val="212121"/>
          <w:lang w:val="en-US"/>
        </w:rPr>
        <w:t xml:space="preserve"> i</w:t>
      </w:r>
      <w:r w:rsidRPr="26F64964">
        <w:rPr>
          <w:rFonts w:asciiTheme="minorHAnsi" w:eastAsia="Calibri" w:hAnsiTheme="minorHAnsi" w:cstheme="minorBidi"/>
          <w:color w:val="212121"/>
          <w:lang w:val="en-US"/>
        </w:rPr>
        <w:t xml:space="preserve">s human nature to crave connection and with the use of digital interventions within healthcare there is an absence of intimacy and relationships (Granja, Janssen &amp; Johansen, 2018). </w:t>
      </w:r>
      <w:r w:rsidR="00CA1995" w:rsidRPr="26F64964">
        <w:rPr>
          <w:rFonts w:asciiTheme="minorHAnsi" w:eastAsia="Calibri" w:hAnsiTheme="minorHAnsi" w:cstheme="minorBidi"/>
          <w:color w:val="212121"/>
          <w:lang w:val="en-US"/>
        </w:rPr>
        <w:t xml:space="preserve">For example, </w:t>
      </w:r>
      <w:r w:rsidR="00347ED0" w:rsidRPr="26F64964">
        <w:rPr>
          <w:rFonts w:asciiTheme="minorHAnsi" w:eastAsia="Calibri" w:hAnsiTheme="minorHAnsi" w:cstheme="minorBidi"/>
          <w:color w:val="212121"/>
          <w:lang w:val="en-US"/>
        </w:rPr>
        <w:t>i</w:t>
      </w:r>
      <w:r w:rsidRPr="26F64964">
        <w:rPr>
          <w:rFonts w:asciiTheme="minorHAnsi" w:eastAsia="Calibri" w:hAnsiTheme="minorHAnsi" w:cstheme="minorBidi"/>
          <w:color w:val="212121"/>
          <w:lang w:val="en-US"/>
        </w:rPr>
        <w:t>n a study, patient</w:t>
      </w:r>
      <w:r w:rsidR="00347ED0" w:rsidRPr="26F64964">
        <w:rPr>
          <w:rFonts w:asciiTheme="minorHAnsi" w:eastAsia="Calibri" w:hAnsiTheme="minorHAnsi" w:cstheme="minorBidi"/>
          <w:color w:val="212121"/>
          <w:lang w:val="en-US"/>
        </w:rPr>
        <w:t>s</w:t>
      </w:r>
      <w:r w:rsidRPr="26F64964">
        <w:rPr>
          <w:rFonts w:asciiTheme="minorHAnsi" w:eastAsia="Calibri" w:hAnsiTheme="minorHAnsi" w:cstheme="minorBidi"/>
          <w:color w:val="212121"/>
          <w:lang w:val="en-US"/>
        </w:rPr>
        <w:t xml:space="preserve"> mentioned how using eHealth tools felt impersonal and preferred in-person visits (Tang et al., 2022). Despite the costs associated with in-person visits, technology fails to provide the connection that patients seek (Tang et al., 2022).</w:t>
      </w:r>
    </w:p>
    <w:p w14:paraId="2D94F10F" w14:textId="1B22E5F1" w:rsidR="00875CBA" w:rsidRDefault="1CDDE930" w:rsidP="00821F5C">
      <w:pPr>
        <w:spacing w:line="360" w:lineRule="auto"/>
        <w:jc w:val="both"/>
        <w:rPr>
          <w:rFonts w:asciiTheme="minorHAnsi" w:eastAsia="Calibri" w:hAnsiTheme="minorHAnsi" w:cstheme="minorHAnsi"/>
          <w:lang w:val="en-US"/>
        </w:rPr>
      </w:pPr>
      <w:r w:rsidRPr="00821F5C">
        <w:rPr>
          <w:rFonts w:asciiTheme="minorHAnsi" w:eastAsia="Calibri Light" w:hAnsiTheme="minorHAnsi" w:cstheme="minorHAnsi"/>
          <w:b/>
          <w:bCs/>
          <w:color w:val="000000" w:themeColor="text1"/>
          <w:lang w:val="en-US"/>
        </w:rPr>
        <w:t>Outdated/Inconsistent Information</w:t>
      </w:r>
      <w:r w:rsidR="005F095D" w:rsidRPr="00821F5C">
        <w:rPr>
          <w:rFonts w:asciiTheme="minorHAnsi" w:eastAsia="Calibri" w:hAnsiTheme="minorHAnsi" w:cstheme="minorHAnsi"/>
          <w:color w:val="212121"/>
          <w:lang w:val="en-US"/>
        </w:rPr>
        <w:t xml:space="preserve">: </w:t>
      </w:r>
      <w:r w:rsidRPr="00975535">
        <w:rPr>
          <w:rFonts w:asciiTheme="minorHAnsi" w:eastAsia="Calibri" w:hAnsiTheme="minorHAnsi" w:cstheme="minorHAnsi"/>
          <w:lang w:val="en-US"/>
        </w:rPr>
        <w:t xml:space="preserve">A study revealed how patients found it difficult to engage and use digital technology for health services </w:t>
      </w:r>
      <w:r w:rsidR="00347ED0" w:rsidRPr="00975535">
        <w:rPr>
          <w:rFonts w:asciiTheme="minorHAnsi" w:eastAsia="Calibri" w:hAnsiTheme="minorHAnsi" w:cstheme="minorHAnsi"/>
          <w:lang w:val="en-US"/>
        </w:rPr>
        <w:t>such as</w:t>
      </w:r>
      <w:r w:rsidR="00CB24BF" w:rsidRPr="00975535">
        <w:rPr>
          <w:rFonts w:asciiTheme="minorHAnsi" w:eastAsia="Calibri" w:hAnsiTheme="minorHAnsi" w:cstheme="minorHAnsi"/>
          <w:lang w:val="en-US"/>
        </w:rPr>
        <w:t xml:space="preserve"> aftercare of the transplantation</w:t>
      </w:r>
      <w:r w:rsidR="00347ED0" w:rsidRPr="00975535">
        <w:rPr>
          <w:rFonts w:asciiTheme="minorHAnsi" w:eastAsia="Calibri" w:hAnsiTheme="minorHAnsi" w:cstheme="minorHAnsi"/>
          <w:lang w:val="en-US"/>
        </w:rPr>
        <w:t xml:space="preserve"> </w:t>
      </w:r>
      <w:r w:rsidRPr="00975535">
        <w:rPr>
          <w:rFonts w:asciiTheme="minorHAnsi" w:eastAsia="Calibri" w:hAnsiTheme="minorHAnsi" w:cstheme="minorHAnsi"/>
          <w:lang w:val="en-US"/>
        </w:rPr>
        <w:t>because of the inconsistency of information supplied by the clinical providers and eHealth tools (Tang et al., 2022). Inconsistency of information can lead to user frustration and reduce engagement with eHealth tools (Tang et al., 2022).</w:t>
      </w:r>
    </w:p>
    <w:p w14:paraId="6B459EB6" w14:textId="77777777" w:rsidR="00626F00" w:rsidRDefault="00626F00" w:rsidP="00821F5C">
      <w:pPr>
        <w:spacing w:line="360" w:lineRule="auto"/>
        <w:jc w:val="both"/>
        <w:rPr>
          <w:rFonts w:asciiTheme="minorHAnsi" w:eastAsia="Calibri" w:hAnsiTheme="minorHAnsi" w:cstheme="minorHAnsi"/>
          <w:lang w:val="en-US"/>
        </w:rPr>
      </w:pPr>
    </w:p>
    <w:p w14:paraId="7C19A567" w14:textId="77777777" w:rsidR="00626F00" w:rsidRDefault="00626F00" w:rsidP="00821F5C">
      <w:pPr>
        <w:spacing w:line="360" w:lineRule="auto"/>
        <w:jc w:val="both"/>
        <w:rPr>
          <w:rFonts w:asciiTheme="minorHAnsi" w:eastAsia="Calibri" w:hAnsiTheme="minorHAnsi" w:cstheme="minorHAnsi"/>
          <w:lang w:val="en-US"/>
        </w:rPr>
      </w:pPr>
    </w:p>
    <w:p w14:paraId="5A5460FD" w14:textId="77777777" w:rsidR="00626F00" w:rsidRPr="00975535" w:rsidRDefault="00626F00" w:rsidP="00821F5C">
      <w:pPr>
        <w:spacing w:line="360" w:lineRule="auto"/>
        <w:jc w:val="both"/>
        <w:rPr>
          <w:rFonts w:asciiTheme="minorHAnsi" w:eastAsia="Calibri" w:hAnsiTheme="minorHAnsi" w:cstheme="minorHAnsi"/>
          <w:lang w:val="en-US"/>
        </w:rPr>
      </w:pPr>
    </w:p>
    <w:p w14:paraId="588B25BC" w14:textId="3372B816" w:rsidR="00A56554" w:rsidRDefault="00A56554" w:rsidP="00A203D8">
      <w:pPr>
        <w:pStyle w:val="Heading2"/>
        <w:jc w:val="left"/>
        <w:rPr>
          <w:rFonts w:eastAsia="Times New Roman"/>
          <w:lang w:eastAsia="en-GB"/>
        </w:rPr>
      </w:pPr>
      <w:bookmarkStart w:id="27" w:name="_Toc166853992"/>
      <w:r>
        <w:rPr>
          <w:rFonts w:eastAsia="Times New Roman"/>
          <w:lang w:eastAsia="en-GB"/>
        </w:rPr>
        <w:lastRenderedPageBreak/>
        <w:t>4.2 Benefits of using health devices</w:t>
      </w:r>
      <w:bookmarkEnd w:id="27"/>
    </w:p>
    <w:p w14:paraId="06D64738" w14:textId="74B997BC" w:rsidR="00C124A2" w:rsidRPr="00975535" w:rsidRDefault="00E15AB3" w:rsidP="00B25179">
      <w:pPr>
        <w:spacing w:line="360" w:lineRule="auto"/>
        <w:jc w:val="both"/>
        <w:rPr>
          <w:rFonts w:ascii="Calibri" w:eastAsia="Times New Roman" w:hAnsi="Calibri" w:cs="Calibri"/>
          <w:lang w:eastAsia="en-GB"/>
        </w:rPr>
      </w:pPr>
      <w:r w:rsidRPr="00975535">
        <w:rPr>
          <w:rFonts w:ascii="Calibri" w:eastAsia="Times New Roman" w:hAnsi="Calibri" w:cs="Calibri"/>
          <w:lang w:val="en-US" w:eastAsia="en-GB"/>
        </w:rPr>
        <w:t>Out of</w:t>
      </w:r>
      <w:r w:rsidR="00896394" w:rsidRPr="00975535">
        <w:rPr>
          <w:rFonts w:ascii="Calibri" w:eastAsia="Times New Roman" w:hAnsi="Calibri" w:cs="Calibri"/>
          <w:lang w:val="en-US" w:eastAsia="en-GB"/>
        </w:rPr>
        <w:t xml:space="preserve"> </w:t>
      </w:r>
      <w:r w:rsidR="00896394" w:rsidRPr="00C67620">
        <w:rPr>
          <w:rFonts w:asciiTheme="minorHAnsi" w:eastAsia="Times New Roman" w:hAnsiTheme="minorHAnsi" w:cstheme="minorHAnsi"/>
          <w:lang w:val="en-US" w:eastAsia="en-GB"/>
        </w:rPr>
        <w:t>55</w:t>
      </w:r>
      <w:r w:rsidR="00C67620" w:rsidRPr="00C67620">
        <w:rPr>
          <w:rStyle w:val="CommentReference"/>
          <w:rFonts w:asciiTheme="minorHAnsi" w:hAnsiTheme="minorHAnsi" w:cstheme="minorHAnsi"/>
          <w:sz w:val="22"/>
          <w:szCs w:val="22"/>
        </w:rPr>
        <w:t xml:space="preserve"> </w:t>
      </w:r>
      <w:proofErr w:type="spellStart"/>
      <w:r w:rsidR="00C67620" w:rsidRPr="00C67620">
        <w:rPr>
          <w:rStyle w:val="CommentReference"/>
          <w:rFonts w:asciiTheme="minorHAnsi" w:hAnsiTheme="minorHAnsi" w:cstheme="minorHAnsi"/>
          <w:sz w:val="22"/>
          <w:szCs w:val="22"/>
        </w:rPr>
        <w:t>analy</w:t>
      </w:r>
      <w:r w:rsidR="00C67620">
        <w:rPr>
          <w:rStyle w:val="CommentReference"/>
          <w:rFonts w:asciiTheme="minorHAnsi" w:hAnsiTheme="minorHAnsi" w:cstheme="minorHAnsi"/>
          <w:sz w:val="22"/>
          <w:szCs w:val="22"/>
        </w:rPr>
        <w:t>z</w:t>
      </w:r>
      <w:r w:rsidR="00C67620" w:rsidRPr="00C67620">
        <w:rPr>
          <w:rStyle w:val="CommentReference"/>
          <w:rFonts w:asciiTheme="minorHAnsi" w:hAnsiTheme="minorHAnsi" w:cstheme="minorHAnsi"/>
          <w:sz w:val="22"/>
          <w:szCs w:val="22"/>
        </w:rPr>
        <w:t>ed</w:t>
      </w:r>
      <w:proofErr w:type="spellEnd"/>
      <w:r w:rsidR="00C67620" w:rsidRPr="00C67620">
        <w:rPr>
          <w:rStyle w:val="CommentReference"/>
          <w:rFonts w:asciiTheme="minorHAnsi" w:hAnsiTheme="minorHAnsi" w:cstheme="minorHAnsi"/>
          <w:sz w:val="22"/>
          <w:szCs w:val="22"/>
        </w:rPr>
        <w:t xml:space="preserve"> </w:t>
      </w:r>
      <w:r w:rsidR="00B25179" w:rsidRPr="00C67620">
        <w:rPr>
          <w:rFonts w:asciiTheme="minorHAnsi" w:eastAsia="Times New Roman" w:hAnsiTheme="minorHAnsi" w:cstheme="minorHAnsi"/>
          <w:lang w:val="en-US" w:eastAsia="en-GB"/>
        </w:rPr>
        <w:t>studies</w:t>
      </w:r>
      <w:r w:rsidRPr="00C67620">
        <w:rPr>
          <w:rFonts w:asciiTheme="minorHAnsi" w:eastAsia="Times New Roman" w:hAnsiTheme="minorHAnsi" w:cstheme="minorHAnsi"/>
          <w:lang w:val="en-US" w:eastAsia="en-GB"/>
        </w:rPr>
        <w:t>, 33</w:t>
      </w:r>
      <w:r w:rsidRPr="00975535">
        <w:rPr>
          <w:rFonts w:ascii="Calibri" w:eastAsia="Times New Roman" w:hAnsi="Calibri" w:cs="Calibri"/>
          <w:lang w:val="en-US" w:eastAsia="en-GB"/>
        </w:rPr>
        <w:t xml:space="preserve"> studies</w:t>
      </w:r>
      <w:r w:rsidR="00975535" w:rsidRPr="00975535">
        <w:rPr>
          <w:rFonts w:ascii="Calibri" w:eastAsia="Times New Roman" w:hAnsi="Calibri" w:cs="Calibri"/>
          <w:lang w:val="en-US" w:eastAsia="en-GB"/>
        </w:rPr>
        <w:t xml:space="preserve"> </w:t>
      </w:r>
      <w:r w:rsidR="00B25179" w:rsidRPr="00975535">
        <w:rPr>
          <w:rFonts w:ascii="Calibri" w:eastAsia="Times New Roman" w:hAnsi="Calibri" w:cs="Calibri"/>
          <w:lang w:val="en-US" w:eastAsia="en-GB"/>
        </w:rPr>
        <w:t xml:space="preserve">have identified various benefits of using health devices </w:t>
      </w:r>
      <w:r w:rsidR="004D7708" w:rsidRPr="00975535">
        <w:rPr>
          <w:rFonts w:ascii="Calibri" w:eastAsia="Times New Roman" w:hAnsi="Calibri" w:cs="Calibri"/>
          <w:lang w:val="en-US" w:eastAsia="en-GB"/>
        </w:rPr>
        <w:t xml:space="preserve">for </w:t>
      </w:r>
      <w:r w:rsidR="00B25179" w:rsidRPr="00975535">
        <w:rPr>
          <w:rFonts w:ascii="Calibri" w:eastAsia="Times New Roman" w:hAnsi="Calibri" w:cs="Calibri"/>
          <w:lang w:val="en-US" w:eastAsia="en-GB"/>
        </w:rPr>
        <w:t>transplantation</w:t>
      </w:r>
      <w:r w:rsidR="004D7708" w:rsidRPr="00975535">
        <w:rPr>
          <w:rFonts w:ascii="Calibri" w:eastAsia="Times New Roman" w:hAnsi="Calibri" w:cs="Calibri"/>
          <w:lang w:val="en-US" w:eastAsia="en-GB"/>
        </w:rPr>
        <w:t xml:space="preserve"> purposes</w:t>
      </w:r>
      <w:r w:rsidR="00B25179" w:rsidRPr="00975535">
        <w:rPr>
          <w:rFonts w:ascii="Calibri" w:eastAsia="Times New Roman" w:hAnsi="Calibri" w:cs="Calibri"/>
          <w:lang w:val="en-US" w:eastAsia="en-GB"/>
        </w:rPr>
        <w:t xml:space="preserve">. These findings have been grouped into </w:t>
      </w:r>
      <w:r w:rsidR="00E1291F" w:rsidRPr="00975535">
        <w:rPr>
          <w:rFonts w:ascii="Calibri" w:eastAsia="Times New Roman" w:hAnsi="Calibri" w:cs="Calibri"/>
          <w:lang w:val="en-US" w:eastAsia="en-GB"/>
        </w:rPr>
        <w:t xml:space="preserve">four main </w:t>
      </w:r>
      <w:r w:rsidR="00B25179" w:rsidRPr="00975535">
        <w:rPr>
          <w:rFonts w:ascii="Calibri" w:eastAsia="Times New Roman" w:hAnsi="Calibri" w:cs="Calibri"/>
          <w:lang w:val="en-US" w:eastAsia="en-GB"/>
        </w:rPr>
        <w:t xml:space="preserve">categories: (1) </w:t>
      </w:r>
      <w:r w:rsidR="00E1291F" w:rsidRPr="00975535">
        <w:rPr>
          <w:rFonts w:ascii="Calibri" w:eastAsia="Times New Roman" w:hAnsi="Calibri" w:cs="Calibri"/>
          <w:lang w:val="en-US" w:eastAsia="en-GB"/>
        </w:rPr>
        <w:t>i</w:t>
      </w:r>
      <w:r w:rsidR="00B25179" w:rsidRPr="00975535">
        <w:rPr>
          <w:rFonts w:ascii="Calibri" w:eastAsia="Times New Roman" w:hAnsi="Calibri" w:cs="Calibri"/>
          <w:lang w:val="en-US" w:eastAsia="en-GB"/>
        </w:rPr>
        <w:t xml:space="preserve">mproving patient care and engagement, (2) convenience and accessibility, (3) empowerment and safety and (4) </w:t>
      </w:r>
      <w:r w:rsidR="00E1291F" w:rsidRPr="00975535">
        <w:rPr>
          <w:rFonts w:ascii="Calibri" w:eastAsia="Times New Roman" w:hAnsi="Calibri" w:cs="Calibri"/>
          <w:lang w:val="en-US" w:eastAsia="en-GB"/>
        </w:rPr>
        <w:t>c</w:t>
      </w:r>
      <w:r w:rsidR="00B25179" w:rsidRPr="00975535">
        <w:rPr>
          <w:rFonts w:ascii="Calibri" w:eastAsia="Times New Roman" w:hAnsi="Calibri" w:cs="Calibri"/>
          <w:lang w:val="en-US" w:eastAsia="en-GB"/>
        </w:rPr>
        <w:t>ost-</w:t>
      </w:r>
      <w:r w:rsidR="00E1291F" w:rsidRPr="00975535">
        <w:rPr>
          <w:rFonts w:ascii="Calibri" w:eastAsia="Times New Roman" w:hAnsi="Calibri" w:cs="Calibri"/>
          <w:lang w:val="en-US" w:eastAsia="en-GB"/>
        </w:rPr>
        <w:t>e</w:t>
      </w:r>
      <w:r w:rsidR="00B25179" w:rsidRPr="00975535">
        <w:rPr>
          <w:rFonts w:ascii="Calibri" w:eastAsia="Times New Roman" w:hAnsi="Calibri" w:cs="Calibri"/>
          <w:lang w:val="en-US" w:eastAsia="en-GB"/>
        </w:rPr>
        <w:t xml:space="preserve">fficiency and </w:t>
      </w:r>
      <w:proofErr w:type="gramStart"/>
      <w:r w:rsidR="00E52279" w:rsidRPr="00975535">
        <w:rPr>
          <w:rFonts w:ascii="Calibri" w:eastAsia="Times New Roman" w:hAnsi="Calibri" w:cs="Calibri"/>
          <w:lang w:val="en-US" w:eastAsia="en-GB"/>
        </w:rPr>
        <w:t>time</w:t>
      </w:r>
      <w:r w:rsidR="00E52279">
        <w:rPr>
          <w:rFonts w:ascii="Calibri" w:eastAsia="Times New Roman" w:hAnsi="Calibri" w:cs="Calibri"/>
          <w:lang w:val="en-US" w:eastAsia="en-GB"/>
        </w:rPr>
        <w:t>-</w:t>
      </w:r>
      <w:r w:rsidR="00E1291F" w:rsidRPr="00975535">
        <w:rPr>
          <w:rFonts w:ascii="Calibri" w:eastAsia="Times New Roman" w:hAnsi="Calibri" w:cs="Calibri"/>
          <w:lang w:val="en-US" w:eastAsia="en-GB"/>
        </w:rPr>
        <w:t>s</w:t>
      </w:r>
      <w:r w:rsidR="00B25179" w:rsidRPr="00975535">
        <w:rPr>
          <w:rFonts w:ascii="Calibri" w:eastAsia="Times New Roman" w:hAnsi="Calibri" w:cs="Calibri"/>
          <w:lang w:val="en-US" w:eastAsia="en-GB"/>
        </w:rPr>
        <w:t>aving</w:t>
      </w:r>
      <w:proofErr w:type="gramEnd"/>
      <w:r w:rsidR="00B25179" w:rsidRPr="00975535">
        <w:rPr>
          <w:rFonts w:ascii="Calibri" w:eastAsia="Times New Roman" w:hAnsi="Calibri" w:cs="Calibri"/>
          <w:lang w:val="en-US" w:eastAsia="en-GB"/>
        </w:rPr>
        <w:t>.</w:t>
      </w:r>
    </w:p>
    <w:p w14:paraId="1F07AB85" w14:textId="648F6C50" w:rsidR="00C124A2" w:rsidRDefault="00B25179" w:rsidP="00B25179">
      <w:pPr>
        <w:pStyle w:val="Heading3"/>
        <w:jc w:val="left"/>
        <w:rPr>
          <w:rFonts w:eastAsia="Times New Roman"/>
          <w:lang w:eastAsia="en-GB"/>
        </w:rPr>
      </w:pPr>
      <w:bookmarkStart w:id="28" w:name="_Toc166853993"/>
      <w:r>
        <w:rPr>
          <w:rFonts w:eastAsia="Times New Roman"/>
          <w:lang w:eastAsia="en-GB"/>
        </w:rPr>
        <w:t>4.2.1 Improving patient care and engagement</w:t>
      </w:r>
      <w:bookmarkEnd w:id="28"/>
    </w:p>
    <w:p w14:paraId="77607C55" w14:textId="56F89F3A" w:rsidR="00487EF8" w:rsidRDefault="00FC2702" w:rsidP="00FE655C">
      <w:pPr>
        <w:spacing w:line="360" w:lineRule="auto"/>
        <w:jc w:val="both"/>
        <w:rPr>
          <w:rFonts w:ascii="Calibri" w:eastAsia="Times New Roman" w:hAnsi="Calibri" w:cs="Calibri"/>
          <w:color w:val="212121"/>
          <w:lang w:val="en-GB" w:eastAsia="en-GB"/>
        </w:rPr>
      </w:pPr>
      <w:r w:rsidRPr="26F64964">
        <w:rPr>
          <w:rFonts w:ascii="Calibri" w:eastAsia="Times New Roman" w:hAnsi="Calibri" w:cs="Calibri"/>
          <w:color w:val="212121"/>
          <w:lang w:val="en-GB" w:eastAsia="en-GB"/>
        </w:rPr>
        <w:t>Using health devices revolutionizes patient care and engagement by fostering a comprehensive approach to healthcare (</w:t>
      </w:r>
      <w:r w:rsidRPr="6A640EE8">
        <w:rPr>
          <w:rFonts w:ascii="Calibri" w:eastAsia="Times New Roman" w:hAnsi="Calibri" w:cs="Calibri"/>
          <w:color w:val="212121"/>
          <w:highlight w:val="white"/>
          <w:lang w:val="en-GB" w:eastAsia="en-GB"/>
        </w:rPr>
        <w:t>Gonzales, Fleming, Gebregziabher, Salas,</w:t>
      </w:r>
      <w:r w:rsidRPr="6A640EE8">
        <w:rPr>
          <w:rFonts w:ascii="Calibri" w:eastAsia="Times New Roman" w:hAnsi="Calibri" w:cs="Calibri"/>
          <w:color w:val="212121"/>
          <w:lang w:val="en-GB" w:eastAsia="en-GB"/>
        </w:rPr>
        <w:t xml:space="preserve"> </w:t>
      </w:r>
      <w:r w:rsidRPr="6A640EE8">
        <w:rPr>
          <w:rFonts w:ascii="Calibri" w:eastAsia="Times New Roman" w:hAnsi="Calibri" w:cs="Calibri"/>
          <w:color w:val="212121"/>
          <w:highlight w:val="white"/>
          <w:lang w:val="en-GB" w:eastAsia="en-GB"/>
        </w:rPr>
        <w:t>McGillicuddy &amp; Taber, 2022</w:t>
      </w:r>
      <w:r w:rsidRPr="26F64964">
        <w:rPr>
          <w:rFonts w:ascii="Calibri" w:eastAsia="Times New Roman" w:hAnsi="Calibri" w:cs="Calibri"/>
          <w:color w:val="212121"/>
          <w:lang w:val="en-GB" w:eastAsia="en-GB"/>
        </w:rPr>
        <w:t xml:space="preserve">). </w:t>
      </w:r>
      <w:r w:rsidR="00C45C3F" w:rsidRPr="26F64964">
        <w:rPr>
          <w:rFonts w:ascii="Calibri" w:eastAsia="Times New Roman" w:hAnsi="Calibri" w:cs="Calibri"/>
          <w:color w:val="212121"/>
          <w:lang w:val="en-GB" w:eastAsia="en-GB"/>
        </w:rPr>
        <w:t>Several s</w:t>
      </w:r>
      <w:r w:rsidRPr="26F64964">
        <w:rPr>
          <w:rFonts w:ascii="Calibri" w:eastAsia="Times New Roman" w:hAnsi="Calibri" w:cs="Calibri"/>
          <w:color w:val="212121"/>
          <w:lang w:val="en-GB" w:eastAsia="en-GB"/>
        </w:rPr>
        <w:t>tudies within th</w:t>
      </w:r>
      <w:r w:rsidR="00C45C3F" w:rsidRPr="26F64964">
        <w:rPr>
          <w:rFonts w:ascii="Calibri" w:eastAsia="Times New Roman" w:hAnsi="Calibri" w:cs="Calibri"/>
          <w:color w:val="212121"/>
          <w:lang w:val="en-GB" w:eastAsia="en-GB"/>
        </w:rPr>
        <w:t>is</w:t>
      </w:r>
      <w:r w:rsidRPr="26F64964">
        <w:rPr>
          <w:rFonts w:ascii="Calibri" w:eastAsia="Times New Roman" w:hAnsi="Calibri" w:cs="Calibri"/>
          <w:color w:val="212121"/>
          <w:lang w:val="en-GB" w:eastAsia="en-GB"/>
        </w:rPr>
        <w:t xml:space="preserve"> systematic literature </w:t>
      </w:r>
      <w:r w:rsidR="00C45C3F" w:rsidRPr="26F64964">
        <w:rPr>
          <w:rFonts w:ascii="Calibri" w:eastAsia="Times New Roman" w:hAnsi="Calibri" w:cs="Calibri"/>
          <w:color w:val="212121"/>
          <w:lang w:val="en-GB" w:eastAsia="en-GB"/>
        </w:rPr>
        <w:t xml:space="preserve">review </w:t>
      </w:r>
      <w:r w:rsidRPr="26F64964">
        <w:rPr>
          <w:rFonts w:ascii="Calibri" w:eastAsia="Times New Roman" w:hAnsi="Calibri" w:cs="Calibri"/>
          <w:color w:val="212121"/>
          <w:lang w:val="en-GB" w:eastAsia="en-GB"/>
        </w:rPr>
        <w:t xml:space="preserve">have identified that the use of health devices </w:t>
      </w:r>
      <w:r w:rsidR="00E52279" w:rsidRPr="26F64964">
        <w:rPr>
          <w:rFonts w:ascii="Calibri" w:eastAsia="Times New Roman" w:hAnsi="Calibri" w:cs="Calibri"/>
          <w:color w:val="212121"/>
          <w:lang w:val="en-GB" w:eastAsia="en-GB"/>
        </w:rPr>
        <w:t xml:space="preserve">has </w:t>
      </w:r>
      <w:r w:rsidRPr="26F64964">
        <w:rPr>
          <w:rFonts w:ascii="Calibri" w:eastAsia="Times New Roman" w:hAnsi="Calibri" w:cs="Calibri"/>
          <w:color w:val="212121"/>
          <w:lang w:val="en-GB" w:eastAsia="en-GB"/>
        </w:rPr>
        <w:t xml:space="preserve">helped facilitate and improve patient access to pharmacy care, improve medical adherence and </w:t>
      </w:r>
      <w:r w:rsidR="00991065" w:rsidRPr="26F64964">
        <w:rPr>
          <w:rFonts w:ascii="Calibri" w:eastAsia="Times New Roman" w:hAnsi="Calibri" w:cs="Calibri"/>
          <w:color w:val="212121"/>
          <w:lang w:val="en-GB" w:eastAsia="en-GB"/>
        </w:rPr>
        <w:t xml:space="preserve">ensure </w:t>
      </w:r>
      <w:r w:rsidRPr="26F64964">
        <w:rPr>
          <w:rFonts w:ascii="Calibri" w:eastAsia="Times New Roman" w:hAnsi="Calibri" w:cs="Calibri"/>
          <w:color w:val="212121"/>
          <w:lang w:val="en-GB" w:eastAsia="en-GB"/>
        </w:rPr>
        <w:t>the accuracy of medication lists (</w:t>
      </w:r>
      <w:r w:rsidR="00C45C3F" w:rsidRPr="26F64964">
        <w:rPr>
          <w:rFonts w:ascii="Calibri" w:eastAsia="Times New Roman" w:hAnsi="Calibri" w:cs="Calibri"/>
          <w:color w:val="212121"/>
          <w:lang w:val="en-GB" w:eastAsia="en-GB"/>
        </w:rPr>
        <w:t xml:space="preserve">e.g., </w:t>
      </w:r>
      <w:proofErr w:type="spellStart"/>
      <w:r w:rsidRPr="26F64964">
        <w:rPr>
          <w:rFonts w:ascii="Calibri" w:eastAsia="Times New Roman" w:hAnsi="Calibri" w:cs="Calibri"/>
          <w:color w:val="212121"/>
          <w:lang w:val="en-GB" w:eastAsia="en-GB"/>
        </w:rPr>
        <w:t>Holderried</w:t>
      </w:r>
      <w:proofErr w:type="spellEnd"/>
      <w:r w:rsidR="001A34BA" w:rsidRPr="26F64964">
        <w:rPr>
          <w:rFonts w:ascii="Calibri" w:eastAsia="Times New Roman" w:hAnsi="Calibri" w:cs="Calibri"/>
          <w:color w:val="212121"/>
          <w:lang w:val="en-GB" w:eastAsia="en-GB"/>
        </w:rPr>
        <w:t xml:space="preserve"> et al., </w:t>
      </w:r>
      <w:r w:rsidRPr="26F64964">
        <w:rPr>
          <w:rFonts w:ascii="Calibri" w:eastAsia="Times New Roman" w:hAnsi="Calibri" w:cs="Calibri"/>
          <w:color w:val="212121"/>
          <w:lang w:val="en-GB" w:eastAsia="en-GB"/>
        </w:rPr>
        <w:t xml:space="preserve">2021; Killian, Clifford, </w:t>
      </w:r>
      <w:proofErr w:type="spellStart"/>
      <w:r w:rsidRPr="26F64964">
        <w:rPr>
          <w:rFonts w:ascii="Calibri" w:eastAsia="Times New Roman" w:hAnsi="Calibri" w:cs="Calibri"/>
          <w:color w:val="212121"/>
          <w:lang w:val="en-GB" w:eastAsia="en-GB"/>
        </w:rPr>
        <w:t>Lustria</w:t>
      </w:r>
      <w:proofErr w:type="spellEnd"/>
      <w:r w:rsidRPr="26F64964">
        <w:rPr>
          <w:rFonts w:ascii="Calibri" w:eastAsia="Times New Roman" w:hAnsi="Calibri" w:cs="Calibri"/>
          <w:color w:val="212121"/>
          <w:lang w:val="en-GB" w:eastAsia="en-GB"/>
        </w:rPr>
        <w:t xml:space="preserve">, Skivington &amp; Gupta, 2022; Killian, </w:t>
      </w:r>
      <w:proofErr w:type="spellStart"/>
      <w:r w:rsidRPr="26F64964">
        <w:rPr>
          <w:rFonts w:ascii="Calibri" w:eastAsia="Times New Roman" w:hAnsi="Calibri" w:cs="Calibri"/>
          <w:color w:val="212121"/>
          <w:lang w:val="en-GB" w:eastAsia="en-GB"/>
        </w:rPr>
        <w:t>Schelbe</w:t>
      </w:r>
      <w:proofErr w:type="spellEnd"/>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Lustria</w:t>
      </w:r>
      <w:proofErr w:type="spellEnd"/>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Watkivs</w:t>
      </w:r>
      <w:proofErr w:type="spellEnd"/>
      <w:r w:rsidRPr="26F64964">
        <w:rPr>
          <w:rFonts w:ascii="Calibri" w:eastAsia="Times New Roman" w:hAnsi="Calibri" w:cs="Calibri"/>
          <w:color w:val="212121"/>
          <w:lang w:val="en-GB" w:eastAsia="en-GB"/>
        </w:rPr>
        <w:t xml:space="preserve"> &amp; Gupta, 2023; </w:t>
      </w:r>
      <w:r w:rsidRPr="6A640EE8">
        <w:rPr>
          <w:rFonts w:ascii="Calibri" w:eastAsia="Times New Roman" w:hAnsi="Calibri" w:cs="Calibri"/>
          <w:color w:val="212121"/>
          <w:highlight w:val="white"/>
          <w:lang w:val="en-GB" w:eastAsia="en-GB"/>
        </w:rPr>
        <w:t>Park, Kim, Waldman, Marks &amp; Clark, 2021</w:t>
      </w:r>
      <w:r w:rsidR="00F860AB" w:rsidRPr="26F64964">
        <w:rPr>
          <w:rFonts w:ascii="Calibri" w:eastAsia="Times New Roman" w:hAnsi="Calibri" w:cs="Calibri"/>
          <w:color w:val="212121"/>
          <w:lang w:val="en-GB" w:eastAsia="en-GB"/>
        </w:rPr>
        <w:t xml:space="preserve"> Sayegh, </w:t>
      </w:r>
      <w:proofErr w:type="spellStart"/>
      <w:r w:rsidR="00F860AB" w:rsidRPr="26F64964">
        <w:rPr>
          <w:rFonts w:ascii="Calibri" w:eastAsia="Times New Roman" w:hAnsi="Calibri" w:cs="Calibri"/>
          <w:color w:val="212121"/>
          <w:lang w:val="en-GB" w:eastAsia="en-GB"/>
        </w:rPr>
        <w:t>Im</w:t>
      </w:r>
      <w:proofErr w:type="spellEnd"/>
      <w:r w:rsidR="00F860AB" w:rsidRPr="26F64964">
        <w:rPr>
          <w:rFonts w:ascii="Calibri" w:eastAsia="Times New Roman" w:hAnsi="Calibri" w:cs="Calibri"/>
          <w:color w:val="212121"/>
          <w:lang w:val="en-GB" w:eastAsia="en-GB"/>
        </w:rPr>
        <w:t xml:space="preserve">, Moss, </w:t>
      </w:r>
      <w:proofErr w:type="spellStart"/>
      <w:r w:rsidR="00F860AB" w:rsidRPr="26F64964">
        <w:rPr>
          <w:rFonts w:ascii="Calibri" w:eastAsia="Times New Roman" w:hAnsi="Calibri" w:cs="Calibri"/>
          <w:color w:val="212121"/>
          <w:lang w:val="en-GB" w:eastAsia="en-GB"/>
        </w:rPr>
        <w:t>Urquiza</w:t>
      </w:r>
      <w:proofErr w:type="spellEnd"/>
      <w:r w:rsidR="00F860AB" w:rsidRPr="26F64964">
        <w:rPr>
          <w:rFonts w:ascii="Calibri" w:eastAsia="Times New Roman" w:hAnsi="Calibri" w:cs="Calibri"/>
          <w:color w:val="212121"/>
          <w:lang w:val="en-GB" w:eastAsia="en-GB"/>
        </w:rPr>
        <w:t>, Patel &amp; Thomas, 2022;</w:t>
      </w:r>
      <w:r w:rsidRPr="26F64964">
        <w:rPr>
          <w:rFonts w:ascii="Calibri" w:eastAsia="Times New Roman" w:hAnsi="Calibri" w:cs="Calibri"/>
          <w:color w:val="212121"/>
          <w:lang w:val="en-GB" w:eastAsia="en-GB"/>
        </w:rPr>
        <w:t xml:space="preserve">). </w:t>
      </w:r>
      <w:r w:rsidR="00487EF8" w:rsidRPr="26F64964">
        <w:rPr>
          <w:rFonts w:ascii="Calibri" w:eastAsia="Times New Roman" w:hAnsi="Calibri" w:cs="Calibri"/>
          <w:color w:val="212121"/>
          <w:lang w:val="en-GB" w:eastAsia="en-GB"/>
        </w:rPr>
        <w:t>Previous stud</w:t>
      </w:r>
      <w:r w:rsidR="002F7B88" w:rsidRPr="26F64964">
        <w:rPr>
          <w:rFonts w:ascii="Calibri" w:eastAsia="Times New Roman" w:hAnsi="Calibri" w:cs="Calibri"/>
          <w:color w:val="212121"/>
          <w:lang w:val="en-GB" w:eastAsia="en-GB"/>
        </w:rPr>
        <w:t>ies have highlighted that t</w:t>
      </w:r>
      <w:r w:rsidRPr="26F64964">
        <w:rPr>
          <w:rFonts w:ascii="Calibri" w:eastAsia="Times New Roman" w:hAnsi="Calibri" w:cs="Calibri"/>
          <w:color w:val="212121"/>
          <w:lang w:val="en-GB" w:eastAsia="en-GB"/>
        </w:rPr>
        <w:t xml:space="preserve">he use of health devices </w:t>
      </w:r>
      <w:r w:rsidR="00991065" w:rsidRPr="26F64964">
        <w:rPr>
          <w:rFonts w:ascii="Calibri" w:eastAsia="Times New Roman" w:hAnsi="Calibri" w:cs="Calibri"/>
          <w:color w:val="212121"/>
          <w:lang w:val="en-GB" w:eastAsia="en-GB"/>
        </w:rPr>
        <w:t xml:space="preserve">has </w:t>
      </w:r>
      <w:r w:rsidRPr="26F64964">
        <w:rPr>
          <w:rFonts w:ascii="Calibri" w:eastAsia="Times New Roman" w:hAnsi="Calibri" w:cs="Calibri"/>
          <w:color w:val="212121"/>
          <w:lang w:val="en-GB" w:eastAsia="en-GB"/>
        </w:rPr>
        <w:t xml:space="preserve">been linked to </w:t>
      </w:r>
      <w:r w:rsidR="00F67EA1" w:rsidRPr="26F64964">
        <w:rPr>
          <w:rFonts w:ascii="Calibri" w:eastAsia="Times New Roman" w:hAnsi="Calibri" w:cs="Calibri"/>
          <w:lang w:val="en-GB" w:eastAsia="en-GB"/>
        </w:rPr>
        <w:t xml:space="preserve">encouraging </w:t>
      </w:r>
      <w:r w:rsidRPr="26F64964">
        <w:rPr>
          <w:rFonts w:ascii="Calibri" w:eastAsia="Times New Roman" w:hAnsi="Calibri" w:cs="Calibri"/>
          <w:color w:val="212121"/>
          <w:lang w:val="en-GB" w:eastAsia="en-GB"/>
        </w:rPr>
        <w:t>patients through enhanced self-management, early detection of symptoms, and the ability to report outcomes for preventative strategies, thus promoting proactive healthcare (</w:t>
      </w:r>
      <w:r w:rsidR="00487EF8" w:rsidRPr="26F64964">
        <w:rPr>
          <w:rFonts w:ascii="Calibri" w:eastAsia="Times New Roman" w:hAnsi="Calibri" w:cs="Calibri"/>
          <w:color w:val="212121"/>
          <w:lang w:val="en-GB" w:eastAsia="en-GB"/>
        </w:rPr>
        <w:t xml:space="preserve">e.g., </w:t>
      </w:r>
      <w:proofErr w:type="spellStart"/>
      <w:r w:rsidRPr="6A640EE8">
        <w:rPr>
          <w:rFonts w:ascii="Calibri" w:eastAsia="Times New Roman" w:hAnsi="Calibri" w:cs="Calibri"/>
          <w:color w:val="212121"/>
          <w:highlight w:val="white"/>
          <w:lang w:val="en-GB" w:eastAsia="en-GB"/>
        </w:rPr>
        <w:t>Erez</w:t>
      </w:r>
      <w:proofErr w:type="spellEnd"/>
      <w:r w:rsidRPr="6A640EE8">
        <w:rPr>
          <w:rFonts w:ascii="Calibri" w:eastAsia="Times New Roman" w:hAnsi="Calibri" w:cs="Calibri"/>
          <w:color w:val="212121"/>
          <w:highlight w:val="white"/>
          <w:lang w:val="en-GB" w:eastAsia="en-GB"/>
        </w:rPr>
        <w:t xml:space="preserve">, </w:t>
      </w:r>
      <w:proofErr w:type="spellStart"/>
      <w:r w:rsidRPr="6A640EE8">
        <w:rPr>
          <w:rFonts w:ascii="Calibri" w:eastAsia="Times New Roman" w:hAnsi="Calibri" w:cs="Calibri"/>
          <w:color w:val="212121"/>
          <w:highlight w:val="white"/>
          <w:lang w:val="en-GB" w:eastAsia="en-GB"/>
        </w:rPr>
        <w:t>Derwick</w:t>
      </w:r>
      <w:proofErr w:type="spellEnd"/>
      <w:r w:rsidRPr="6A640EE8">
        <w:rPr>
          <w:rFonts w:ascii="Calibri" w:eastAsia="Times New Roman" w:hAnsi="Calibri" w:cs="Calibri"/>
          <w:color w:val="212121"/>
          <w:highlight w:val="white"/>
          <w:lang w:val="en-GB" w:eastAsia="en-GB"/>
        </w:rPr>
        <w:t xml:space="preserve">, Furth, </w:t>
      </w:r>
      <w:proofErr w:type="spellStart"/>
      <w:r w:rsidRPr="6A640EE8">
        <w:rPr>
          <w:rFonts w:ascii="Calibri" w:eastAsia="Times New Roman" w:hAnsi="Calibri" w:cs="Calibri"/>
          <w:color w:val="212121"/>
          <w:highlight w:val="white"/>
          <w:lang w:val="en-GB" w:eastAsia="en-GB"/>
        </w:rPr>
        <w:t>Ballester</w:t>
      </w:r>
      <w:proofErr w:type="spellEnd"/>
      <w:r w:rsidRPr="6A640EE8">
        <w:rPr>
          <w:rFonts w:ascii="Calibri" w:eastAsia="Times New Roman" w:hAnsi="Calibri" w:cs="Calibri"/>
          <w:color w:val="212121"/>
          <w:highlight w:val="white"/>
          <w:lang w:val="en-GB" w:eastAsia="en-GB"/>
        </w:rPr>
        <w:t xml:space="preserve">, </w:t>
      </w:r>
      <w:proofErr w:type="spellStart"/>
      <w:r w:rsidRPr="6A640EE8">
        <w:rPr>
          <w:rFonts w:ascii="Calibri" w:eastAsia="Times New Roman" w:hAnsi="Calibri" w:cs="Calibri"/>
          <w:color w:val="212121"/>
          <w:highlight w:val="white"/>
          <w:lang w:val="en-GB" w:eastAsia="en-GB"/>
        </w:rPr>
        <w:t>Omuemu</w:t>
      </w:r>
      <w:proofErr w:type="spellEnd"/>
      <w:r w:rsidRPr="6A640EE8">
        <w:rPr>
          <w:rFonts w:ascii="Calibri" w:eastAsia="Times New Roman" w:hAnsi="Calibri" w:cs="Calibri"/>
          <w:color w:val="212121"/>
          <w:highlight w:val="white"/>
          <w:lang w:val="en-GB" w:eastAsia="en-GB"/>
        </w:rPr>
        <w:t xml:space="preserve">, </w:t>
      </w:r>
      <w:proofErr w:type="spellStart"/>
      <w:r w:rsidRPr="6A640EE8">
        <w:rPr>
          <w:rFonts w:ascii="Calibri" w:eastAsia="Times New Roman" w:hAnsi="Calibri" w:cs="Calibri"/>
          <w:color w:val="212121"/>
          <w:highlight w:val="white"/>
          <w:lang w:val="en-GB" w:eastAsia="en-GB"/>
        </w:rPr>
        <w:t>Adiri</w:t>
      </w:r>
      <w:proofErr w:type="spellEnd"/>
      <w:r w:rsidRPr="6A640EE8">
        <w:rPr>
          <w:rFonts w:ascii="Calibri" w:eastAsia="Times New Roman" w:hAnsi="Calibri" w:cs="Calibri"/>
          <w:color w:val="212121"/>
          <w:highlight w:val="white"/>
          <w:lang w:val="en-GB" w:eastAsia="en-GB"/>
        </w:rPr>
        <w:t xml:space="preserve">, Mink &amp; </w:t>
      </w:r>
      <w:proofErr w:type="spellStart"/>
      <w:r w:rsidRPr="6A640EE8">
        <w:rPr>
          <w:rFonts w:ascii="Calibri" w:eastAsia="Times New Roman" w:hAnsi="Calibri" w:cs="Calibri"/>
          <w:color w:val="212121"/>
          <w:highlight w:val="white"/>
          <w:lang w:val="en-GB" w:eastAsia="en-GB"/>
        </w:rPr>
        <w:t>Denburg</w:t>
      </w:r>
      <w:proofErr w:type="spellEnd"/>
      <w:r w:rsidRPr="6A640EE8">
        <w:rPr>
          <w:rFonts w:ascii="Calibri" w:eastAsia="Times New Roman" w:hAnsi="Calibri" w:cs="Calibri"/>
          <w:color w:val="212121"/>
          <w:highlight w:val="white"/>
          <w:lang w:val="en-GB" w:eastAsia="en-GB"/>
        </w:rPr>
        <w:t>, 2023</w:t>
      </w:r>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Gomis</w:t>
      </w:r>
      <w:proofErr w:type="spellEnd"/>
      <w:r w:rsidRPr="26F64964">
        <w:rPr>
          <w:rFonts w:ascii="Calibri" w:eastAsia="Times New Roman" w:hAnsi="Calibri" w:cs="Calibri"/>
          <w:color w:val="212121"/>
          <w:lang w:val="en-GB" w:eastAsia="en-GB"/>
        </w:rPr>
        <w:t xml:space="preserve">-Pastor, </w:t>
      </w:r>
      <w:proofErr w:type="spellStart"/>
      <w:r w:rsidRPr="26F64964">
        <w:rPr>
          <w:rFonts w:ascii="Calibri" w:eastAsia="Times New Roman" w:hAnsi="Calibri" w:cs="Calibri"/>
          <w:color w:val="212121"/>
          <w:lang w:val="en-GB" w:eastAsia="en-GB"/>
        </w:rPr>
        <w:t>Mirabet</w:t>
      </w:r>
      <w:proofErr w:type="spellEnd"/>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Roig</w:t>
      </w:r>
      <w:proofErr w:type="spellEnd"/>
      <w:r w:rsidRPr="26F64964">
        <w:rPr>
          <w:rFonts w:ascii="Calibri" w:eastAsia="Times New Roman" w:hAnsi="Calibri" w:cs="Calibri"/>
          <w:color w:val="212121"/>
          <w:lang w:val="en-GB" w:eastAsia="en-GB"/>
        </w:rPr>
        <w:t xml:space="preserve">, Lopez, </w:t>
      </w:r>
      <w:proofErr w:type="spellStart"/>
      <w:r w:rsidRPr="26F64964">
        <w:rPr>
          <w:rFonts w:ascii="Calibri" w:eastAsia="Times New Roman" w:hAnsi="Calibri" w:cs="Calibri"/>
          <w:color w:val="212121"/>
          <w:lang w:val="en-GB" w:eastAsia="en-GB"/>
        </w:rPr>
        <w:t>Brossa</w:t>
      </w:r>
      <w:proofErr w:type="spellEnd"/>
      <w:r w:rsidRPr="26F64964">
        <w:rPr>
          <w:rFonts w:ascii="Calibri" w:eastAsia="Times New Roman" w:hAnsi="Calibri" w:cs="Calibri"/>
          <w:color w:val="212121"/>
          <w:lang w:val="en-GB" w:eastAsia="en-GB"/>
        </w:rPr>
        <w:t xml:space="preserve">, </w:t>
      </w:r>
      <w:r w:rsidRPr="26F64964">
        <w:rPr>
          <w:rFonts w:ascii="Calibri" w:eastAsia="Times New Roman" w:hAnsi="Calibri" w:cs="Calibri"/>
          <w:color w:val="212121"/>
          <w:highlight w:val="white"/>
          <w:lang w:val="en-GB" w:eastAsia="en-GB"/>
        </w:rPr>
        <w:t>Galvez-</w:t>
      </w:r>
      <w:proofErr w:type="spellStart"/>
      <w:r w:rsidRPr="26F64964">
        <w:rPr>
          <w:rFonts w:ascii="Calibri" w:eastAsia="Times New Roman" w:hAnsi="Calibri" w:cs="Calibri"/>
          <w:color w:val="212121"/>
          <w:highlight w:val="white"/>
          <w:lang w:val="en-GB" w:eastAsia="en-GB"/>
        </w:rPr>
        <w:t>Tugas</w:t>
      </w:r>
      <w:proofErr w:type="spellEnd"/>
      <w:r w:rsidRPr="26F64964">
        <w:rPr>
          <w:rFonts w:ascii="Calibri" w:eastAsia="Times New Roman" w:hAnsi="Calibri" w:cs="Calibri"/>
          <w:color w:val="212121"/>
          <w:highlight w:val="white"/>
          <w:lang w:val="en-GB" w:eastAsia="en-GB"/>
        </w:rPr>
        <w:t xml:space="preserve">, Rodriguez-Murphy, </w:t>
      </w:r>
      <w:proofErr w:type="spellStart"/>
      <w:r w:rsidRPr="26F64964">
        <w:rPr>
          <w:rFonts w:ascii="Calibri" w:eastAsia="Times New Roman" w:hAnsi="Calibri" w:cs="Calibri"/>
          <w:color w:val="212121"/>
          <w:highlight w:val="white"/>
          <w:lang w:val="en-GB" w:eastAsia="en-GB"/>
        </w:rPr>
        <w:t>Feliu</w:t>
      </w:r>
      <w:proofErr w:type="spellEnd"/>
      <w:r w:rsidRPr="26F64964">
        <w:rPr>
          <w:rFonts w:ascii="Calibri" w:eastAsia="Times New Roman" w:hAnsi="Calibri" w:cs="Calibri"/>
          <w:color w:val="212121"/>
          <w:highlight w:val="white"/>
          <w:lang w:val="en-GB" w:eastAsia="en-GB"/>
        </w:rPr>
        <w:t>, Ontiveros</w:t>
      </w:r>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Gracia-</w:t>
      </w:r>
      <w:r w:rsidRPr="26F64964">
        <w:rPr>
          <w:rFonts w:ascii="Calibri" w:eastAsia="Times New Roman" w:hAnsi="Calibri" w:cs="Calibri"/>
          <w:color w:val="212121"/>
          <w:highlight w:val="white"/>
          <w:lang w:val="en-GB" w:eastAsia="en-GB"/>
        </w:rPr>
        <w:t>Cuyàs</w:t>
      </w:r>
      <w:proofErr w:type="spellEnd"/>
      <w:r w:rsidRPr="26F64964">
        <w:rPr>
          <w:rFonts w:ascii="Calibri" w:eastAsia="Times New Roman" w:hAnsi="Calibri" w:cs="Calibri"/>
          <w:color w:val="212121"/>
          <w:highlight w:val="white"/>
          <w:lang w:val="en-GB" w:eastAsia="en-GB"/>
        </w:rPr>
        <w:t xml:space="preserve">, Salazar &amp; </w:t>
      </w:r>
      <w:proofErr w:type="spellStart"/>
      <w:r w:rsidRPr="26F64964">
        <w:rPr>
          <w:rFonts w:ascii="Calibri" w:eastAsia="Times New Roman" w:hAnsi="Calibri" w:cs="Calibri"/>
          <w:color w:val="212121"/>
          <w:highlight w:val="white"/>
          <w:lang w:val="en-GB" w:eastAsia="en-GB"/>
        </w:rPr>
        <w:t>Mangues</w:t>
      </w:r>
      <w:proofErr w:type="spellEnd"/>
      <w:r w:rsidRPr="26F64964">
        <w:rPr>
          <w:rFonts w:ascii="Calibri" w:eastAsia="Times New Roman" w:hAnsi="Calibri" w:cs="Calibri"/>
          <w:color w:val="212121"/>
          <w:lang w:val="en-GB" w:eastAsia="en-GB"/>
        </w:rPr>
        <w:t xml:space="preserve">, 2020; </w:t>
      </w:r>
      <w:proofErr w:type="spellStart"/>
      <w:r w:rsidRPr="26F64964">
        <w:rPr>
          <w:rFonts w:ascii="Calibri" w:eastAsia="Times New Roman" w:hAnsi="Calibri" w:cs="Calibri"/>
          <w:color w:val="212121"/>
          <w:lang w:val="en-GB" w:eastAsia="en-GB"/>
        </w:rPr>
        <w:t>Gomis</w:t>
      </w:r>
      <w:proofErr w:type="spellEnd"/>
      <w:r w:rsidRPr="26F64964">
        <w:rPr>
          <w:rFonts w:ascii="Calibri" w:eastAsia="Times New Roman" w:hAnsi="Calibri" w:cs="Calibri"/>
          <w:color w:val="212121"/>
          <w:lang w:val="en-GB" w:eastAsia="en-GB"/>
        </w:rPr>
        <w:t xml:space="preserve">-Pastor, Perez, </w:t>
      </w:r>
      <w:proofErr w:type="spellStart"/>
      <w:r w:rsidRPr="26F64964">
        <w:rPr>
          <w:rFonts w:ascii="Calibri" w:eastAsia="Times New Roman" w:hAnsi="Calibri" w:cs="Calibri"/>
          <w:color w:val="212121"/>
          <w:lang w:val="en-GB" w:eastAsia="en-GB"/>
        </w:rPr>
        <w:t>Minguell</w:t>
      </w:r>
      <w:proofErr w:type="spellEnd"/>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Loidi</w:t>
      </w:r>
      <w:proofErr w:type="spellEnd"/>
      <w:r w:rsidRPr="26F64964">
        <w:rPr>
          <w:rFonts w:ascii="Calibri" w:eastAsia="Times New Roman" w:hAnsi="Calibri" w:cs="Calibri"/>
          <w:color w:val="212121"/>
          <w:lang w:val="en-GB" w:eastAsia="en-GB"/>
        </w:rPr>
        <w:t xml:space="preserve">, Lopez, </w:t>
      </w:r>
      <w:proofErr w:type="spellStart"/>
      <w:r w:rsidRPr="26F64964">
        <w:rPr>
          <w:rFonts w:ascii="Calibri" w:eastAsia="Times New Roman" w:hAnsi="Calibri" w:cs="Calibri"/>
          <w:color w:val="212121"/>
          <w:lang w:val="en-GB" w:eastAsia="en-GB"/>
        </w:rPr>
        <w:t>Abarca</w:t>
      </w:r>
      <w:proofErr w:type="spellEnd"/>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Tugas</w:t>
      </w:r>
      <w:proofErr w:type="spellEnd"/>
      <w:r w:rsidRPr="26F64964">
        <w:rPr>
          <w:rFonts w:ascii="Calibri" w:eastAsia="Times New Roman" w:hAnsi="Calibri" w:cs="Calibri"/>
          <w:color w:val="212121"/>
          <w:lang w:val="en-GB" w:eastAsia="en-GB"/>
        </w:rPr>
        <w:t>, Mas-</w:t>
      </w:r>
      <w:proofErr w:type="spellStart"/>
      <w:r w:rsidRPr="26F64964">
        <w:rPr>
          <w:rFonts w:ascii="Calibri" w:eastAsia="Times New Roman" w:hAnsi="Calibri" w:cs="Calibri"/>
          <w:color w:val="212121"/>
          <w:lang w:val="en-GB" w:eastAsia="en-GB"/>
        </w:rPr>
        <w:t>Malagarriga</w:t>
      </w:r>
      <w:proofErr w:type="spellEnd"/>
      <w:r w:rsidRPr="26F64964">
        <w:rPr>
          <w:rFonts w:ascii="Calibri" w:eastAsia="Times New Roman" w:hAnsi="Calibri" w:cs="Calibri"/>
          <w:color w:val="212121"/>
          <w:lang w:val="en-GB" w:eastAsia="en-GB"/>
        </w:rPr>
        <w:t xml:space="preserve"> &amp; </w:t>
      </w:r>
      <w:proofErr w:type="spellStart"/>
      <w:r w:rsidRPr="26F64964">
        <w:rPr>
          <w:rFonts w:ascii="Calibri" w:eastAsia="Times New Roman" w:hAnsi="Calibri" w:cs="Calibri"/>
          <w:color w:val="212121"/>
          <w:lang w:val="en-GB" w:eastAsia="en-GB"/>
        </w:rPr>
        <w:t>Bafalluy</w:t>
      </w:r>
      <w:proofErr w:type="spellEnd"/>
      <w:r w:rsidRPr="26F64964">
        <w:rPr>
          <w:rFonts w:ascii="Calibri" w:eastAsia="Times New Roman" w:hAnsi="Calibri" w:cs="Calibri"/>
          <w:color w:val="212121"/>
          <w:lang w:val="en-GB" w:eastAsia="en-GB"/>
        </w:rPr>
        <w:t xml:space="preserve">, 2021). </w:t>
      </w:r>
    </w:p>
    <w:p w14:paraId="684914E7" w14:textId="253E02A8" w:rsidR="00FC2702" w:rsidRDefault="00FC2702" w:rsidP="00FE655C">
      <w:pPr>
        <w:spacing w:line="360" w:lineRule="auto"/>
        <w:jc w:val="both"/>
        <w:rPr>
          <w:rFonts w:ascii="Calibri" w:eastAsia="Times New Roman" w:hAnsi="Calibri" w:cs="Calibri"/>
          <w:color w:val="212121"/>
          <w:lang w:val="en-GB" w:eastAsia="en-GB"/>
        </w:rPr>
      </w:pPr>
      <w:r w:rsidRPr="26F64964">
        <w:rPr>
          <w:rFonts w:ascii="Calibri" w:eastAsia="Times New Roman" w:hAnsi="Calibri" w:cs="Calibri"/>
          <w:color w:val="212121"/>
          <w:lang w:val="en-GB" w:eastAsia="en-GB"/>
        </w:rPr>
        <w:t xml:space="preserve">Moreover, health devices have shown to streamline communication and information flow between patients and healthcare providers, solving queries promptly and supporting informed decision-making (Gomis-Pastor et al., 2020; </w:t>
      </w:r>
      <w:proofErr w:type="spellStart"/>
      <w:r w:rsidRPr="26F64964">
        <w:rPr>
          <w:rFonts w:ascii="Calibri" w:eastAsia="Times New Roman" w:hAnsi="Calibri" w:cs="Calibri"/>
          <w:color w:val="212121"/>
          <w:lang w:val="en-GB" w:eastAsia="en-GB"/>
        </w:rPr>
        <w:t>Lerret</w:t>
      </w:r>
      <w:proofErr w:type="spellEnd"/>
      <w:r w:rsidRPr="26F64964">
        <w:rPr>
          <w:rFonts w:ascii="Calibri" w:eastAsia="Times New Roman" w:hAnsi="Calibri" w:cs="Calibri"/>
          <w:color w:val="212121"/>
          <w:lang w:val="en-GB" w:eastAsia="en-GB"/>
        </w:rPr>
        <w:t>, Schiffman, White-</w:t>
      </w:r>
      <w:proofErr w:type="spellStart"/>
      <w:r w:rsidRPr="26F64964">
        <w:rPr>
          <w:rFonts w:ascii="Calibri" w:eastAsia="Times New Roman" w:hAnsi="Calibri" w:cs="Calibri"/>
          <w:color w:val="212121"/>
          <w:lang w:val="en-GB" w:eastAsia="en-GB"/>
        </w:rPr>
        <w:t>Traut</w:t>
      </w:r>
      <w:proofErr w:type="spellEnd"/>
      <w:r w:rsidRPr="26F64964">
        <w:rPr>
          <w:rFonts w:ascii="Calibri" w:eastAsia="Times New Roman" w:hAnsi="Calibri" w:cs="Calibri"/>
          <w:color w:val="212121"/>
          <w:lang w:val="en-GB" w:eastAsia="en-GB"/>
        </w:rPr>
        <w:t xml:space="preserve">, </w:t>
      </w:r>
      <w:proofErr w:type="spellStart"/>
      <w:r w:rsidRPr="26F64964">
        <w:rPr>
          <w:rFonts w:ascii="Calibri" w:eastAsia="Times New Roman" w:hAnsi="Calibri" w:cs="Calibri"/>
          <w:color w:val="212121"/>
          <w:lang w:val="en-GB" w:eastAsia="en-GB"/>
        </w:rPr>
        <w:t>Medoff</w:t>
      </w:r>
      <w:proofErr w:type="spellEnd"/>
      <w:r w:rsidRPr="26F64964">
        <w:rPr>
          <w:rFonts w:ascii="Calibri" w:eastAsia="Times New Roman" w:hAnsi="Calibri" w:cs="Calibri"/>
          <w:color w:val="212121"/>
          <w:lang w:val="en-GB" w:eastAsia="en-GB"/>
        </w:rPr>
        <w:t xml:space="preserve">-Cooper, Ahamed, Adib, Liegl, Alonso, Mavis, </w:t>
      </w:r>
      <w:proofErr w:type="spellStart"/>
      <w:r w:rsidRPr="26F64964">
        <w:rPr>
          <w:rFonts w:ascii="Calibri" w:eastAsia="Times New Roman" w:hAnsi="Calibri" w:cs="Calibri"/>
          <w:color w:val="212121"/>
          <w:lang w:val="en-GB" w:eastAsia="en-GB"/>
        </w:rPr>
        <w:t>Jense</w:t>
      </w:r>
      <w:proofErr w:type="spellEnd"/>
      <w:r w:rsidRPr="26F64964">
        <w:rPr>
          <w:rFonts w:ascii="Calibri" w:eastAsia="Times New Roman" w:hAnsi="Calibri" w:cs="Calibri"/>
          <w:color w:val="212121"/>
          <w:lang w:val="en-GB" w:eastAsia="en-GB"/>
        </w:rPr>
        <w:t xml:space="preserve">, Peterson, </w:t>
      </w:r>
      <w:proofErr w:type="spellStart"/>
      <w:r w:rsidRPr="26F64964">
        <w:rPr>
          <w:rFonts w:ascii="Calibri" w:eastAsia="Times New Roman" w:hAnsi="Calibri" w:cs="Calibri"/>
          <w:color w:val="212121"/>
          <w:lang w:val="en-GB" w:eastAsia="en-GB"/>
        </w:rPr>
        <w:t>Neigbors</w:t>
      </w:r>
      <w:proofErr w:type="spellEnd"/>
      <w:r w:rsidRPr="26F64964">
        <w:rPr>
          <w:rFonts w:ascii="Calibri" w:eastAsia="Times New Roman" w:hAnsi="Calibri" w:cs="Calibri"/>
          <w:color w:val="212121"/>
          <w:lang w:val="en-GB" w:eastAsia="en-GB"/>
        </w:rPr>
        <w:t xml:space="preserve">, Riordan, </w:t>
      </w:r>
      <w:proofErr w:type="spellStart"/>
      <w:r w:rsidRPr="26F64964">
        <w:rPr>
          <w:rFonts w:ascii="Calibri" w:eastAsia="Times New Roman" w:hAnsi="Calibri" w:cs="Calibri"/>
          <w:color w:val="212121"/>
          <w:lang w:val="en-GB" w:eastAsia="en-GB"/>
        </w:rPr>
        <w:t>Semp</w:t>
      </w:r>
      <w:proofErr w:type="spellEnd"/>
      <w:r w:rsidRPr="26F64964">
        <w:rPr>
          <w:rFonts w:ascii="Calibri" w:eastAsia="Times New Roman" w:hAnsi="Calibri" w:cs="Calibri"/>
          <w:color w:val="212121"/>
          <w:lang w:val="en-GB" w:eastAsia="en-GB"/>
        </w:rPr>
        <w:t xml:space="preserve">, Vo, </w:t>
      </w:r>
      <w:proofErr w:type="spellStart"/>
      <w:r w:rsidRPr="26F64964">
        <w:rPr>
          <w:rFonts w:ascii="Calibri" w:eastAsia="Times New Roman" w:hAnsi="Calibri" w:cs="Calibri"/>
          <w:color w:val="212121"/>
          <w:lang w:val="en-GB" w:eastAsia="en-GB"/>
        </w:rPr>
        <w:t>Stendahl</w:t>
      </w:r>
      <w:proofErr w:type="spellEnd"/>
      <w:r w:rsidRPr="26F64964">
        <w:rPr>
          <w:rFonts w:ascii="Calibri" w:eastAsia="Times New Roman" w:hAnsi="Calibri" w:cs="Calibri"/>
          <w:color w:val="212121"/>
          <w:lang w:val="en-GB" w:eastAsia="en-GB"/>
        </w:rPr>
        <w:t xml:space="preserve">, Chapman, </w:t>
      </w:r>
      <w:proofErr w:type="spellStart"/>
      <w:r w:rsidRPr="26F64964">
        <w:rPr>
          <w:rFonts w:ascii="Calibri" w:eastAsia="Times New Roman" w:hAnsi="Calibri" w:cs="Calibri"/>
          <w:color w:val="212121"/>
          <w:lang w:val="en-GB" w:eastAsia="en-GB"/>
        </w:rPr>
        <w:t>Unteutsch</w:t>
      </w:r>
      <w:proofErr w:type="spellEnd"/>
      <w:r w:rsidRPr="26F64964">
        <w:rPr>
          <w:rFonts w:ascii="Calibri" w:eastAsia="Times New Roman" w:hAnsi="Calibri" w:cs="Calibri"/>
          <w:color w:val="212121"/>
          <w:lang w:val="en-GB" w:eastAsia="en-GB"/>
        </w:rPr>
        <w:t xml:space="preserve"> &amp; Simpson, 2022</w:t>
      </w:r>
      <w:r w:rsidR="002A0AB9" w:rsidRPr="26F64964">
        <w:rPr>
          <w:rFonts w:ascii="Calibri" w:eastAsia="Times New Roman" w:hAnsi="Calibri" w:cs="Calibri"/>
          <w:color w:val="212121"/>
          <w:lang w:val="en-GB" w:eastAsia="en-GB"/>
        </w:rPr>
        <w:t>;</w:t>
      </w:r>
      <w:r w:rsidR="001A7FEE" w:rsidRPr="26F64964">
        <w:rPr>
          <w:rFonts w:ascii="Calibri" w:eastAsia="Times New Roman" w:hAnsi="Calibri" w:cs="Calibri"/>
          <w:color w:val="212121"/>
          <w:lang w:val="en-GB" w:eastAsia="en-GB"/>
        </w:rPr>
        <w:t xml:space="preserve"> </w:t>
      </w:r>
      <w:r w:rsidR="001A7FEE" w:rsidRPr="6A640EE8">
        <w:rPr>
          <w:rFonts w:ascii="Calibri" w:eastAsia="Times New Roman" w:hAnsi="Calibri" w:cs="Calibri"/>
          <w:color w:val="212121"/>
          <w:highlight w:val="white"/>
          <w:lang w:val="en-GB" w:eastAsia="en-GB"/>
        </w:rPr>
        <w:t xml:space="preserve">Vaughn, </w:t>
      </w:r>
      <w:proofErr w:type="spellStart"/>
      <w:r w:rsidR="001A7FEE" w:rsidRPr="6A640EE8">
        <w:rPr>
          <w:rFonts w:ascii="Calibri" w:eastAsia="Times New Roman" w:hAnsi="Calibri" w:cs="Calibri"/>
          <w:color w:val="212121"/>
          <w:highlight w:val="white"/>
          <w:lang w:val="en-GB" w:eastAsia="en-GB"/>
        </w:rPr>
        <w:t>Gollarahalli</w:t>
      </w:r>
      <w:proofErr w:type="spellEnd"/>
      <w:r w:rsidR="001A7FEE" w:rsidRPr="6A640EE8">
        <w:rPr>
          <w:rFonts w:ascii="Calibri" w:eastAsia="Times New Roman" w:hAnsi="Calibri" w:cs="Calibri"/>
          <w:color w:val="212121"/>
          <w:highlight w:val="white"/>
          <w:lang w:val="en-GB" w:eastAsia="en-GB"/>
        </w:rPr>
        <w:t>, Shaw, Docherty, Yang, Malhotra,</w:t>
      </w:r>
      <w:r w:rsidR="001A7FEE" w:rsidRPr="6A640EE8">
        <w:rPr>
          <w:rFonts w:ascii="Calibri" w:eastAsia="Times New Roman" w:hAnsi="Calibri" w:cs="Calibri"/>
          <w:color w:val="212121"/>
          <w:lang w:val="en-GB" w:eastAsia="en-GB"/>
        </w:rPr>
        <w:t xml:space="preserve"> </w:t>
      </w:r>
      <w:r w:rsidR="001A7FEE" w:rsidRPr="6A640EE8">
        <w:rPr>
          <w:rFonts w:ascii="Calibri" w:eastAsia="Times New Roman" w:hAnsi="Calibri" w:cs="Calibri"/>
          <w:color w:val="212121"/>
          <w:highlight w:val="white"/>
          <w:lang w:val="en-GB" w:eastAsia="en-GB"/>
        </w:rPr>
        <w:t>Summers-</w:t>
      </w:r>
      <w:proofErr w:type="spellStart"/>
      <w:r w:rsidR="001A7FEE" w:rsidRPr="6A640EE8">
        <w:rPr>
          <w:rFonts w:ascii="Calibri" w:eastAsia="Times New Roman" w:hAnsi="Calibri" w:cs="Calibri"/>
          <w:color w:val="212121"/>
          <w:highlight w:val="white"/>
          <w:lang w:val="en-GB" w:eastAsia="en-GB"/>
        </w:rPr>
        <w:t>Gockerman</w:t>
      </w:r>
      <w:proofErr w:type="spellEnd"/>
      <w:r w:rsidR="001A7FEE" w:rsidRPr="6A640EE8">
        <w:rPr>
          <w:rFonts w:ascii="Calibri" w:eastAsia="Times New Roman" w:hAnsi="Calibri" w:cs="Calibri"/>
          <w:color w:val="212121"/>
          <w:highlight w:val="white"/>
          <w:lang w:val="en-GB" w:eastAsia="en-GB"/>
        </w:rPr>
        <w:t xml:space="preserve"> &amp; Shah, 2020</w:t>
      </w:r>
      <w:r w:rsidRPr="26F64964">
        <w:rPr>
          <w:rFonts w:ascii="Calibri" w:eastAsia="Times New Roman" w:hAnsi="Calibri" w:cs="Calibri"/>
          <w:color w:val="212121"/>
          <w:lang w:val="en-GB" w:eastAsia="en-GB"/>
        </w:rPr>
        <w:t>). The accessibility of remote care services and the ease of access to evaluations, such as for liver transplantation, not only enhance patient</w:t>
      </w:r>
      <w:r w:rsidR="002C2A1C" w:rsidRPr="26F64964">
        <w:rPr>
          <w:rFonts w:ascii="Calibri" w:eastAsia="Times New Roman" w:hAnsi="Calibri" w:cs="Calibri"/>
          <w:color w:val="212121"/>
          <w:lang w:val="en-GB" w:eastAsia="en-GB"/>
        </w:rPr>
        <w:t xml:space="preserve"> </w:t>
      </w:r>
      <w:r w:rsidRPr="26F64964">
        <w:rPr>
          <w:rFonts w:ascii="Calibri" w:eastAsia="Times New Roman" w:hAnsi="Calibri" w:cs="Calibri"/>
          <w:color w:val="212121"/>
          <w:lang w:val="en-GB" w:eastAsia="en-GB"/>
        </w:rPr>
        <w:t>care but also increase patient engagement (</w:t>
      </w:r>
      <w:r w:rsidRPr="6A640EE8">
        <w:rPr>
          <w:rFonts w:ascii="Calibri" w:eastAsia="Times New Roman" w:hAnsi="Calibri" w:cs="Calibri"/>
          <w:color w:val="212121"/>
          <w:highlight w:val="white"/>
          <w:lang w:val="en-GB" w:eastAsia="en-GB"/>
        </w:rPr>
        <w:t>Erez et al., 2023</w:t>
      </w:r>
      <w:r w:rsidRPr="6A640EE8">
        <w:rPr>
          <w:rFonts w:ascii="Calibri" w:eastAsia="Times New Roman" w:hAnsi="Calibri" w:cs="Calibri"/>
          <w:color w:val="212121"/>
          <w:lang w:val="en-GB" w:eastAsia="en-GB"/>
        </w:rPr>
        <w:t xml:space="preserve">; </w:t>
      </w:r>
      <w:proofErr w:type="spellStart"/>
      <w:r w:rsidRPr="6A640EE8">
        <w:rPr>
          <w:rFonts w:ascii="Calibri" w:eastAsia="Times New Roman" w:hAnsi="Calibri" w:cs="Calibri"/>
          <w:color w:val="212121"/>
          <w:highlight w:val="white"/>
          <w:lang w:val="en-GB" w:eastAsia="en-GB"/>
        </w:rPr>
        <w:t>Hatzikiriakidis</w:t>
      </w:r>
      <w:proofErr w:type="spellEnd"/>
      <w:r w:rsidRPr="6A640EE8">
        <w:rPr>
          <w:rFonts w:ascii="Calibri" w:eastAsia="Times New Roman" w:hAnsi="Calibri" w:cs="Calibri"/>
          <w:color w:val="212121"/>
          <w:highlight w:val="white"/>
          <w:lang w:val="en-GB" w:eastAsia="en-GB"/>
        </w:rPr>
        <w:t>, West, Ayton, Morris, Martin &amp; Paraskeva, 2022</w:t>
      </w:r>
      <w:r w:rsidRPr="26F64964">
        <w:rPr>
          <w:rFonts w:ascii="Calibri" w:eastAsia="Times New Roman" w:hAnsi="Calibri" w:cs="Calibri"/>
          <w:color w:val="212121"/>
          <w:lang w:val="en-GB" w:eastAsia="en-GB"/>
        </w:rPr>
        <w:t>). Overall, health devices fundamentally transform patient care, emphasizing early intervention and efficient communication while advancing healthcare quality and patient engagement.</w:t>
      </w:r>
    </w:p>
    <w:p w14:paraId="0420B091" w14:textId="77777777" w:rsidR="00626F00" w:rsidRDefault="00626F00" w:rsidP="00FE655C">
      <w:pPr>
        <w:spacing w:line="360" w:lineRule="auto"/>
        <w:jc w:val="both"/>
        <w:rPr>
          <w:rFonts w:ascii="Calibri" w:eastAsia="Times New Roman" w:hAnsi="Calibri" w:cs="Calibri"/>
          <w:color w:val="212121"/>
          <w:lang w:val="en-GB" w:eastAsia="en-GB"/>
        </w:rPr>
      </w:pPr>
    </w:p>
    <w:p w14:paraId="70EA581F" w14:textId="77777777" w:rsidR="00626F00" w:rsidRPr="00FC2702" w:rsidRDefault="00626F00" w:rsidP="00FE655C">
      <w:pPr>
        <w:spacing w:line="360" w:lineRule="auto"/>
        <w:jc w:val="both"/>
        <w:rPr>
          <w:rFonts w:ascii="Calibri" w:eastAsia="Times New Roman" w:hAnsi="Calibri" w:cs="Calibri"/>
          <w:color w:val="212121"/>
          <w:lang w:val="en-GB" w:eastAsia="en-GB"/>
        </w:rPr>
      </w:pPr>
    </w:p>
    <w:p w14:paraId="56B3D42F" w14:textId="114B794A" w:rsidR="00FC2702" w:rsidRPr="00FC2702" w:rsidRDefault="00FC2702" w:rsidP="00FC2702">
      <w:pPr>
        <w:pStyle w:val="Heading3"/>
        <w:jc w:val="left"/>
        <w:rPr>
          <w:rFonts w:eastAsia="Times New Roman"/>
          <w:lang w:val="en-GB" w:eastAsia="en-GB"/>
        </w:rPr>
      </w:pPr>
      <w:bookmarkStart w:id="29" w:name="_Toc166853994"/>
      <w:r>
        <w:rPr>
          <w:rFonts w:eastAsia="Times New Roman"/>
          <w:lang w:val="en-GB" w:eastAsia="en-GB"/>
        </w:rPr>
        <w:lastRenderedPageBreak/>
        <w:t xml:space="preserve">4.2.2 </w:t>
      </w:r>
      <w:r w:rsidRPr="00FC2702">
        <w:rPr>
          <w:rFonts w:eastAsia="Times New Roman"/>
          <w:lang w:val="en-GB" w:eastAsia="en-GB"/>
        </w:rPr>
        <w:t>Convenience and Accessibility</w:t>
      </w:r>
      <w:bookmarkEnd w:id="29"/>
    </w:p>
    <w:p w14:paraId="00048F75" w14:textId="513C44BE" w:rsidR="00640D9E" w:rsidRPr="00042591" w:rsidRDefault="00E66A68" w:rsidP="00FC2702">
      <w:pPr>
        <w:spacing w:line="360" w:lineRule="auto"/>
        <w:jc w:val="both"/>
        <w:rPr>
          <w:rFonts w:ascii="Calibri" w:eastAsia="Times New Roman" w:hAnsi="Calibri" w:cs="Calibri"/>
          <w:lang w:val="en-GB" w:eastAsia="en-GB"/>
        </w:rPr>
      </w:pPr>
      <w:r w:rsidRPr="26F64964">
        <w:rPr>
          <w:rFonts w:ascii="Calibri" w:eastAsia="Times New Roman" w:hAnsi="Calibri" w:cs="Calibri"/>
          <w:color w:val="212121"/>
          <w:lang w:val="en-GB" w:eastAsia="en-GB"/>
        </w:rPr>
        <w:t>Researchers argue that h</w:t>
      </w:r>
      <w:r w:rsidR="00FC2702" w:rsidRPr="26F64964">
        <w:rPr>
          <w:rFonts w:ascii="Calibri" w:eastAsia="Times New Roman" w:hAnsi="Calibri" w:cs="Calibri"/>
          <w:color w:val="212121"/>
          <w:lang w:val="en-GB" w:eastAsia="en-GB"/>
        </w:rPr>
        <w:t>ealth devices have redefined convenience and accessibility in healthcare, offering patients unprecedented flexibility and ease in managing their well-being (</w:t>
      </w:r>
      <w:r w:rsidRPr="26F64964">
        <w:rPr>
          <w:rFonts w:ascii="Calibri" w:eastAsia="Times New Roman" w:hAnsi="Calibri" w:cs="Calibri"/>
          <w:color w:val="212121"/>
          <w:lang w:val="en-GB" w:eastAsia="en-GB"/>
        </w:rPr>
        <w:t xml:space="preserve">e.g., </w:t>
      </w:r>
      <w:r w:rsidR="00FC2702" w:rsidRPr="26F64964">
        <w:rPr>
          <w:rFonts w:ascii="Calibri" w:eastAsia="Times New Roman" w:hAnsi="Calibri" w:cs="Calibri"/>
          <w:color w:val="212121"/>
          <w:lang w:val="en-GB" w:eastAsia="en-GB"/>
        </w:rPr>
        <w:t xml:space="preserve">Hickman, Hannigan, Johnson, </w:t>
      </w:r>
      <w:r w:rsidR="00FC2702" w:rsidRPr="26F64964">
        <w:rPr>
          <w:rFonts w:ascii="Calibri" w:eastAsia="Times New Roman" w:hAnsi="Calibri" w:cs="Calibri"/>
          <w:color w:val="212121"/>
          <w:highlight w:val="white"/>
          <w:lang w:val="en-GB" w:eastAsia="en-GB"/>
        </w:rPr>
        <w:t>Elvin-Walsh, Mayr, Staudacher,</w:t>
      </w:r>
      <w:r w:rsidR="00FC2702" w:rsidRPr="26F64964">
        <w:rPr>
          <w:rFonts w:ascii="Calibri" w:eastAsia="Times New Roman" w:hAnsi="Calibri" w:cs="Calibri"/>
          <w:color w:val="212121"/>
          <w:lang w:val="en-GB" w:eastAsia="en-GB"/>
        </w:rPr>
        <w:t xml:space="preserve"> </w:t>
      </w:r>
      <w:r w:rsidR="00FC2702" w:rsidRPr="26F64964">
        <w:rPr>
          <w:rFonts w:ascii="Calibri" w:eastAsia="Times New Roman" w:hAnsi="Calibri" w:cs="Calibri"/>
          <w:color w:val="212121"/>
          <w:highlight w:val="white"/>
          <w:lang w:val="en-GB" w:eastAsia="en-GB"/>
        </w:rPr>
        <w:t>Barnett, Stoney, Salisbury, Jarrett, Reeves, Coombes, Campbell, Keating &amp;</w:t>
      </w:r>
      <w:r w:rsidR="00FC2702" w:rsidRPr="26F64964">
        <w:rPr>
          <w:rFonts w:ascii="Calibri" w:eastAsia="Times New Roman" w:hAnsi="Calibri" w:cs="Calibri"/>
          <w:color w:val="212121"/>
          <w:lang w:val="en-GB" w:eastAsia="en-GB"/>
        </w:rPr>
        <w:t xml:space="preserve"> Macdonald, 2021; John, Love, Dahman, Kurbanova, Konjeti, Sundaram, Deng, Aubuchon, Heuman, Bajaj, Gilles, Chang, Qayyum &amp; Siddiqui, 2020; Sidhu, </w:t>
      </w:r>
      <w:proofErr w:type="spellStart"/>
      <w:r w:rsidR="00FC2702" w:rsidRPr="26F64964">
        <w:rPr>
          <w:rFonts w:ascii="Calibri" w:eastAsia="Times New Roman" w:hAnsi="Calibri" w:cs="Calibri"/>
          <w:color w:val="212121"/>
          <w:lang w:val="en-GB" w:eastAsia="en-GB"/>
        </w:rPr>
        <w:t>Chapparro</w:t>
      </w:r>
      <w:proofErr w:type="spellEnd"/>
      <w:r w:rsidR="00FC2702" w:rsidRPr="26F64964">
        <w:rPr>
          <w:rFonts w:ascii="Calibri" w:eastAsia="Times New Roman" w:hAnsi="Calibri" w:cs="Calibri"/>
          <w:color w:val="212121"/>
          <w:lang w:val="en-GB" w:eastAsia="en-GB"/>
        </w:rPr>
        <w:t>, Chow, Davis &amp; Singer, 2019). Studies within th</w:t>
      </w:r>
      <w:r w:rsidRPr="26F64964">
        <w:rPr>
          <w:rFonts w:ascii="Calibri" w:eastAsia="Times New Roman" w:hAnsi="Calibri" w:cs="Calibri"/>
          <w:color w:val="212121"/>
          <w:lang w:val="en-GB" w:eastAsia="en-GB"/>
        </w:rPr>
        <w:t>is</w:t>
      </w:r>
      <w:r w:rsidR="00FC2702" w:rsidRPr="26F64964">
        <w:rPr>
          <w:rFonts w:ascii="Calibri" w:eastAsia="Times New Roman" w:hAnsi="Calibri" w:cs="Calibri"/>
          <w:color w:val="212121"/>
          <w:lang w:val="en-GB" w:eastAsia="en-GB"/>
        </w:rPr>
        <w:t xml:space="preserve"> systematic literature review have shown that health devices have </w:t>
      </w:r>
      <w:r w:rsidR="00975535" w:rsidRPr="26F64964">
        <w:rPr>
          <w:rFonts w:ascii="Calibri" w:eastAsia="Times New Roman" w:hAnsi="Calibri" w:cs="Calibri"/>
          <w:color w:val="212121"/>
          <w:lang w:val="en-GB" w:eastAsia="en-GB"/>
        </w:rPr>
        <w:t>minimized</w:t>
      </w:r>
      <w:r w:rsidR="007A471A" w:rsidRPr="26F64964">
        <w:rPr>
          <w:rFonts w:ascii="Calibri" w:eastAsia="Times New Roman" w:hAnsi="Calibri" w:cs="Calibri"/>
          <w:color w:val="212121"/>
          <w:lang w:val="en-GB" w:eastAsia="en-GB"/>
        </w:rPr>
        <w:t xml:space="preserve"> </w:t>
      </w:r>
      <w:r w:rsidR="00FC2702" w:rsidRPr="26F64964">
        <w:rPr>
          <w:rFonts w:ascii="Calibri" w:eastAsia="Times New Roman" w:hAnsi="Calibri" w:cs="Calibri"/>
          <w:color w:val="212121"/>
          <w:lang w:val="en-GB" w:eastAsia="en-GB"/>
        </w:rPr>
        <w:t>work disruptions and reduced the need for extensive travel or appointments, overall making healthcare more comfortable and accessible (</w:t>
      </w:r>
      <w:proofErr w:type="spellStart"/>
      <w:r w:rsidR="00FC2702" w:rsidRPr="6A640EE8">
        <w:rPr>
          <w:rFonts w:ascii="Calibri" w:eastAsia="Times New Roman" w:hAnsi="Calibri" w:cs="Calibri"/>
          <w:color w:val="212121"/>
          <w:highlight w:val="white"/>
          <w:lang w:val="en-GB" w:eastAsia="en-GB"/>
        </w:rPr>
        <w:t>Hatzikiriakidis</w:t>
      </w:r>
      <w:proofErr w:type="spellEnd"/>
      <w:r w:rsidR="00FC2702" w:rsidRPr="6A640EE8">
        <w:rPr>
          <w:rFonts w:ascii="Calibri" w:eastAsia="Times New Roman" w:hAnsi="Calibri" w:cs="Calibri"/>
          <w:color w:val="212121"/>
          <w:highlight w:val="white"/>
          <w:lang w:val="en-GB" w:eastAsia="en-GB"/>
        </w:rPr>
        <w:t xml:space="preserve"> et al., 2022</w:t>
      </w:r>
      <w:r w:rsidR="00FC2702" w:rsidRPr="6A640EE8">
        <w:rPr>
          <w:rFonts w:ascii="Calibri" w:eastAsia="Times New Roman" w:hAnsi="Calibri" w:cs="Calibri"/>
          <w:color w:val="212121"/>
          <w:lang w:val="en-GB" w:eastAsia="en-GB"/>
        </w:rPr>
        <w:t xml:space="preserve">; </w:t>
      </w:r>
      <w:r w:rsidR="00FC2702" w:rsidRPr="6A640EE8">
        <w:rPr>
          <w:rFonts w:ascii="Calibri" w:eastAsia="Times New Roman" w:hAnsi="Calibri" w:cs="Calibri"/>
          <w:color w:val="212121"/>
          <w:highlight w:val="white"/>
          <w:lang w:val="en-GB" w:eastAsia="en-GB"/>
        </w:rPr>
        <w:t>John et al., 2020</w:t>
      </w:r>
      <w:r w:rsidR="00FC2702" w:rsidRPr="26F64964">
        <w:rPr>
          <w:rFonts w:ascii="Calibri" w:eastAsia="Times New Roman" w:hAnsi="Calibri" w:cs="Calibri"/>
          <w:color w:val="212121"/>
          <w:lang w:val="en-GB" w:eastAsia="en-GB"/>
        </w:rPr>
        <w:t xml:space="preserve">). </w:t>
      </w:r>
      <w:r w:rsidR="00BF62E3" w:rsidRPr="26F64964">
        <w:rPr>
          <w:rFonts w:ascii="Calibri" w:eastAsia="Times New Roman" w:hAnsi="Calibri" w:cs="Calibri"/>
          <w:color w:val="212121"/>
          <w:lang w:val="en-GB" w:eastAsia="en-GB"/>
        </w:rPr>
        <w:t>For example</w:t>
      </w:r>
      <w:r w:rsidR="00293907" w:rsidRPr="26F64964">
        <w:rPr>
          <w:rFonts w:ascii="Calibri" w:eastAsia="Times New Roman" w:hAnsi="Calibri" w:cs="Calibri"/>
          <w:lang w:val="en-GB" w:eastAsia="en-GB"/>
        </w:rPr>
        <w:t xml:space="preserve">, </w:t>
      </w:r>
      <w:r w:rsidR="00293907" w:rsidRPr="6A640EE8">
        <w:rPr>
          <w:rFonts w:ascii="Calibri" w:eastAsia="Times New Roman" w:hAnsi="Calibri" w:cs="Calibri"/>
          <w:highlight w:val="white"/>
          <w:lang w:val="en-GB" w:eastAsia="en-GB"/>
        </w:rPr>
        <w:t>F</w:t>
      </w:r>
      <w:r w:rsidR="008409CF" w:rsidRPr="6A640EE8">
        <w:rPr>
          <w:rFonts w:ascii="Calibri" w:eastAsia="Times New Roman" w:hAnsi="Calibri" w:cs="Calibri"/>
          <w:highlight w:val="white"/>
          <w:lang w:val="en-GB" w:eastAsia="en-GB"/>
        </w:rPr>
        <w:t>orbes and colleagues (2018)</w:t>
      </w:r>
      <w:r w:rsidR="008409CF" w:rsidRPr="26F64964">
        <w:rPr>
          <w:rFonts w:ascii="Calibri" w:eastAsia="Times New Roman" w:hAnsi="Calibri" w:cs="Calibri"/>
          <w:lang w:val="en-GB" w:eastAsia="en-GB"/>
        </w:rPr>
        <w:t xml:space="preserve"> report</w:t>
      </w:r>
      <w:r w:rsidR="00661EB1" w:rsidRPr="26F64964">
        <w:rPr>
          <w:rFonts w:ascii="Calibri" w:eastAsia="Times New Roman" w:hAnsi="Calibri" w:cs="Calibri"/>
          <w:lang w:val="en-GB" w:eastAsia="en-GB"/>
        </w:rPr>
        <w:t xml:space="preserve"> that </w:t>
      </w:r>
      <w:r w:rsidR="00521062" w:rsidRPr="26F64964">
        <w:rPr>
          <w:rFonts w:ascii="Calibri" w:eastAsia="Times New Roman" w:hAnsi="Calibri" w:cs="Calibri"/>
          <w:lang w:val="en-GB" w:eastAsia="en-GB"/>
        </w:rPr>
        <w:t xml:space="preserve">the use of telehealth in kidney transplant waitlist evaluations </w:t>
      </w:r>
      <w:r w:rsidR="008C674C" w:rsidRPr="26F64964">
        <w:rPr>
          <w:rFonts w:ascii="Calibri" w:eastAsia="Times New Roman" w:hAnsi="Calibri" w:cs="Calibri"/>
          <w:lang w:val="en-GB" w:eastAsia="en-GB"/>
        </w:rPr>
        <w:t xml:space="preserve">has helped reduce costs per patient, with </w:t>
      </w:r>
      <w:r w:rsidR="007C30F6" w:rsidRPr="26F64964">
        <w:rPr>
          <w:rFonts w:ascii="Calibri" w:eastAsia="Times New Roman" w:hAnsi="Calibri" w:cs="Calibri"/>
          <w:lang w:val="en-GB" w:eastAsia="en-GB"/>
        </w:rPr>
        <w:t xml:space="preserve">a cost of $656.11 </w:t>
      </w:r>
      <w:r w:rsidR="00BE5FF5" w:rsidRPr="26F64964">
        <w:rPr>
          <w:rFonts w:ascii="Calibri" w:eastAsia="Times New Roman" w:hAnsi="Calibri" w:cs="Calibri"/>
          <w:lang w:val="en-GB" w:eastAsia="en-GB"/>
        </w:rPr>
        <w:t>with te</w:t>
      </w:r>
      <w:r w:rsidR="00213552" w:rsidRPr="26F64964">
        <w:rPr>
          <w:rFonts w:ascii="Calibri" w:eastAsia="Times New Roman" w:hAnsi="Calibri" w:cs="Calibri"/>
          <w:lang w:val="en-GB" w:eastAsia="en-GB"/>
        </w:rPr>
        <w:t xml:space="preserve">lehealth versus $1108.91 for in-person evaluation. </w:t>
      </w:r>
      <w:r w:rsidR="009842DE" w:rsidRPr="26F64964">
        <w:rPr>
          <w:rFonts w:ascii="Calibri" w:eastAsia="Times New Roman" w:hAnsi="Calibri" w:cs="Calibri"/>
          <w:lang w:val="en-GB" w:eastAsia="en-GB"/>
        </w:rPr>
        <w:t>Another</w:t>
      </w:r>
      <w:r w:rsidR="00213552" w:rsidRPr="26F64964">
        <w:rPr>
          <w:rFonts w:ascii="Calibri" w:eastAsia="Times New Roman" w:hAnsi="Calibri" w:cs="Calibri"/>
          <w:lang w:val="en-GB" w:eastAsia="en-GB"/>
        </w:rPr>
        <w:t xml:space="preserve"> stud</w:t>
      </w:r>
      <w:r w:rsidR="009842DE" w:rsidRPr="26F64964">
        <w:rPr>
          <w:rFonts w:ascii="Calibri" w:eastAsia="Times New Roman" w:hAnsi="Calibri" w:cs="Calibri"/>
          <w:lang w:val="en-GB" w:eastAsia="en-GB"/>
        </w:rPr>
        <w:t>y</w:t>
      </w:r>
      <w:r w:rsidR="00213552" w:rsidRPr="26F64964">
        <w:rPr>
          <w:rFonts w:ascii="Calibri" w:eastAsia="Times New Roman" w:hAnsi="Calibri" w:cs="Calibri"/>
          <w:lang w:val="en-GB" w:eastAsia="en-GB"/>
        </w:rPr>
        <w:t xml:space="preserve"> revealed that </w:t>
      </w:r>
      <w:r w:rsidR="006052C5" w:rsidRPr="26F64964">
        <w:rPr>
          <w:rFonts w:ascii="Calibri" w:eastAsia="Times New Roman" w:hAnsi="Calibri" w:cs="Calibri"/>
          <w:lang w:val="en-GB" w:eastAsia="en-GB"/>
        </w:rPr>
        <w:t xml:space="preserve">the use of telehealth </w:t>
      </w:r>
      <w:r w:rsidR="00B74FC8" w:rsidRPr="26F64964">
        <w:rPr>
          <w:rFonts w:ascii="Calibri" w:eastAsia="Times New Roman" w:hAnsi="Calibri" w:cs="Calibri"/>
          <w:lang w:val="en-GB" w:eastAsia="en-GB"/>
        </w:rPr>
        <w:t xml:space="preserve">significantly </w:t>
      </w:r>
      <w:r w:rsidR="00012F0F" w:rsidRPr="00012F0F">
        <w:rPr>
          <w:rFonts w:ascii="Calibri" w:eastAsia="Times New Roman" w:hAnsi="Calibri" w:cs="Calibri"/>
          <w:lang w:eastAsia="en-GB"/>
        </w:rPr>
        <w:t>shortened the duration between referral and the initial evaluation, facilitating prompt placement on the liver transplant waitlist</w:t>
      </w:r>
      <w:r w:rsidR="00C07750" w:rsidRPr="00012F0F">
        <w:rPr>
          <w:rFonts w:ascii="Calibri" w:eastAsia="Times New Roman" w:hAnsi="Calibri" w:cs="Calibri"/>
          <w:lang w:val="en-GB" w:eastAsia="en-GB"/>
        </w:rPr>
        <w:t xml:space="preserve">, </w:t>
      </w:r>
      <w:r w:rsidR="00C07750" w:rsidRPr="26F64964">
        <w:rPr>
          <w:rFonts w:ascii="Calibri" w:eastAsia="Times New Roman" w:hAnsi="Calibri" w:cs="Calibri"/>
          <w:highlight w:val="white"/>
          <w:lang w:val="en-GB" w:eastAsia="en-GB"/>
        </w:rPr>
        <w:t>with</w:t>
      </w:r>
      <w:r w:rsidR="00C07750" w:rsidRPr="26F64964">
        <w:rPr>
          <w:rFonts w:ascii="Calibri" w:eastAsia="Times New Roman" w:hAnsi="Calibri" w:cs="Calibri"/>
          <w:lang w:val="en-GB" w:eastAsia="en-GB"/>
        </w:rPr>
        <w:t xml:space="preserve"> evaluation</w:t>
      </w:r>
      <w:r w:rsidR="00E42B20" w:rsidRPr="26F64964">
        <w:rPr>
          <w:rFonts w:ascii="Calibri" w:eastAsia="Times New Roman" w:hAnsi="Calibri" w:cs="Calibri"/>
          <w:lang w:val="en-GB" w:eastAsia="en-GB"/>
        </w:rPr>
        <w:t xml:space="preserve"> taking less than half the time it takes for in-person evaluation</w:t>
      </w:r>
      <w:r w:rsidR="00C07750" w:rsidRPr="26F64964">
        <w:rPr>
          <w:rFonts w:ascii="Calibri" w:eastAsia="Times New Roman" w:hAnsi="Calibri" w:cs="Calibri"/>
          <w:lang w:val="en-GB" w:eastAsia="en-GB"/>
        </w:rPr>
        <w:t xml:space="preserve"> (21.7 days vs 79.5 days)</w:t>
      </w:r>
      <w:r w:rsidR="00E42B20" w:rsidRPr="26F64964">
        <w:rPr>
          <w:rFonts w:ascii="Calibri" w:eastAsia="Times New Roman" w:hAnsi="Calibri" w:cs="Calibri"/>
          <w:lang w:val="en-GB" w:eastAsia="en-GB"/>
        </w:rPr>
        <w:t xml:space="preserve"> (</w:t>
      </w:r>
      <w:r w:rsidR="00E42B20" w:rsidRPr="6A640EE8">
        <w:rPr>
          <w:rFonts w:ascii="Calibri" w:eastAsia="Times New Roman" w:hAnsi="Calibri" w:cs="Calibri"/>
          <w:highlight w:val="white"/>
          <w:lang w:val="en-GB" w:eastAsia="en-GB"/>
        </w:rPr>
        <w:t>John et al., 2020</w:t>
      </w:r>
      <w:r w:rsidR="00E42B20" w:rsidRPr="26F64964">
        <w:rPr>
          <w:rFonts w:ascii="Calibri" w:eastAsia="Times New Roman" w:hAnsi="Calibri" w:cs="Calibri"/>
          <w:lang w:val="en-GB" w:eastAsia="en-GB"/>
        </w:rPr>
        <w:t xml:space="preserve">). </w:t>
      </w:r>
    </w:p>
    <w:p w14:paraId="7E73987D" w14:textId="2AF2C119" w:rsidR="00FC2702" w:rsidRPr="00FC2702" w:rsidRDefault="00FC2702" w:rsidP="00FC2702">
      <w:pPr>
        <w:pStyle w:val="Heading3"/>
        <w:jc w:val="left"/>
        <w:rPr>
          <w:rFonts w:eastAsia="Times New Roman"/>
          <w:lang w:val="en-GB" w:eastAsia="en-GB"/>
        </w:rPr>
      </w:pPr>
      <w:bookmarkStart w:id="30" w:name="_Toc166853995"/>
      <w:r>
        <w:rPr>
          <w:rFonts w:eastAsia="Times New Roman"/>
          <w:lang w:val="en-GB" w:eastAsia="en-GB"/>
        </w:rPr>
        <w:t xml:space="preserve">4.2.3 </w:t>
      </w:r>
      <w:r w:rsidRPr="00FC2702">
        <w:rPr>
          <w:rFonts w:eastAsia="Times New Roman"/>
          <w:lang w:val="en-GB" w:eastAsia="en-GB"/>
        </w:rPr>
        <w:t>Empowerment and Safety</w:t>
      </w:r>
      <w:bookmarkEnd w:id="30"/>
    </w:p>
    <w:p w14:paraId="31B8732F" w14:textId="02AB8CEB" w:rsidR="00FC2702" w:rsidRDefault="00F40DFB" w:rsidP="00FC2702">
      <w:pPr>
        <w:spacing w:line="360" w:lineRule="auto"/>
        <w:jc w:val="both"/>
        <w:rPr>
          <w:rFonts w:ascii="Calibri" w:eastAsia="Times New Roman" w:hAnsi="Calibri" w:cs="Calibri"/>
          <w:color w:val="212121"/>
          <w:lang w:val="en-GB" w:eastAsia="en-GB"/>
        </w:rPr>
      </w:pPr>
      <w:r w:rsidRPr="26F64964">
        <w:rPr>
          <w:rFonts w:ascii="Calibri" w:eastAsia="Times New Roman" w:hAnsi="Calibri" w:cs="Calibri"/>
          <w:color w:val="212121"/>
          <w:lang w:val="en-GB" w:eastAsia="en-GB"/>
        </w:rPr>
        <w:t>Previous s</w:t>
      </w:r>
      <w:r w:rsidR="00FC2702" w:rsidRPr="26F64964">
        <w:rPr>
          <w:rFonts w:ascii="Calibri" w:eastAsia="Times New Roman" w:hAnsi="Calibri" w:cs="Calibri"/>
          <w:color w:val="212121"/>
          <w:lang w:val="en-GB" w:eastAsia="en-GB"/>
        </w:rPr>
        <w:t>tudies have identified that patients feel empowered and safe when using health devices</w:t>
      </w:r>
      <w:r w:rsidR="00D55A79" w:rsidRPr="26F64964">
        <w:rPr>
          <w:rFonts w:ascii="Calibri" w:eastAsia="Times New Roman" w:hAnsi="Calibri" w:cs="Calibri"/>
          <w:color w:val="212121"/>
          <w:lang w:val="en-GB" w:eastAsia="en-GB"/>
        </w:rPr>
        <w:t xml:space="preserve">, </w:t>
      </w:r>
      <w:r w:rsidR="00D55A79" w:rsidRPr="26F64964">
        <w:rPr>
          <w:rFonts w:ascii="Calibri" w:eastAsia="Times New Roman" w:hAnsi="Calibri" w:cs="Calibri"/>
          <w:lang w:val="en-GB" w:eastAsia="en-GB"/>
        </w:rPr>
        <w:t xml:space="preserve">as </w:t>
      </w:r>
      <w:r w:rsidR="009431AE" w:rsidRPr="26F64964">
        <w:rPr>
          <w:rFonts w:ascii="Calibri" w:eastAsia="Times New Roman" w:hAnsi="Calibri" w:cs="Calibri"/>
          <w:lang w:val="en-GB" w:eastAsia="en-GB"/>
        </w:rPr>
        <w:t xml:space="preserve">these tools provide </w:t>
      </w:r>
      <w:r w:rsidR="00D55A79" w:rsidRPr="26F64964">
        <w:rPr>
          <w:rFonts w:ascii="Calibri" w:eastAsia="Times New Roman" w:hAnsi="Calibri" w:cs="Calibri"/>
          <w:lang w:val="en-GB" w:eastAsia="en-GB"/>
        </w:rPr>
        <w:t xml:space="preserve">patients </w:t>
      </w:r>
      <w:r w:rsidR="009431AE" w:rsidRPr="26F64964">
        <w:rPr>
          <w:rFonts w:ascii="Calibri" w:eastAsia="Times New Roman" w:hAnsi="Calibri" w:cs="Calibri"/>
          <w:lang w:val="en-GB" w:eastAsia="en-GB"/>
        </w:rPr>
        <w:t xml:space="preserve">with </w:t>
      </w:r>
      <w:r w:rsidR="00DE4B08" w:rsidRPr="26F64964">
        <w:rPr>
          <w:rFonts w:ascii="Calibri" w:eastAsia="Times New Roman" w:hAnsi="Calibri" w:cs="Calibri"/>
          <w:highlight w:val="white"/>
          <w:lang w:val="en-GB" w:eastAsia="en-GB"/>
        </w:rPr>
        <w:t>a sense of control and autonomy</w:t>
      </w:r>
      <w:r w:rsidR="00FC2702" w:rsidRPr="26F64964">
        <w:rPr>
          <w:rFonts w:ascii="Calibri" w:eastAsia="Times New Roman" w:hAnsi="Calibri" w:cs="Calibri"/>
          <w:lang w:val="en-GB" w:eastAsia="en-GB"/>
        </w:rPr>
        <w:t xml:space="preserve"> </w:t>
      </w:r>
      <w:r w:rsidR="00DE4B08" w:rsidRPr="26F64964">
        <w:rPr>
          <w:rFonts w:ascii="Calibri" w:eastAsia="Times New Roman" w:hAnsi="Calibri" w:cs="Calibri"/>
          <w:lang w:val="en-GB" w:eastAsia="en-GB"/>
        </w:rPr>
        <w:t xml:space="preserve">over their health </w:t>
      </w:r>
      <w:r w:rsidR="00FC2702" w:rsidRPr="26F64964">
        <w:rPr>
          <w:rFonts w:ascii="Calibri" w:eastAsia="Times New Roman" w:hAnsi="Calibri" w:cs="Calibri"/>
          <w:color w:val="212121"/>
          <w:lang w:val="en-GB" w:eastAsia="en-GB"/>
        </w:rPr>
        <w:t>(</w:t>
      </w:r>
      <w:r w:rsidRPr="26F64964">
        <w:rPr>
          <w:rFonts w:ascii="Calibri" w:eastAsia="Times New Roman" w:hAnsi="Calibri" w:cs="Calibri"/>
          <w:color w:val="212121"/>
          <w:lang w:val="en-GB" w:eastAsia="en-GB"/>
        </w:rPr>
        <w:t xml:space="preserve">e.g., </w:t>
      </w:r>
      <w:r w:rsidR="00FC2702" w:rsidRPr="26F64964">
        <w:rPr>
          <w:rFonts w:ascii="Calibri" w:eastAsia="Times New Roman" w:hAnsi="Calibri" w:cs="Calibri"/>
          <w:color w:val="212121"/>
          <w:lang w:val="en-GB" w:eastAsia="en-GB"/>
        </w:rPr>
        <w:t xml:space="preserve">Eno et al., 2018; </w:t>
      </w:r>
      <w:r w:rsidR="00FC2702" w:rsidRPr="6A640EE8">
        <w:rPr>
          <w:rFonts w:ascii="Calibri" w:eastAsia="Times New Roman" w:hAnsi="Calibri" w:cs="Calibri"/>
          <w:color w:val="212121"/>
          <w:highlight w:val="white"/>
          <w:lang w:val="en-GB" w:eastAsia="en-GB"/>
        </w:rPr>
        <w:t>Gomis-Pastor et al., 2021</w:t>
      </w:r>
      <w:r w:rsidR="00FC2702" w:rsidRPr="26F64964">
        <w:rPr>
          <w:rFonts w:ascii="Calibri" w:eastAsia="Times New Roman" w:hAnsi="Calibri" w:cs="Calibri"/>
          <w:color w:val="212121"/>
          <w:lang w:val="en-GB" w:eastAsia="en-GB"/>
        </w:rPr>
        <w:t xml:space="preserve">; </w:t>
      </w:r>
      <w:proofErr w:type="spellStart"/>
      <w:r w:rsidR="00FC2702" w:rsidRPr="26F64964">
        <w:rPr>
          <w:rFonts w:ascii="Calibri" w:eastAsia="Times New Roman" w:hAnsi="Calibri" w:cs="Calibri"/>
          <w:color w:val="212121"/>
          <w:lang w:val="en-GB" w:eastAsia="en-GB"/>
        </w:rPr>
        <w:t>Mussetti</w:t>
      </w:r>
      <w:proofErr w:type="spellEnd"/>
      <w:r w:rsidR="00FC2702" w:rsidRPr="26F64964">
        <w:rPr>
          <w:rFonts w:ascii="Calibri" w:eastAsia="Times New Roman" w:hAnsi="Calibri" w:cs="Calibri"/>
          <w:color w:val="212121"/>
          <w:lang w:val="en-GB" w:eastAsia="en-GB"/>
        </w:rPr>
        <w:t xml:space="preserve">, Salas, Condom, Antonio, Ochoa, Ivan, Torre, Linares, </w:t>
      </w:r>
      <w:proofErr w:type="spellStart"/>
      <w:r w:rsidR="00FC2702" w:rsidRPr="26F64964">
        <w:rPr>
          <w:rFonts w:ascii="Calibri" w:eastAsia="Times New Roman" w:hAnsi="Calibri" w:cs="Calibri"/>
          <w:color w:val="212121"/>
          <w:lang w:val="en-GB" w:eastAsia="en-GB"/>
        </w:rPr>
        <w:t>Ansoleaga</w:t>
      </w:r>
      <w:proofErr w:type="spellEnd"/>
      <w:r w:rsidR="00FC2702" w:rsidRPr="26F64964">
        <w:rPr>
          <w:rFonts w:ascii="Calibri" w:eastAsia="Times New Roman" w:hAnsi="Calibri" w:cs="Calibri"/>
          <w:color w:val="212121"/>
          <w:lang w:val="en-GB" w:eastAsia="en-GB"/>
        </w:rPr>
        <w:t xml:space="preserve">, </w:t>
      </w:r>
      <w:proofErr w:type="spellStart"/>
      <w:r w:rsidR="00FC2702" w:rsidRPr="26F64964">
        <w:rPr>
          <w:rFonts w:ascii="Calibri" w:eastAsia="Times New Roman" w:hAnsi="Calibri" w:cs="Calibri"/>
          <w:color w:val="212121"/>
          <w:lang w:val="en-GB" w:eastAsia="en-GB"/>
        </w:rPr>
        <w:t>Patiño</w:t>
      </w:r>
      <w:proofErr w:type="spellEnd"/>
      <w:r w:rsidR="00FC2702" w:rsidRPr="26F64964">
        <w:rPr>
          <w:rFonts w:ascii="Calibri" w:eastAsia="Times New Roman" w:hAnsi="Calibri" w:cs="Calibri"/>
          <w:color w:val="212121"/>
          <w:lang w:val="en-GB" w:eastAsia="en-GB"/>
        </w:rPr>
        <w:t>-Gutierrez, Jimenez-Prat, Parody &amp; Sureda-Balari, 2021). Through these devices, patients gain the tools for self-management and early symptom detection, empowering proactive health decisions (</w:t>
      </w:r>
      <w:r w:rsidR="00FC2702" w:rsidRPr="6A640EE8">
        <w:rPr>
          <w:rFonts w:ascii="Calibri" w:eastAsia="Times New Roman" w:hAnsi="Calibri" w:cs="Calibri"/>
          <w:color w:val="212121"/>
          <w:highlight w:val="white"/>
          <w:lang w:val="en-GB" w:eastAsia="en-GB"/>
        </w:rPr>
        <w:t>Gomis-Pastor et al., 2021</w:t>
      </w:r>
      <w:r w:rsidR="00FC2702" w:rsidRPr="26F64964">
        <w:rPr>
          <w:rFonts w:ascii="Calibri" w:eastAsia="Times New Roman" w:hAnsi="Calibri" w:cs="Calibri"/>
          <w:color w:val="212121"/>
          <w:lang w:val="en-GB" w:eastAsia="en-GB"/>
        </w:rPr>
        <w:t>). This empowerment extends to the reporting of outcomes, enabling preventative strategies and informed discussions with healthcare providers (</w:t>
      </w:r>
      <w:r w:rsidR="00FC2702" w:rsidRPr="6A640EE8">
        <w:rPr>
          <w:rFonts w:ascii="Calibri" w:eastAsia="Times New Roman" w:hAnsi="Calibri" w:cs="Calibri"/>
          <w:color w:val="212121"/>
          <w:highlight w:val="white"/>
          <w:lang w:val="en-GB" w:eastAsia="en-GB"/>
        </w:rPr>
        <w:t>Gomis-Pastor et al., 2021</w:t>
      </w:r>
      <w:r w:rsidR="00FC2702" w:rsidRPr="6A640EE8">
        <w:rPr>
          <w:rFonts w:ascii="Calibri" w:eastAsia="Times New Roman" w:hAnsi="Calibri" w:cs="Calibri"/>
          <w:color w:val="212121"/>
          <w:lang w:val="en-GB" w:eastAsia="en-GB"/>
        </w:rPr>
        <w:t xml:space="preserve">; </w:t>
      </w:r>
      <w:r w:rsidR="00FC2702" w:rsidRPr="6A640EE8">
        <w:rPr>
          <w:rFonts w:ascii="Calibri" w:eastAsia="Times New Roman" w:hAnsi="Calibri" w:cs="Calibri"/>
          <w:color w:val="212121"/>
          <w:highlight w:val="white"/>
          <w:lang w:val="en-GB" w:eastAsia="en-GB"/>
        </w:rPr>
        <w:t>Vaughn et al., 2020</w:t>
      </w:r>
      <w:r w:rsidR="00FC2702" w:rsidRPr="26F64964">
        <w:rPr>
          <w:rFonts w:ascii="Calibri" w:eastAsia="Times New Roman" w:hAnsi="Calibri" w:cs="Calibri"/>
          <w:color w:val="212121"/>
          <w:lang w:val="en-GB" w:eastAsia="en-GB"/>
        </w:rPr>
        <w:t xml:space="preserve">). </w:t>
      </w:r>
      <w:r w:rsidR="00B94A3C" w:rsidRPr="26F64964">
        <w:rPr>
          <w:rFonts w:ascii="Calibri" w:eastAsia="Times New Roman" w:hAnsi="Calibri" w:cs="Calibri"/>
          <w:color w:val="212121"/>
          <w:lang w:val="en-GB" w:eastAsia="en-GB"/>
        </w:rPr>
        <w:t xml:space="preserve">In terms of safety, patients feel safer in using digital tools to engage with </w:t>
      </w:r>
      <w:r w:rsidR="005F0071" w:rsidRPr="26F64964">
        <w:rPr>
          <w:rFonts w:ascii="Calibri" w:eastAsia="Times New Roman" w:hAnsi="Calibri" w:cs="Calibri"/>
          <w:color w:val="212121"/>
          <w:lang w:val="en-GB" w:eastAsia="en-GB"/>
        </w:rPr>
        <w:t>clinicians</w:t>
      </w:r>
      <w:r w:rsidR="00B94A3C" w:rsidRPr="26F64964">
        <w:rPr>
          <w:rFonts w:ascii="Calibri" w:eastAsia="Times New Roman" w:hAnsi="Calibri" w:cs="Calibri"/>
          <w:color w:val="212121"/>
          <w:lang w:val="en-GB" w:eastAsia="en-GB"/>
        </w:rPr>
        <w:t>, one study mentioned how a patient felt it was less confronting th</w:t>
      </w:r>
      <w:r w:rsidR="00F93839" w:rsidRPr="26F64964">
        <w:rPr>
          <w:rFonts w:ascii="Calibri" w:eastAsia="Times New Roman" w:hAnsi="Calibri" w:cs="Calibri"/>
          <w:color w:val="212121"/>
          <w:lang w:val="en-GB" w:eastAsia="en-GB"/>
        </w:rPr>
        <w:t>an</w:t>
      </w:r>
      <w:r w:rsidR="00B94A3C" w:rsidRPr="26F64964">
        <w:rPr>
          <w:rFonts w:ascii="Calibri" w:eastAsia="Times New Roman" w:hAnsi="Calibri" w:cs="Calibri"/>
          <w:color w:val="212121"/>
          <w:lang w:val="en-GB" w:eastAsia="en-GB"/>
        </w:rPr>
        <w:t xml:space="preserve"> face-to-face visit</w:t>
      </w:r>
      <w:r w:rsidR="00F93839" w:rsidRPr="26F64964">
        <w:rPr>
          <w:rFonts w:ascii="Calibri" w:eastAsia="Times New Roman" w:hAnsi="Calibri" w:cs="Calibri"/>
          <w:color w:val="212121"/>
          <w:lang w:val="en-GB" w:eastAsia="en-GB"/>
        </w:rPr>
        <w:t>s as there is less anxiety around appearance and</w:t>
      </w:r>
      <w:r w:rsidR="002C64F6" w:rsidRPr="26F64964">
        <w:rPr>
          <w:rFonts w:ascii="Calibri" w:eastAsia="Times New Roman" w:hAnsi="Calibri" w:cs="Calibri"/>
          <w:color w:val="212121"/>
          <w:lang w:val="en-GB" w:eastAsia="en-GB"/>
        </w:rPr>
        <w:t xml:space="preserve"> </w:t>
      </w:r>
      <w:proofErr w:type="spellStart"/>
      <w:r w:rsidR="002C64F6" w:rsidRPr="26F64964">
        <w:rPr>
          <w:rFonts w:ascii="Calibri" w:eastAsia="Times New Roman" w:hAnsi="Calibri" w:cs="Calibri"/>
          <w:color w:val="212121"/>
          <w:lang w:val="en-GB" w:eastAsia="en-GB"/>
        </w:rPr>
        <w:t>behavior</w:t>
      </w:r>
      <w:proofErr w:type="spellEnd"/>
      <w:r w:rsidR="002C64F6" w:rsidRPr="26F64964">
        <w:rPr>
          <w:rFonts w:ascii="Calibri" w:eastAsia="Times New Roman" w:hAnsi="Calibri" w:cs="Calibri"/>
          <w:color w:val="212121"/>
          <w:lang w:val="en-GB" w:eastAsia="en-GB"/>
        </w:rPr>
        <w:t xml:space="preserve"> (</w:t>
      </w:r>
      <w:r w:rsidR="00681E8A" w:rsidRPr="6A640EE8">
        <w:rPr>
          <w:rFonts w:ascii="Calibri" w:eastAsia="Times New Roman" w:hAnsi="Calibri" w:cs="Calibri"/>
          <w:color w:val="212121"/>
          <w:highlight w:val="white"/>
          <w:lang w:val="en-GB" w:eastAsia="en-GB"/>
        </w:rPr>
        <w:t>Barnett, Campbell</w:t>
      </w:r>
      <w:r w:rsidR="00B31261" w:rsidRPr="6A640EE8">
        <w:rPr>
          <w:rFonts w:ascii="Calibri" w:eastAsia="Times New Roman" w:hAnsi="Calibri" w:cs="Calibri"/>
          <w:color w:val="212121"/>
          <w:highlight w:val="white"/>
          <w:lang w:val="en-GB" w:eastAsia="en-GB"/>
        </w:rPr>
        <w:t>, Mayr, Keating, Macdonald &amp;</w:t>
      </w:r>
      <w:r w:rsidR="00B31261" w:rsidRPr="6A640EE8">
        <w:rPr>
          <w:rFonts w:ascii="Calibri" w:eastAsia="Times New Roman" w:hAnsi="Calibri" w:cs="Calibri"/>
          <w:color w:val="212121"/>
          <w:lang w:val="en-GB" w:eastAsia="en-GB"/>
        </w:rPr>
        <w:t xml:space="preserve"> </w:t>
      </w:r>
      <w:r w:rsidR="00B31261" w:rsidRPr="6A640EE8">
        <w:rPr>
          <w:rFonts w:ascii="Calibri" w:eastAsia="Times New Roman" w:hAnsi="Calibri" w:cs="Calibri"/>
          <w:color w:val="212121"/>
          <w:highlight w:val="white"/>
          <w:lang w:val="en-GB" w:eastAsia="en-GB"/>
        </w:rPr>
        <w:t>Hickman, 2021</w:t>
      </w:r>
      <w:r w:rsidR="00B94A3C" w:rsidRPr="26F64964">
        <w:rPr>
          <w:rFonts w:ascii="Calibri" w:eastAsia="Times New Roman" w:hAnsi="Calibri" w:cs="Calibri"/>
          <w:color w:val="212121"/>
          <w:lang w:val="en-GB" w:eastAsia="en-GB"/>
        </w:rPr>
        <w:t>)</w:t>
      </w:r>
      <w:r w:rsidR="003F6831" w:rsidRPr="26F64964">
        <w:rPr>
          <w:rFonts w:ascii="Calibri" w:eastAsia="Times New Roman" w:hAnsi="Calibri" w:cs="Calibri"/>
          <w:color w:val="212121"/>
          <w:lang w:val="en-GB" w:eastAsia="en-GB"/>
        </w:rPr>
        <w:t>. Telehealth was also beneficial in reducing fears associated with in-clinic visits during the pandemic as identified by studies (</w:t>
      </w:r>
      <w:proofErr w:type="spellStart"/>
      <w:r w:rsidR="00587AAE" w:rsidRPr="26F64964">
        <w:rPr>
          <w:rFonts w:ascii="Calibri" w:eastAsia="Times New Roman" w:hAnsi="Calibri" w:cs="Calibri"/>
          <w:color w:val="212121"/>
          <w:lang w:val="en-GB" w:eastAsia="en-GB"/>
        </w:rPr>
        <w:t>Delman</w:t>
      </w:r>
      <w:proofErr w:type="spellEnd"/>
      <w:r w:rsidR="00587AAE" w:rsidRPr="26F64964">
        <w:rPr>
          <w:rFonts w:ascii="Calibri" w:eastAsia="Times New Roman" w:hAnsi="Calibri" w:cs="Calibri"/>
          <w:color w:val="212121"/>
          <w:lang w:val="en-GB" w:eastAsia="en-GB"/>
        </w:rPr>
        <w:t xml:space="preserve">, Turner, Jones, </w:t>
      </w:r>
      <w:proofErr w:type="spellStart"/>
      <w:r w:rsidR="00587AAE" w:rsidRPr="26F64964">
        <w:rPr>
          <w:rFonts w:ascii="Calibri" w:eastAsia="Times New Roman" w:hAnsi="Calibri" w:cs="Calibri"/>
          <w:color w:val="212121"/>
          <w:lang w:val="en-GB" w:eastAsia="en-GB"/>
        </w:rPr>
        <w:t>Vaysburg</w:t>
      </w:r>
      <w:proofErr w:type="spellEnd"/>
      <w:r w:rsidR="00587AAE" w:rsidRPr="26F64964">
        <w:rPr>
          <w:rFonts w:ascii="Calibri" w:eastAsia="Times New Roman" w:hAnsi="Calibri" w:cs="Calibri"/>
          <w:color w:val="212121"/>
          <w:lang w:val="en-GB" w:eastAsia="en-GB"/>
        </w:rPr>
        <w:t xml:space="preserve">, </w:t>
      </w:r>
      <w:proofErr w:type="spellStart"/>
      <w:r w:rsidR="00587AAE" w:rsidRPr="26F64964">
        <w:rPr>
          <w:rFonts w:ascii="Calibri" w:eastAsia="Times New Roman" w:hAnsi="Calibri" w:cs="Calibri"/>
          <w:color w:val="212121"/>
          <w:lang w:val="en-GB" w:eastAsia="en-GB"/>
        </w:rPr>
        <w:t>Silski</w:t>
      </w:r>
      <w:proofErr w:type="spellEnd"/>
      <w:r w:rsidR="00587AAE" w:rsidRPr="26F64964">
        <w:rPr>
          <w:rFonts w:ascii="Calibri" w:eastAsia="Times New Roman" w:hAnsi="Calibri" w:cs="Calibri"/>
          <w:color w:val="212121"/>
          <w:lang w:val="en-GB" w:eastAsia="en-GB"/>
        </w:rPr>
        <w:t xml:space="preserve">, King, Luckett, Safdar, </w:t>
      </w:r>
      <w:proofErr w:type="spellStart"/>
      <w:r w:rsidR="00587AAE" w:rsidRPr="26F64964">
        <w:rPr>
          <w:rFonts w:ascii="Calibri" w:eastAsia="Times New Roman" w:hAnsi="Calibri" w:cs="Calibri"/>
          <w:color w:val="212121"/>
          <w:lang w:val="en-GB" w:eastAsia="en-GB"/>
        </w:rPr>
        <w:t>Quil</w:t>
      </w:r>
      <w:r w:rsidR="004274C5" w:rsidRPr="26F64964">
        <w:rPr>
          <w:rFonts w:ascii="Calibri" w:eastAsia="Times New Roman" w:hAnsi="Calibri" w:cs="Calibri"/>
          <w:color w:val="212121"/>
          <w:lang w:val="en-GB" w:eastAsia="en-GB"/>
        </w:rPr>
        <w:t>lin</w:t>
      </w:r>
      <w:proofErr w:type="spellEnd"/>
      <w:r w:rsidR="004274C5" w:rsidRPr="26F64964">
        <w:rPr>
          <w:rFonts w:ascii="Calibri" w:eastAsia="Times New Roman" w:hAnsi="Calibri" w:cs="Calibri"/>
          <w:color w:val="212121"/>
          <w:lang w:val="en-GB" w:eastAsia="en-GB"/>
        </w:rPr>
        <w:t xml:space="preserve"> &amp; Shah; </w:t>
      </w:r>
      <w:proofErr w:type="spellStart"/>
      <w:r w:rsidR="0046273D" w:rsidRPr="6A640EE8">
        <w:rPr>
          <w:rFonts w:ascii="Calibri" w:eastAsia="Times New Roman" w:hAnsi="Calibri" w:cs="Calibri"/>
          <w:color w:val="212121"/>
          <w:highlight w:val="white"/>
          <w:lang w:val="en-GB" w:eastAsia="en-GB"/>
        </w:rPr>
        <w:t>Huuskes</w:t>
      </w:r>
      <w:proofErr w:type="spellEnd"/>
      <w:r w:rsidR="0046273D" w:rsidRPr="6A640EE8">
        <w:rPr>
          <w:rFonts w:ascii="Calibri" w:eastAsia="Times New Roman" w:hAnsi="Calibri" w:cs="Calibri"/>
          <w:color w:val="212121"/>
          <w:highlight w:val="white"/>
          <w:lang w:val="en-GB" w:eastAsia="en-GB"/>
        </w:rPr>
        <w:t xml:space="preserve"> et al., 2021</w:t>
      </w:r>
      <w:r w:rsidR="004274C5" w:rsidRPr="26F64964">
        <w:rPr>
          <w:rFonts w:ascii="Calibri" w:eastAsia="Times New Roman" w:hAnsi="Calibri" w:cs="Calibri"/>
          <w:color w:val="212121"/>
          <w:lang w:val="en-GB" w:eastAsia="en-GB"/>
        </w:rPr>
        <w:t xml:space="preserve">). </w:t>
      </w:r>
    </w:p>
    <w:p w14:paraId="3ECF645D" w14:textId="77777777" w:rsidR="00626F00" w:rsidRDefault="00626F00" w:rsidP="00FC2702">
      <w:pPr>
        <w:spacing w:line="360" w:lineRule="auto"/>
        <w:jc w:val="both"/>
        <w:rPr>
          <w:rFonts w:ascii="Calibri" w:eastAsia="Times New Roman" w:hAnsi="Calibri" w:cs="Calibri"/>
          <w:color w:val="212121"/>
          <w:lang w:val="en-GB" w:eastAsia="en-GB"/>
        </w:rPr>
      </w:pPr>
    </w:p>
    <w:p w14:paraId="5D4160B7" w14:textId="77777777" w:rsidR="00626F00" w:rsidRPr="00FC2702" w:rsidRDefault="00626F00" w:rsidP="00FC2702">
      <w:pPr>
        <w:spacing w:line="360" w:lineRule="auto"/>
        <w:jc w:val="both"/>
        <w:rPr>
          <w:rFonts w:ascii="Calibri" w:eastAsia="Times New Roman" w:hAnsi="Calibri" w:cs="Calibri"/>
          <w:color w:val="212121"/>
          <w:lang w:val="en-GB" w:eastAsia="en-GB"/>
        </w:rPr>
      </w:pPr>
    </w:p>
    <w:p w14:paraId="0C27906B" w14:textId="3473A17A" w:rsidR="00FC2702" w:rsidRPr="00FC2702" w:rsidRDefault="00FC2702" w:rsidP="00FC2702">
      <w:pPr>
        <w:pStyle w:val="Heading3"/>
        <w:jc w:val="left"/>
        <w:rPr>
          <w:rFonts w:eastAsia="Times New Roman"/>
          <w:lang w:val="en-GB" w:eastAsia="en-GB"/>
        </w:rPr>
      </w:pPr>
      <w:bookmarkStart w:id="31" w:name="_Toc166853996"/>
      <w:r>
        <w:rPr>
          <w:rFonts w:eastAsia="Times New Roman"/>
          <w:lang w:val="en-GB" w:eastAsia="en-GB"/>
        </w:rPr>
        <w:lastRenderedPageBreak/>
        <w:t xml:space="preserve">4.2.4 </w:t>
      </w:r>
      <w:r w:rsidRPr="00FC2702">
        <w:rPr>
          <w:rFonts w:eastAsia="Times New Roman"/>
          <w:lang w:val="en-GB" w:eastAsia="en-GB"/>
        </w:rPr>
        <w:t>Cost-Efficiency and Time Saving</w:t>
      </w:r>
      <w:bookmarkEnd w:id="31"/>
    </w:p>
    <w:p w14:paraId="0A7A62B9" w14:textId="24A1B6DB" w:rsidR="00397165" w:rsidRPr="00293907" w:rsidRDefault="00D2302D" w:rsidP="00FC2702">
      <w:pPr>
        <w:spacing w:line="360" w:lineRule="auto"/>
        <w:jc w:val="both"/>
        <w:rPr>
          <w:rFonts w:ascii="Calibri" w:eastAsia="Times New Roman" w:hAnsi="Calibri" w:cs="Calibri"/>
          <w:lang w:val="en-GB" w:eastAsia="en-GB"/>
        </w:rPr>
      </w:pPr>
      <w:r w:rsidRPr="26F64964">
        <w:rPr>
          <w:rFonts w:ascii="Calibri" w:eastAsia="Times New Roman" w:hAnsi="Calibri" w:cs="Calibri"/>
          <w:color w:val="212121"/>
          <w:lang w:val="en-GB" w:eastAsia="en-GB"/>
        </w:rPr>
        <w:t>I</w:t>
      </w:r>
      <w:r w:rsidR="00FC2702" w:rsidRPr="26F64964">
        <w:rPr>
          <w:rFonts w:ascii="Calibri" w:eastAsia="Times New Roman" w:hAnsi="Calibri" w:cs="Calibri"/>
          <w:color w:val="212121"/>
          <w:lang w:val="en-GB" w:eastAsia="en-GB"/>
        </w:rPr>
        <w:t xml:space="preserve">ntegration of health devices heralds a transformative era of cost-efficient and time-saving healthcare solutions for patients (Forbes et al., </w:t>
      </w:r>
      <w:r w:rsidR="00EB5CED" w:rsidRPr="26F64964">
        <w:rPr>
          <w:rFonts w:ascii="Calibri" w:eastAsia="Times New Roman" w:hAnsi="Calibri" w:cs="Calibri"/>
          <w:color w:val="212121"/>
          <w:lang w:val="en-GB" w:eastAsia="en-GB"/>
        </w:rPr>
        <w:t xml:space="preserve">2018; </w:t>
      </w:r>
      <w:proofErr w:type="spellStart"/>
      <w:r w:rsidR="00FC2702" w:rsidRPr="6A640EE8">
        <w:rPr>
          <w:rFonts w:ascii="Calibri" w:eastAsia="Times New Roman" w:hAnsi="Calibri" w:cs="Calibri"/>
          <w:color w:val="212121"/>
          <w:highlight w:val="white"/>
          <w:lang w:val="en-GB" w:eastAsia="en-GB"/>
        </w:rPr>
        <w:t>Huuskes</w:t>
      </w:r>
      <w:proofErr w:type="spellEnd"/>
      <w:r w:rsidR="0046273D" w:rsidRPr="6A640EE8">
        <w:rPr>
          <w:rFonts w:ascii="Calibri" w:eastAsia="Times New Roman" w:hAnsi="Calibri" w:cs="Calibri"/>
          <w:color w:val="212121"/>
          <w:highlight w:val="white"/>
          <w:lang w:val="en-GB" w:eastAsia="en-GB"/>
        </w:rPr>
        <w:t xml:space="preserve"> et al., 2021</w:t>
      </w:r>
      <w:r w:rsidR="00FC2702" w:rsidRPr="6A640EE8">
        <w:rPr>
          <w:rFonts w:ascii="Calibri" w:eastAsia="Times New Roman" w:hAnsi="Calibri" w:cs="Calibri"/>
          <w:color w:val="212121"/>
          <w:lang w:val="en-GB" w:eastAsia="en-GB"/>
        </w:rPr>
        <w:t xml:space="preserve">; </w:t>
      </w:r>
      <w:r w:rsidR="00FC2702" w:rsidRPr="6A640EE8">
        <w:rPr>
          <w:rFonts w:ascii="Calibri" w:eastAsia="Times New Roman" w:hAnsi="Calibri" w:cs="Calibri"/>
          <w:color w:val="212121"/>
          <w:highlight w:val="white"/>
          <w:lang w:val="en-GB" w:eastAsia="en-GB"/>
        </w:rPr>
        <w:t>Sidhu et al., 2019</w:t>
      </w:r>
      <w:r w:rsidR="00FC2702" w:rsidRPr="26F64964">
        <w:rPr>
          <w:rFonts w:ascii="Calibri" w:eastAsia="Times New Roman" w:hAnsi="Calibri" w:cs="Calibri"/>
          <w:color w:val="212121"/>
          <w:lang w:val="en-GB" w:eastAsia="en-GB"/>
        </w:rPr>
        <w:t>). These devices streamline healthcare processes, reducing both time and financial burdens for clinics and patients alike. By minimizing the need for extensive travel or appointments, they save valuable time for patients, limiting work disruptions and cutting down on waiting times (</w:t>
      </w:r>
      <w:r w:rsidR="00FC2702" w:rsidRPr="6A640EE8">
        <w:rPr>
          <w:rFonts w:ascii="Calibri" w:eastAsia="Times New Roman" w:hAnsi="Calibri" w:cs="Calibri"/>
          <w:color w:val="212121"/>
          <w:highlight w:val="white"/>
          <w:lang w:val="en-GB" w:eastAsia="en-GB"/>
        </w:rPr>
        <w:t>Hickman et al., 2021</w:t>
      </w:r>
      <w:r w:rsidR="00FC2702" w:rsidRPr="6A640EE8">
        <w:rPr>
          <w:rFonts w:ascii="Calibri" w:eastAsia="Times New Roman" w:hAnsi="Calibri" w:cs="Calibri"/>
          <w:color w:val="212121"/>
          <w:lang w:val="en-GB" w:eastAsia="en-GB"/>
        </w:rPr>
        <w:t xml:space="preserve">; </w:t>
      </w:r>
      <w:r w:rsidR="00FC2702" w:rsidRPr="6A640EE8">
        <w:rPr>
          <w:rFonts w:ascii="Calibri" w:eastAsia="Times New Roman" w:hAnsi="Calibri" w:cs="Calibri"/>
          <w:color w:val="212121"/>
          <w:highlight w:val="white"/>
          <w:lang w:val="en-GB" w:eastAsia="en-GB"/>
        </w:rPr>
        <w:t>John et al., 2020</w:t>
      </w:r>
      <w:r w:rsidR="00FE655C" w:rsidRPr="6A640EE8">
        <w:rPr>
          <w:rFonts w:ascii="Calibri" w:eastAsia="Times New Roman" w:hAnsi="Calibri" w:cs="Calibri"/>
          <w:color w:val="212121"/>
          <w:lang w:val="en-GB" w:eastAsia="en-GB"/>
        </w:rPr>
        <w:t>).</w:t>
      </w:r>
      <w:r w:rsidR="00FC2702" w:rsidRPr="6A640EE8">
        <w:rPr>
          <w:rFonts w:ascii="Calibri" w:eastAsia="Times New Roman" w:hAnsi="Calibri" w:cs="Calibri"/>
          <w:color w:val="7030A0"/>
          <w:lang w:val="en-GB" w:eastAsia="en-GB"/>
        </w:rPr>
        <w:t xml:space="preserve"> </w:t>
      </w:r>
      <w:proofErr w:type="spellStart"/>
      <w:r w:rsidR="00686411" w:rsidRPr="6A640EE8">
        <w:rPr>
          <w:rFonts w:ascii="Calibri" w:eastAsia="Times New Roman" w:hAnsi="Calibri" w:cs="Calibri"/>
          <w:highlight w:val="white"/>
          <w:lang w:val="en-GB" w:eastAsia="en-GB"/>
        </w:rPr>
        <w:t>Huuskes</w:t>
      </w:r>
      <w:proofErr w:type="spellEnd"/>
      <w:r w:rsidR="00686411" w:rsidRPr="6A640EE8">
        <w:rPr>
          <w:rFonts w:ascii="Calibri" w:eastAsia="Times New Roman" w:hAnsi="Calibri" w:cs="Calibri"/>
          <w:highlight w:val="white"/>
          <w:lang w:val="en-GB" w:eastAsia="en-GB"/>
        </w:rPr>
        <w:t xml:space="preserve"> and colleagues (2021)</w:t>
      </w:r>
      <w:r w:rsidR="00686411" w:rsidRPr="26F64964">
        <w:rPr>
          <w:rFonts w:ascii="Calibri" w:eastAsia="Times New Roman" w:hAnsi="Calibri" w:cs="Calibri"/>
          <w:lang w:val="en-GB" w:eastAsia="en-GB"/>
        </w:rPr>
        <w:t xml:space="preserve"> report </w:t>
      </w:r>
      <w:r w:rsidR="00642C13" w:rsidRPr="26F64964">
        <w:rPr>
          <w:rFonts w:ascii="Calibri" w:eastAsia="Times New Roman" w:hAnsi="Calibri" w:cs="Calibri"/>
          <w:lang w:val="en-GB" w:eastAsia="en-GB"/>
        </w:rPr>
        <w:t xml:space="preserve">patients’ </w:t>
      </w:r>
      <w:r w:rsidR="00F10565" w:rsidRPr="26F64964">
        <w:rPr>
          <w:rFonts w:ascii="Calibri" w:eastAsia="Times New Roman" w:hAnsi="Calibri" w:cs="Calibri"/>
          <w:lang w:val="en-GB" w:eastAsia="en-GB"/>
        </w:rPr>
        <w:t xml:space="preserve">preference for telehealth because of savings on </w:t>
      </w:r>
      <w:r w:rsidR="00B6505A" w:rsidRPr="26F64964">
        <w:rPr>
          <w:rFonts w:ascii="Calibri" w:eastAsia="Times New Roman" w:hAnsi="Calibri" w:cs="Calibri"/>
          <w:lang w:val="en-GB" w:eastAsia="en-GB"/>
        </w:rPr>
        <w:t xml:space="preserve">petrol, </w:t>
      </w:r>
      <w:r w:rsidR="00642C13" w:rsidRPr="26F64964">
        <w:rPr>
          <w:rFonts w:ascii="Calibri" w:eastAsia="Times New Roman" w:hAnsi="Calibri" w:cs="Calibri"/>
          <w:lang w:val="en-GB" w:eastAsia="en-GB"/>
        </w:rPr>
        <w:t xml:space="preserve">and </w:t>
      </w:r>
      <w:r w:rsidR="00B6505A" w:rsidRPr="26F64964">
        <w:rPr>
          <w:rFonts w:ascii="Calibri" w:eastAsia="Times New Roman" w:hAnsi="Calibri" w:cs="Calibri"/>
          <w:lang w:val="en-GB" w:eastAsia="en-GB"/>
        </w:rPr>
        <w:t>hospital parking fees and not having their income negatively impacted</w:t>
      </w:r>
      <w:r w:rsidR="009D4650" w:rsidRPr="26F64964">
        <w:rPr>
          <w:rFonts w:ascii="Calibri" w:eastAsia="Times New Roman" w:hAnsi="Calibri" w:cs="Calibri"/>
          <w:lang w:val="en-GB" w:eastAsia="en-GB"/>
        </w:rPr>
        <w:t xml:space="preserve">. </w:t>
      </w:r>
      <w:r w:rsidR="00FC2702" w:rsidRPr="26F64964">
        <w:rPr>
          <w:rFonts w:ascii="Calibri" w:eastAsia="Times New Roman" w:hAnsi="Calibri" w:cs="Calibri"/>
          <w:lang w:val="en-GB" w:eastAsia="en-GB"/>
        </w:rPr>
        <w:t xml:space="preserve">Simultaneously, the cost-effective nature of remote access to care services and improved accuracy in medication lists not only reduces expenses for clinics but also translates to significant savings for patients in terms of both time and money. </w:t>
      </w:r>
      <w:r w:rsidR="00C0285F" w:rsidRPr="26F64964">
        <w:rPr>
          <w:rFonts w:ascii="Calibri" w:eastAsia="Times New Roman" w:hAnsi="Calibri" w:cs="Calibri"/>
          <w:lang w:val="en-GB" w:eastAsia="en-GB"/>
        </w:rPr>
        <w:t xml:space="preserve">Park and colleagues (2021) report that </w:t>
      </w:r>
      <w:r w:rsidR="00F12555" w:rsidRPr="26F64964">
        <w:rPr>
          <w:rFonts w:ascii="Calibri" w:eastAsia="Times New Roman" w:hAnsi="Calibri" w:cs="Calibri"/>
          <w:lang w:val="en-GB" w:eastAsia="en-GB"/>
        </w:rPr>
        <w:t xml:space="preserve">the use of </w:t>
      </w:r>
      <w:r w:rsidR="00E72746" w:rsidRPr="26F64964">
        <w:rPr>
          <w:rFonts w:ascii="Calibri" w:eastAsia="Times New Roman" w:hAnsi="Calibri" w:cs="Calibri"/>
          <w:lang w:val="en-GB" w:eastAsia="en-GB"/>
        </w:rPr>
        <w:t>telemedicine</w:t>
      </w:r>
      <w:r w:rsidR="00F12555" w:rsidRPr="26F64964">
        <w:rPr>
          <w:rFonts w:ascii="Calibri" w:eastAsia="Times New Roman" w:hAnsi="Calibri" w:cs="Calibri"/>
          <w:lang w:val="en-GB" w:eastAsia="en-GB"/>
        </w:rPr>
        <w:t xml:space="preserve"> </w:t>
      </w:r>
      <w:r w:rsidR="001362AF" w:rsidRPr="26F64964">
        <w:rPr>
          <w:rFonts w:ascii="Calibri" w:eastAsia="Times New Roman" w:hAnsi="Calibri" w:cs="Calibri"/>
          <w:lang w:val="en-GB" w:eastAsia="en-GB"/>
        </w:rPr>
        <w:t>helped identify and prevent medication errors, with medication errors</w:t>
      </w:r>
      <w:r w:rsidR="00EF74BF" w:rsidRPr="26F64964">
        <w:rPr>
          <w:rFonts w:ascii="Calibri" w:eastAsia="Times New Roman" w:hAnsi="Calibri" w:cs="Calibri"/>
          <w:lang w:val="en-GB" w:eastAsia="en-GB"/>
        </w:rPr>
        <w:t xml:space="preserve"> identified</w:t>
      </w:r>
      <w:r w:rsidR="001362AF" w:rsidRPr="26F64964">
        <w:rPr>
          <w:rFonts w:ascii="Calibri" w:eastAsia="Times New Roman" w:hAnsi="Calibri" w:cs="Calibri"/>
          <w:lang w:val="en-GB" w:eastAsia="en-GB"/>
        </w:rPr>
        <w:t xml:space="preserve"> in over 60% of encounters with patients</w:t>
      </w:r>
      <w:r w:rsidR="00EF74BF" w:rsidRPr="26F64964">
        <w:rPr>
          <w:rFonts w:ascii="Calibri" w:eastAsia="Times New Roman" w:hAnsi="Calibri" w:cs="Calibri"/>
          <w:lang w:val="en-GB" w:eastAsia="en-GB"/>
        </w:rPr>
        <w:t xml:space="preserve">. </w:t>
      </w:r>
    </w:p>
    <w:p w14:paraId="48B0085F" w14:textId="4409262B" w:rsidR="00C124A2" w:rsidRDefault="00A56554" w:rsidP="00A203D8">
      <w:pPr>
        <w:pStyle w:val="Heading2"/>
        <w:jc w:val="left"/>
        <w:rPr>
          <w:rFonts w:eastAsia="Times New Roman"/>
          <w:lang w:eastAsia="en-GB"/>
        </w:rPr>
      </w:pPr>
      <w:bookmarkStart w:id="32" w:name="_Toc166853997"/>
      <w:r>
        <w:rPr>
          <w:rFonts w:eastAsia="Times New Roman"/>
          <w:lang w:eastAsia="en-GB"/>
        </w:rPr>
        <w:t>4.3 process of development of digital health</w:t>
      </w:r>
      <w:bookmarkEnd w:id="32"/>
    </w:p>
    <w:p w14:paraId="7B80B066" w14:textId="60971870" w:rsidR="00640D9E" w:rsidRPr="009141DD" w:rsidRDefault="009141DD" w:rsidP="009141DD">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Besides </w:t>
      </w:r>
      <w:r w:rsidR="00642C13" w:rsidRPr="26F64964">
        <w:rPr>
          <w:rFonts w:ascii="Calibri" w:eastAsia="Times New Roman" w:hAnsi="Calibri" w:cs="Calibri"/>
          <w:color w:val="212121"/>
          <w:lang w:eastAsia="en-GB"/>
        </w:rPr>
        <w:t xml:space="preserve">the </w:t>
      </w:r>
      <w:r w:rsidRPr="26F64964">
        <w:rPr>
          <w:rFonts w:ascii="Calibri" w:eastAsia="Times New Roman" w:hAnsi="Calibri" w:cs="Calibri"/>
          <w:color w:val="212121"/>
          <w:lang w:eastAsia="en-GB"/>
        </w:rPr>
        <w:t xml:space="preserve">challenges and benefits of using digital health, </w:t>
      </w:r>
      <w:r w:rsidR="00553BCE" w:rsidRPr="26F64964">
        <w:rPr>
          <w:rFonts w:ascii="Calibri" w:eastAsia="Times New Roman" w:hAnsi="Calibri" w:cs="Calibri"/>
          <w:color w:val="212121"/>
          <w:lang w:eastAsia="en-GB"/>
        </w:rPr>
        <w:t>five</w:t>
      </w:r>
      <w:r w:rsidR="009653BB"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lang w:eastAsia="en-GB"/>
        </w:rPr>
        <w:t xml:space="preserve">studies have also outlined the process of developing digital health interventions for transplantation use. </w:t>
      </w:r>
      <w:r w:rsidR="00AC0D2F" w:rsidRPr="26F64964">
        <w:rPr>
          <w:rFonts w:ascii="Calibri" w:eastAsia="Times New Roman" w:hAnsi="Calibri" w:cs="Calibri"/>
          <w:color w:val="212121"/>
          <w:lang w:eastAsia="en-GB"/>
        </w:rPr>
        <w:t xml:space="preserve">Patient </w:t>
      </w:r>
      <w:proofErr w:type="spellStart"/>
      <w:r w:rsidR="00293907" w:rsidRPr="26F64964">
        <w:rPr>
          <w:rFonts w:ascii="Calibri" w:eastAsia="Times New Roman" w:hAnsi="Calibri" w:cs="Calibri"/>
          <w:color w:val="212121"/>
          <w:lang w:eastAsia="en-GB"/>
        </w:rPr>
        <w:t>cent</w:t>
      </w:r>
      <w:r w:rsidR="00642C13" w:rsidRPr="26F64964">
        <w:rPr>
          <w:rFonts w:ascii="Calibri" w:eastAsia="Times New Roman" w:hAnsi="Calibri" w:cs="Calibri"/>
          <w:color w:val="212121"/>
          <w:lang w:eastAsia="en-GB"/>
        </w:rPr>
        <w:t>e</w:t>
      </w:r>
      <w:r w:rsidR="00293907" w:rsidRPr="26F64964">
        <w:rPr>
          <w:rFonts w:ascii="Calibri" w:eastAsia="Times New Roman" w:hAnsi="Calibri" w:cs="Calibri"/>
          <w:color w:val="212121"/>
          <w:lang w:eastAsia="en-GB"/>
        </w:rPr>
        <w:t>red</w:t>
      </w:r>
      <w:proofErr w:type="spellEnd"/>
      <w:r w:rsidR="00AC0D2F" w:rsidRPr="26F64964">
        <w:rPr>
          <w:rFonts w:ascii="Calibri" w:eastAsia="Times New Roman" w:hAnsi="Calibri" w:cs="Calibri"/>
          <w:color w:val="212121"/>
          <w:lang w:eastAsia="en-GB"/>
        </w:rPr>
        <w:t xml:space="preserve">, and preparation and readiness are the </w:t>
      </w:r>
      <w:r w:rsidR="001675F6" w:rsidRPr="26F64964">
        <w:rPr>
          <w:rFonts w:ascii="Calibri" w:eastAsia="Times New Roman" w:hAnsi="Calibri" w:cs="Calibri"/>
          <w:color w:val="212121"/>
          <w:lang w:eastAsia="en-GB"/>
        </w:rPr>
        <w:t>c</w:t>
      </w:r>
      <w:r w:rsidRPr="26F64964">
        <w:rPr>
          <w:rFonts w:ascii="Calibri" w:eastAsia="Times New Roman" w:hAnsi="Calibri" w:cs="Calibri"/>
          <w:color w:val="212121"/>
          <w:lang w:eastAsia="en-GB"/>
        </w:rPr>
        <w:t>ommon themes that studies have identified as being important factors in the process of developing digital health (</w:t>
      </w:r>
      <w:proofErr w:type="spellStart"/>
      <w:r w:rsidRPr="6A640EE8">
        <w:rPr>
          <w:rFonts w:ascii="Calibri" w:eastAsia="Times New Roman" w:hAnsi="Calibri" w:cs="Calibri"/>
          <w:color w:val="212121"/>
          <w:highlight w:val="white"/>
          <w:lang w:eastAsia="en-GB"/>
        </w:rPr>
        <w:t>Banerter</w:t>
      </w:r>
      <w:proofErr w:type="spellEnd"/>
      <w:r w:rsidRPr="6A640EE8">
        <w:rPr>
          <w:rFonts w:ascii="Calibri" w:eastAsia="Times New Roman" w:hAnsi="Calibri" w:cs="Calibri"/>
          <w:color w:val="212121"/>
          <w:highlight w:val="white"/>
          <w:lang w:eastAsia="en-GB"/>
        </w:rPr>
        <w:t xml:space="preserve">, </w:t>
      </w:r>
      <w:proofErr w:type="spellStart"/>
      <w:r w:rsidRPr="6A640EE8">
        <w:rPr>
          <w:rFonts w:ascii="Calibri" w:eastAsia="Times New Roman" w:hAnsi="Calibri" w:cs="Calibri"/>
          <w:color w:val="212121"/>
          <w:highlight w:val="white"/>
          <w:lang w:eastAsia="en-GB"/>
        </w:rPr>
        <w:t>Looze</w:t>
      </w:r>
      <w:proofErr w:type="spellEnd"/>
      <w:r w:rsidRPr="6A640EE8">
        <w:rPr>
          <w:rFonts w:ascii="Calibri" w:eastAsia="Times New Roman" w:hAnsi="Calibri" w:cs="Calibri"/>
          <w:color w:val="212121"/>
          <w:highlight w:val="white"/>
          <w:lang w:eastAsia="en-GB"/>
        </w:rPr>
        <w:t>, Barry, Harder, Griffin,</w:t>
      </w:r>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Dezutter</w:t>
      </w:r>
      <w:proofErr w:type="spellEnd"/>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Khera</w:t>
      </w:r>
      <w:proofErr w:type="spellEnd"/>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Ailawadhi</w:t>
      </w:r>
      <w:proofErr w:type="spellEnd"/>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Schaepe</w:t>
      </w:r>
      <w:proofErr w:type="spellEnd"/>
      <w:r w:rsidRPr="26F64964">
        <w:rPr>
          <w:rFonts w:ascii="Calibri" w:eastAsia="Times New Roman" w:hAnsi="Calibri" w:cs="Calibri"/>
          <w:color w:val="212121"/>
          <w:lang w:eastAsia="en-GB"/>
        </w:rPr>
        <w:t xml:space="preserve">, Fischer, 2022; Handler, Jaloul, Clancy, </w:t>
      </w:r>
      <w:proofErr w:type="spellStart"/>
      <w:r w:rsidRPr="26F64964">
        <w:rPr>
          <w:rFonts w:ascii="Calibri" w:eastAsia="Times New Roman" w:hAnsi="Calibri" w:cs="Calibri"/>
          <w:color w:val="212121"/>
          <w:lang w:eastAsia="en-GB"/>
        </w:rPr>
        <w:t>Cuypers</w:t>
      </w:r>
      <w:proofErr w:type="spellEnd"/>
      <w:r w:rsidRPr="26F64964">
        <w:rPr>
          <w:rFonts w:ascii="Calibri" w:eastAsia="Times New Roman" w:hAnsi="Calibri" w:cs="Calibri"/>
          <w:color w:val="212121"/>
          <w:lang w:eastAsia="en-GB"/>
        </w:rPr>
        <w:t xml:space="preserve">, Muir, Hemphill, </w:t>
      </w:r>
      <w:proofErr w:type="spellStart"/>
      <w:r w:rsidRPr="26F64964">
        <w:rPr>
          <w:rFonts w:ascii="Calibri" w:eastAsia="Times New Roman" w:hAnsi="Calibri" w:cs="Calibri"/>
          <w:color w:val="212121"/>
          <w:lang w:eastAsia="en-GB"/>
        </w:rPr>
        <w:t>Janaudis</w:t>
      </w:r>
      <w:proofErr w:type="spellEnd"/>
      <w:r w:rsidRPr="26F64964">
        <w:rPr>
          <w:rFonts w:ascii="Calibri" w:eastAsia="Times New Roman" w:hAnsi="Calibri" w:cs="Calibri"/>
          <w:color w:val="212121"/>
          <w:lang w:eastAsia="en-GB"/>
        </w:rPr>
        <w:t xml:space="preserve">-Ferreira, </w:t>
      </w:r>
      <w:proofErr w:type="spellStart"/>
      <w:r w:rsidRPr="26F64964">
        <w:rPr>
          <w:rFonts w:ascii="Calibri" w:eastAsia="Times New Roman" w:hAnsi="Calibri" w:cs="Calibri"/>
          <w:color w:val="212121"/>
          <w:lang w:eastAsia="en-GB"/>
        </w:rPr>
        <w:t>Gottesman</w:t>
      </w:r>
      <w:proofErr w:type="spellEnd"/>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Wickerson</w:t>
      </w:r>
      <w:proofErr w:type="spellEnd"/>
      <w:r w:rsidRPr="26F64964">
        <w:rPr>
          <w:rFonts w:ascii="Calibri" w:eastAsia="Times New Roman" w:hAnsi="Calibri" w:cs="Calibri"/>
          <w:color w:val="212121"/>
          <w:lang w:eastAsia="en-GB"/>
        </w:rPr>
        <w:t xml:space="preserve">, </w:t>
      </w:r>
      <w:proofErr w:type="spellStart"/>
      <w:r w:rsidRPr="26F64964">
        <w:rPr>
          <w:rFonts w:ascii="Calibri" w:eastAsia="Times New Roman" w:hAnsi="Calibri" w:cs="Calibri"/>
          <w:color w:val="212121"/>
          <w:lang w:eastAsia="en-GB"/>
        </w:rPr>
        <w:t>Lovas</w:t>
      </w:r>
      <w:proofErr w:type="spellEnd"/>
      <w:r w:rsidRPr="26F64964">
        <w:rPr>
          <w:rFonts w:ascii="Calibri" w:eastAsia="Times New Roman" w:hAnsi="Calibri" w:cs="Calibri"/>
          <w:color w:val="212121"/>
          <w:lang w:eastAsia="en-GB"/>
        </w:rPr>
        <w:t>, Cafasso &amp; Mathur, 2023)</w:t>
      </w:r>
      <w:r w:rsidR="00AC0D2F" w:rsidRPr="26F64964">
        <w:rPr>
          <w:rFonts w:ascii="Calibri" w:eastAsia="Times New Roman" w:hAnsi="Calibri" w:cs="Calibri"/>
          <w:color w:val="212121"/>
          <w:lang w:eastAsia="en-GB"/>
        </w:rPr>
        <w:t>.</w:t>
      </w:r>
      <w:r w:rsidRPr="26F64964">
        <w:rPr>
          <w:rFonts w:ascii="Calibri" w:eastAsia="Times New Roman" w:hAnsi="Calibri" w:cs="Calibri"/>
          <w:color w:val="212121"/>
          <w:lang w:eastAsia="en-GB"/>
        </w:rPr>
        <w:t xml:space="preserve"> </w:t>
      </w:r>
    </w:p>
    <w:p w14:paraId="31FC6719" w14:textId="41C9C381" w:rsidR="009141DD" w:rsidRPr="009141DD" w:rsidRDefault="009141DD" w:rsidP="009141DD">
      <w:pPr>
        <w:pStyle w:val="Heading3"/>
        <w:jc w:val="left"/>
        <w:rPr>
          <w:rFonts w:eastAsia="Times New Roman"/>
          <w:lang w:eastAsia="en-GB"/>
        </w:rPr>
      </w:pPr>
      <w:bookmarkStart w:id="33" w:name="_Toc166853998"/>
      <w:r>
        <w:rPr>
          <w:rFonts w:eastAsia="Times New Roman"/>
          <w:lang w:eastAsia="en-GB"/>
        </w:rPr>
        <w:t xml:space="preserve">4.3.1 </w:t>
      </w:r>
      <w:r w:rsidR="00642C13" w:rsidRPr="009141DD">
        <w:rPr>
          <w:rFonts w:eastAsia="Times New Roman"/>
          <w:lang w:eastAsia="en-GB"/>
        </w:rPr>
        <w:t>Patient</w:t>
      </w:r>
      <w:r w:rsidR="00642C13">
        <w:rPr>
          <w:rFonts w:eastAsia="Times New Roman"/>
          <w:lang w:eastAsia="en-GB"/>
        </w:rPr>
        <w:t>-</w:t>
      </w:r>
      <w:r w:rsidRPr="009141DD">
        <w:rPr>
          <w:rFonts w:eastAsia="Times New Roman"/>
          <w:lang w:eastAsia="en-GB"/>
        </w:rPr>
        <w:t>Centered</w:t>
      </w:r>
      <w:bookmarkEnd w:id="33"/>
      <w:r w:rsidRPr="009141DD">
        <w:rPr>
          <w:rFonts w:eastAsia="Times New Roman"/>
          <w:lang w:eastAsia="en-GB"/>
        </w:rPr>
        <w:t xml:space="preserve"> </w:t>
      </w:r>
    </w:p>
    <w:p w14:paraId="53F72953" w14:textId="424BA269" w:rsidR="009141DD" w:rsidRDefault="00642C13" w:rsidP="009141DD">
      <w:pPr>
        <w:spacing w:line="360" w:lineRule="auto"/>
        <w:jc w:val="both"/>
        <w:rPr>
          <w:rFonts w:ascii="Calibri" w:eastAsia="Times New Roman" w:hAnsi="Calibri" w:cs="Calibri"/>
          <w:color w:val="212121"/>
          <w:lang w:eastAsia="en-GB"/>
        </w:rPr>
      </w:pPr>
      <w:r w:rsidRPr="26F64964">
        <w:rPr>
          <w:rFonts w:ascii="Calibri" w:eastAsia="Times New Roman" w:hAnsi="Calibri" w:cs="Calibri"/>
          <w:lang w:eastAsia="en-GB"/>
        </w:rPr>
        <w:t xml:space="preserve">In </w:t>
      </w:r>
      <w:r w:rsidR="009141DD" w:rsidRPr="26F64964">
        <w:rPr>
          <w:rFonts w:ascii="Calibri" w:eastAsia="Times New Roman" w:hAnsi="Calibri" w:cs="Calibri"/>
          <w:lang w:eastAsia="en-GB"/>
        </w:rPr>
        <w:t xml:space="preserve">developing digital health tools for transplant patients, studies have identified </w:t>
      </w:r>
      <w:r w:rsidR="006E1BD4" w:rsidRPr="26F64964">
        <w:rPr>
          <w:rFonts w:ascii="Calibri" w:eastAsia="Times New Roman" w:hAnsi="Calibri" w:cs="Calibri"/>
          <w:lang w:eastAsia="en-GB"/>
        </w:rPr>
        <w:t xml:space="preserve">that the </w:t>
      </w:r>
      <w:r w:rsidR="009141DD" w:rsidRPr="26F64964">
        <w:rPr>
          <w:rFonts w:ascii="Calibri" w:eastAsia="Times New Roman" w:hAnsi="Calibri" w:cs="Calibri"/>
          <w:lang w:eastAsia="en-GB"/>
        </w:rPr>
        <w:t xml:space="preserve"> crucial </w:t>
      </w:r>
      <w:r w:rsidR="003A0CC6" w:rsidRPr="26F64964">
        <w:rPr>
          <w:rFonts w:ascii="Calibri" w:eastAsia="Times New Roman" w:hAnsi="Calibri" w:cs="Calibri"/>
          <w:lang w:eastAsia="en-GB"/>
        </w:rPr>
        <w:t xml:space="preserve">factor </w:t>
      </w:r>
      <w:r w:rsidR="006E1BD4" w:rsidRPr="26F64964">
        <w:rPr>
          <w:rFonts w:ascii="Calibri" w:eastAsia="Times New Roman" w:hAnsi="Calibri" w:cs="Calibri"/>
          <w:lang w:eastAsia="en-GB"/>
        </w:rPr>
        <w:t xml:space="preserve">is </w:t>
      </w:r>
      <w:r w:rsidR="00A13909" w:rsidRPr="26F64964">
        <w:rPr>
          <w:rFonts w:ascii="Calibri" w:eastAsia="Times New Roman" w:hAnsi="Calibri" w:cs="Calibri"/>
          <w:lang w:eastAsia="en-GB"/>
        </w:rPr>
        <w:t xml:space="preserve">a </w:t>
      </w:r>
      <w:r w:rsidRPr="26F64964">
        <w:rPr>
          <w:rFonts w:ascii="Calibri" w:eastAsia="Times New Roman" w:hAnsi="Calibri" w:cs="Calibri"/>
          <w:lang w:eastAsia="en-GB"/>
        </w:rPr>
        <w:t>patient-</w:t>
      </w:r>
      <w:r w:rsidR="00A13909" w:rsidRPr="26F64964">
        <w:rPr>
          <w:rFonts w:ascii="Calibri" w:eastAsia="Times New Roman" w:hAnsi="Calibri" w:cs="Calibri"/>
          <w:lang w:eastAsia="en-GB"/>
        </w:rPr>
        <w:t>centred focus</w:t>
      </w:r>
      <w:r w:rsidR="009141DD" w:rsidRPr="26F64964">
        <w:rPr>
          <w:rFonts w:ascii="Calibri" w:eastAsia="Times New Roman" w:hAnsi="Calibri" w:cs="Calibri"/>
          <w:lang w:eastAsia="en-GB"/>
        </w:rPr>
        <w:t xml:space="preserve"> </w:t>
      </w:r>
      <w:r w:rsidR="009141DD" w:rsidRPr="26F64964">
        <w:rPr>
          <w:rFonts w:ascii="Calibri" w:eastAsia="Times New Roman" w:hAnsi="Calibri" w:cs="Calibri"/>
          <w:color w:val="212121"/>
          <w:lang w:eastAsia="en-GB"/>
        </w:rPr>
        <w:t>(</w:t>
      </w:r>
      <w:proofErr w:type="spellStart"/>
      <w:r w:rsidR="009141DD" w:rsidRPr="26F64964">
        <w:rPr>
          <w:rFonts w:ascii="Calibri" w:eastAsia="Times New Roman" w:hAnsi="Calibri" w:cs="Calibri"/>
          <w:color w:val="212121"/>
          <w:lang w:eastAsia="en-GB"/>
        </w:rPr>
        <w:t>Banerter</w:t>
      </w:r>
      <w:proofErr w:type="spellEnd"/>
      <w:r w:rsidR="009141DD" w:rsidRPr="26F64964">
        <w:rPr>
          <w:rFonts w:ascii="Calibri" w:eastAsia="Times New Roman" w:hAnsi="Calibri" w:cs="Calibri"/>
          <w:color w:val="212121"/>
          <w:lang w:eastAsia="en-GB"/>
        </w:rPr>
        <w:t xml:space="preserve"> et al., 2022; </w:t>
      </w:r>
      <w:proofErr w:type="spellStart"/>
      <w:r w:rsidR="009141DD" w:rsidRPr="6A640EE8">
        <w:rPr>
          <w:rFonts w:ascii="Calibri" w:eastAsia="Times New Roman" w:hAnsi="Calibri" w:cs="Calibri"/>
          <w:color w:val="212121"/>
          <w:highlight w:val="white"/>
          <w:lang w:eastAsia="en-GB"/>
        </w:rPr>
        <w:t>Deboni</w:t>
      </w:r>
      <w:proofErr w:type="spellEnd"/>
      <w:r w:rsidR="009141DD" w:rsidRPr="6A640EE8">
        <w:rPr>
          <w:rFonts w:ascii="Calibri" w:eastAsia="Times New Roman" w:hAnsi="Calibri" w:cs="Calibri"/>
          <w:color w:val="212121"/>
          <w:highlight w:val="white"/>
          <w:lang w:eastAsia="en-GB"/>
        </w:rPr>
        <w:t xml:space="preserve">, </w:t>
      </w:r>
      <w:proofErr w:type="spellStart"/>
      <w:r w:rsidR="009141DD" w:rsidRPr="6A640EE8">
        <w:rPr>
          <w:rFonts w:ascii="Calibri" w:eastAsia="Times New Roman" w:hAnsi="Calibri" w:cs="Calibri"/>
          <w:color w:val="212121"/>
          <w:highlight w:val="white"/>
          <w:lang w:eastAsia="en-GB"/>
        </w:rPr>
        <w:t>Neermann</w:t>
      </w:r>
      <w:proofErr w:type="spellEnd"/>
      <w:r w:rsidR="009141DD" w:rsidRPr="6A640EE8">
        <w:rPr>
          <w:rFonts w:ascii="Calibri" w:eastAsia="Times New Roman" w:hAnsi="Calibri" w:cs="Calibri"/>
          <w:color w:val="212121"/>
          <w:highlight w:val="white"/>
          <w:lang w:eastAsia="en-GB"/>
        </w:rPr>
        <w:t xml:space="preserve">, </w:t>
      </w:r>
      <w:proofErr w:type="spellStart"/>
      <w:r w:rsidR="009141DD" w:rsidRPr="6A640EE8">
        <w:rPr>
          <w:rFonts w:ascii="Calibri" w:eastAsia="Times New Roman" w:hAnsi="Calibri" w:cs="Calibri"/>
          <w:color w:val="212121"/>
          <w:highlight w:val="white"/>
          <w:lang w:eastAsia="en-GB"/>
        </w:rPr>
        <w:t>Calice</w:t>
      </w:r>
      <w:proofErr w:type="spellEnd"/>
      <w:r w:rsidR="009141DD" w:rsidRPr="6A640EE8">
        <w:rPr>
          <w:rFonts w:ascii="Calibri" w:eastAsia="Times New Roman" w:hAnsi="Calibri" w:cs="Calibri"/>
          <w:color w:val="212121"/>
          <w:highlight w:val="white"/>
          <w:lang w:eastAsia="en-GB"/>
        </w:rPr>
        <w:t xml:space="preserve">-Silva, </w:t>
      </w:r>
      <w:proofErr w:type="spellStart"/>
      <w:r w:rsidR="009141DD" w:rsidRPr="6A640EE8">
        <w:rPr>
          <w:rFonts w:ascii="Calibri" w:eastAsia="Times New Roman" w:hAnsi="Calibri" w:cs="Calibri"/>
          <w:color w:val="212121"/>
          <w:highlight w:val="white"/>
          <w:lang w:eastAsia="en-GB"/>
        </w:rPr>
        <w:t>Hanauer</w:t>
      </w:r>
      <w:proofErr w:type="spellEnd"/>
      <w:r w:rsidR="009141DD" w:rsidRPr="6A640EE8">
        <w:rPr>
          <w:rFonts w:ascii="Calibri" w:eastAsia="Times New Roman" w:hAnsi="Calibri" w:cs="Calibri"/>
          <w:color w:val="212121"/>
          <w:highlight w:val="white"/>
          <w:lang w:eastAsia="en-GB"/>
        </w:rPr>
        <w:t xml:space="preserve">, Moreira, </w:t>
      </w:r>
      <w:proofErr w:type="spellStart"/>
      <w:r w:rsidR="009141DD" w:rsidRPr="6A640EE8">
        <w:rPr>
          <w:rFonts w:ascii="Calibri" w:eastAsia="Times New Roman" w:hAnsi="Calibri" w:cs="Calibri"/>
          <w:color w:val="212121"/>
          <w:highlight w:val="white"/>
          <w:lang w:eastAsia="en-GB"/>
        </w:rPr>
        <w:t>Ambrósio</w:t>
      </w:r>
      <w:proofErr w:type="spellEnd"/>
      <w:r w:rsidR="009141DD" w:rsidRPr="6A640EE8">
        <w:rPr>
          <w:rFonts w:ascii="Calibri" w:eastAsia="Times New Roman" w:hAnsi="Calibri" w:cs="Calibri"/>
          <w:color w:val="212121"/>
          <w:highlight w:val="white"/>
          <w:lang w:eastAsia="en-GB"/>
        </w:rPr>
        <w:t xml:space="preserve">, </w:t>
      </w:r>
      <w:proofErr w:type="spellStart"/>
      <w:r w:rsidR="009141DD" w:rsidRPr="6A640EE8">
        <w:rPr>
          <w:rFonts w:ascii="Calibri" w:eastAsia="Times New Roman" w:hAnsi="Calibri" w:cs="Calibri"/>
          <w:color w:val="212121"/>
          <w:highlight w:val="white"/>
          <w:lang w:eastAsia="en-GB"/>
        </w:rPr>
        <w:t>Gluterres</w:t>
      </w:r>
      <w:proofErr w:type="spellEnd"/>
      <w:r w:rsidR="009141DD" w:rsidRPr="6A640EE8">
        <w:rPr>
          <w:rFonts w:ascii="Calibri" w:eastAsia="Times New Roman" w:hAnsi="Calibri" w:cs="Calibri"/>
          <w:color w:val="212121"/>
          <w:highlight w:val="white"/>
          <w:lang w:eastAsia="en-GB"/>
        </w:rPr>
        <w:t>,</w:t>
      </w:r>
      <w:r w:rsidR="009141DD" w:rsidRPr="6A640EE8">
        <w:rPr>
          <w:rFonts w:ascii="Calibri" w:eastAsia="Times New Roman" w:hAnsi="Calibri" w:cs="Calibri"/>
          <w:color w:val="212121"/>
          <w:lang w:eastAsia="en-GB"/>
        </w:rPr>
        <w:t xml:space="preserve"> </w:t>
      </w:r>
      <w:r w:rsidR="009141DD" w:rsidRPr="6A640EE8">
        <w:rPr>
          <w:rFonts w:ascii="Calibri" w:eastAsia="Times New Roman" w:hAnsi="Calibri" w:cs="Calibri"/>
          <w:color w:val="212121"/>
          <w:highlight w:val="white"/>
          <w:lang w:eastAsia="en-GB"/>
        </w:rPr>
        <w:t xml:space="preserve">Vieira &amp; </w:t>
      </w:r>
      <w:proofErr w:type="spellStart"/>
      <w:r w:rsidR="009141DD" w:rsidRPr="6A640EE8">
        <w:rPr>
          <w:rFonts w:ascii="Calibri" w:eastAsia="Times New Roman" w:hAnsi="Calibri" w:cs="Calibri"/>
          <w:color w:val="212121"/>
          <w:highlight w:val="white"/>
          <w:lang w:eastAsia="en-GB"/>
        </w:rPr>
        <w:t>Nerbass</w:t>
      </w:r>
      <w:proofErr w:type="spellEnd"/>
      <w:r w:rsidR="009141DD" w:rsidRPr="6A640EE8">
        <w:rPr>
          <w:rFonts w:ascii="Calibri" w:eastAsia="Times New Roman" w:hAnsi="Calibri" w:cs="Calibri"/>
          <w:color w:val="212121"/>
          <w:highlight w:val="white"/>
          <w:lang w:eastAsia="en-GB"/>
        </w:rPr>
        <w:t>, 2020</w:t>
      </w:r>
      <w:r w:rsidR="009141DD" w:rsidRPr="26F64964">
        <w:rPr>
          <w:rFonts w:ascii="Calibri" w:eastAsia="Times New Roman" w:hAnsi="Calibri" w:cs="Calibri"/>
          <w:color w:val="212121"/>
          <w:lang w:eastAsia="en-GB"/>
        </w:rPr>
        <w:t xml:space="preserve">). </w:t>
      </w:r>
      <w:r w:rsidR="00225E29" w:rsidRPr="26F64964">
        <w:rPr>
          <w:rFonts w:ascii="Calibri" w:eastAsia="Times New Roman" w:hAnsi="Calibri" w:cs="Calibri"/>
          <w:color w:val="212121"/>
          <w:lang w:eastAsia="en-GB"/>
        </w:rPr>
        <w:t>For example,</w:t>
      </w:r>
      <w:r w:rsidR="009141DD" w:rsidRPr="26F64964">
        <w:rPr>
          <w:rFonts w:ascii="Calibri" w:eastAsia="Times New Roman" w:hAnsi="Calibri" w:cs="Calibri"/>
          <w:color w:val="212121"/>
          <w:lang w:eastAsia="en-GB"/>
        </w:rPr>
        <w:t xml:space="preserve"> the personalization of features on digital tools, ensures that patients feel </w:t>
      </w:r>
      <w:r w:rsidR="009141DD" w:rsidRPr="26F64964">
        <w:rPr>
          <w:rFonts w:ascii="Calibri" w:eastAsia="Times New Roman" w:hAnsi="Calibri" w:cs="Calibri"/>
          <w:color w:val="212121"/>
          <w:highlight w:val="white"/>
          <w:lang w:eastAsia="en-GB"/>
        </w:rPr>
        <w:t>actively involved in their care</w:t>
      </w:r>
      <w:r w:rsidR="009141DD" w:rsidRPr="26F64964">
        <w:rPr>
          <w:rFonts w:ascii="Calibri" w:eastAsia="Times New Roman" w:hAnsi="Calibri" w:cs="Calibri"/>
          <w:color w:val="212121"/>
          <w:lang w:eastAsia="en-GB"/>
        </w:rPr>
        <w:t>, tailoring their experience to their specific needs and preferences (</w:t>
      </w:r>
      <w:proofErr w:type="spellStart"/>
      <w:r w:rsidR="009141DD" w:rsidRPr="26F64964">
        <w:rPr>
          <w:rFonts w:ascii="Calibri" w:eastAsia="Times New Roman" w:hAnsi="Calibri" w:cs="Calibri"/>
          <w:color w:val="212121"/>
          <w:lang w:eastAsia="en-GB"/>
        </w:rPr>
        <w:t>Banerter</w:t>
      </w:r>
      <w:proofErr w:type="spellEnd"/>
      <w:r w:rsidR="009141DD" w:rsidRPr="26F64964">
        <w:rPr>
          <w:rFonts w:ascii="Calibri" w:eastAsia="Times New Roman" w:hAnsi="Calibri" w:cs="Calibri"/>
          <w:color w:val="212121"/>
          <w:lang w:eastAsia="en-GB"/>
        </w:rPr>
        <w:t xml:space="preserve"> et al., 2022). </w:t>
      </w:r>
      <w:r w:rsidR="00A13909" w:rsidRPr="26F64964">
        <w:rPr>
          <w:rFonts w:ascii="Calibri" w:eastAsia="Times New Roman" w:hAnsi="Calibri" w:cs="Calibri"/>
          <w:color w:val="212121"/>
          <w:lang w:eastAsia="en-GB"/>
        </w:rPr>
        <w:t xml:space="preserve"> Addressing attitudes toward Health Information Technology (HIT) and ensuring credibility in the information provided builds trust, which is essential for patient engagement. By taking a patient-</w:t>
      </w:r>
      <w:proofErr w:type="spellStart"/>
      <w:r w:rsidR="00A13909" w:rsidRPr="26F64964">
        <w:rPr>
          <w:rFonts w:ascii="Calibri" w:eastAsia="Times New Roman" w:hAnsi="Calibri" w:cs="Calibri"/>
          <w:color w:val="212121"/>
          <w:lang w:eastAsia="en-GB"/>
        </w:rPr>
        <w:t>cent</w:t>
      </w:r>
      <w:r w:rsidRPr="26F64964">
        <w:rPr>
          <w:rFonts w:ascii="Calibri" w:eastAsia="Times New Roman" w:hAnsi="Calibri" w:cs="Calibri"/>
          <w:color w:val="212121"/>
          <w:lang w:eastAsia="en-GB"/>
        </w:rPr>
        <w:t>e</w:t>
      </w:r>
      <w:r w:rsidR="00A13909" w:rsidRPr="26F64964">
        <w:rPr>
          <w:rFonts w:ascii="Calibri" w:eastAsia="Times New Roman" w:hAnsi="Calibri" w:cs="Calibri"/>
          <w:color w:val="212121"/>
          <w:lang w:eastAsia="en-GB"/>
        </w:rPr>
        <w:t>red</w:t>
      </w:r>
      <w:proofErr w:type="spellEnd"/>
      <w:r w:rsidR="00A13909" w:rsidRPr="26F64964">
        <w:rPr>
          <w:rFonts w:ascii="Calibri" w:eastAsia="Times New Roman" w:hAnsi="Calibri" w:cs="Calibri"/>
          <w:color w:val="212121"/>
          <w:lang w:eastAsia="en-GB"/>
        </w:rPr>
        <w:t xml:space="preserve"> approach to building capabilities and robust user engagement features, these tools not only offer support but also foster a collaborative partnership between patients and healthcare providers, amplifying the sense of empowerment and active involvement in their transplant care.</w:t>
      </w:r>
    </w:p>
    <w:p w14:paraId="3E6B5A0E" w14:textId="77777777" w:rsidR="00626F00" w:rsidRPr="009141DD" w:rsidRDefault="00626F00" w:rsidP="009141DD">
      <w:pPr>
        <w:spacing w:line="360" w:lineRule="auto"/>
        <w:jc w:val="both"/>
        <w:rPr>
          <w:rFonts w:ascii="Calibri" w:eastAsia="Times New Roman" w:hAnsi="Calibri" w:cs="Calibri"/>
          <w:color w:val="212121"/>
          <w:lang w:eastAsia="en-GB"/>
        </w:rPr>
      </w:pPr>
    </w:p>
    <w:p w14:paraId="4BF92EB1" w14:textId="4E7C8BB9" w:rsidR="009141DD" w:rsidRPr="009141DD" w:rsidRDefault="009141DD" w:rsidP="009141DD">
      <w:pPr>
        <w:pStyle w:val="Heading3"/>
        <w:jc w:val="left"/>
        <w:rPr>
          <w:rFonts w:eastAsia="Times New Roman"/>
          <w:lang w:eastAsia="en-GB"/>
        </w:rPr>
      </w:pPr>
      <w:bookmarkStart w:id="34" w:name="_Toc166853999"/>
      <w:r>
        <w:rPr>
          <w:rFonts w:eastAsia="Times New Roman"/>
          <w:lang w:eastAsia="en-GB"/>
        </w:rPr>
        <w:lastRenderedPageBreak/>
        <w:t xml:space="preserve">4.3.2 </w:t>
      </w:r>
      <w:r w:rsidRPr="009141DD">
        <w:rPr>
          <w:rFonts w:eastAsia="Times New Roman"/>
          <w:lang w:eastAsia="en-GB"/>
        </w:rPr>
        <w:t>Preparation and Readiness</w:t>
      </w:r>
      <w:bookmarkEnd w:id="34"/>
    </w:p>
    <w:p w14:paraId="3B68D4B3" w14:textId="18086F30" w:rsidR="00823F1D" w:rsidRPr="005C5BA7" w:rsidRDefault="009141DD" w:rsidP="009141DD">
      <w:pPr>
        <w:spacing w:line="360" w:lineRule="auto"/>
        <w:jc w:val="both"/>
        <w:rPr>
          <w:rFonts w:ascii="Calibri" w:eastAsia="Times New Roman" w:hAnsi="Calibri" w:cs="Calibri"/>
          <w:lang w:eastAsia="en-GB"/>
        </w:rPr>
      </w:pPr>
      <w:r w:rsidRPr="26F64964">
        <w:rPr>
          <w:rFonts w:ascii="Calibri" w:eastAsia="Times New Roman" w:hAnsi="Calibri" w:cs="Calibri"/>
          <w:lang w:eastAsia="en-GB"/>
        </w:rPr>
        <w:t xml:space="preserve">Another important factor to consider in the development of digital tools for transplantation purposes </w:t>
      </w:r>
      <w:r w:rsidR="00706BC9" w:rsidRPr="26F64964">
        <w:rPr>
          <w:rFonts w:ascii="Calibri" w:eastAsia="Times New Roman" w:hAnsi="Calibri" w:cs="Calibri"/>
          <w:lang w:eastAsia="en-GB"/>
        </w:rPr>
        <w:t xml:space="preserve">is </w:t>
      </w:r>
      <w:r w:rsidRPr="26F64964">
        <w:rPr>
          <w:rFonts w:ascii="Calibri" w:eastAsia="Times New Roman" w:hAnsi="Calibri" w:cs="Calibri"/>
          <w:lang w:eastAsia="en-GB"/>
        </w:rPr>
        <w:t>the preparation and readiness of patients</w:t>
      </w:r>
      <w:r w:rsidR="003859F3" w:rsidRPr="26F64964">
        <w:rPr>
          <w:rFonts w:ascii="Calibri" w:eastAsia="Times New Roman" w:hAnsi="Calibri" w:cs="Calibri"/>
          <w:lang w:eastAsia="en-GB"/>
        </w:rPr>
        <w:t xml:space="preserve"> to use a health technology</w:t>
      </w:r>
      <w:r w:rsidRPr="26F64964">
        <w:rPr>
          <w:rFonts w:ascii="Calibri" w:eastAsia="Times New Roman" w:hAnsi="Calibri" w:cs="Calibri"/>
          <w:lang w:eastAsia="en-GB"/>
        </w:rPr>
        <w:t xml:space="preserve">. </w:t>
      </w:r>
      <w:r w:rsidR="00722996" w:rsidRPr="26F64964">
        <w:rPr>
          <w:rFonts w:ascii="Calibri" w:eastAsia="Times New Roman" w:hAnsi="Calibri" w:cs="Calibri"/>
          <w:lang w:eastAsia="en-GB"/>
        </w:rPr>
        <w:t xml:space="preserve">Preparation involves understanding the context in which these tools will be utilized, encompassing factors like </w:t>
      </w:r>
      <w:r w:rsidR="00751322" w:rsidRPr="26F64964">
        <w:rPr>
          <w:rFonts w:ascii="Calibri" w:eastAsia="Times New Roman" w:hAnsi="Calibri" w:cs="Calibri"/>
          <w:lang w:eastAsia="en-GB"/>
        </w:rPr>
        <w:t xml:space="preserve">user capabilities, </w:t>
      </w:r>
      <w:r w:rsidR="00722996" w:rsidRPr="26F64964">
        <w:rPr>
          <w:rFonts w:ascii="Calibri" w:eastAsia="Times New Roman" w:hAnsi="Calibri" w:cs="Calibri"/>
          <w:lang w:eastAsia="en-GB"/>
        </w:rPr>
        <w:t xml:space="preserve">technological infrastructure, and potential barriers to access. </w:t>
      </w:r>
      <w:r w:rsidR="00751322" w:rsidRPr="26F64964">
        <w:rPr>
          <w:rFonts w:ascii="Calibri" w:eastAsia="Times New Roman" w:hAnsi="Calibri" w:cs="Calibri"/>
          <w:lang w:eastAsia="en-GB"/>
        </w:rPr>
        <w:t>In terms of user capabilities, s</w:t>
      </w:r>
      <w:r w:rsidRPr="26F64964">
        <w:rPr>
          <w:rFonts w:ascii="Calibri" w:eastAsia="Times New Roman" w:hAnsi="Calibri" w:cs="Calibri"/>
          <w:lang w:eastAsia="en-GB"/>
        </w:rPr>
        <w:t xml:space="preserve">tudies have identified the various attitudes patients have toward using digital tools, such as hesitance due to </w:t>
      </w:r>
      <w:r w:rsidR="00642C13" w:rsidRPr="26F64964">
        <w:rPr>
          <w:rFonts w:ascii="Calibri" w:eastAsia="Times New Roman" w:hAnsi="Calibri" w:cs="Calibri"/>
          <w:lang w:eastAsia="en-GB"/>
        </w:rPr>
        <w:t xml:space="preserve">a </w:t>
      </w:r>
      <w:r w:rsidRPr="26F64964">
        <w:rPr>
          <w:rFonts w:ascii="Calibri" w:eastAsia="Times New Roman" w:hAnsi="Calibri" w:cs="Calibri"/>
          <w:lang w:eastAsia="en-GB"/>
        </w:rPr>
        <w:t>lack of familiarity and knowledge with such tools (</w:t>
      </w:r>
      <w:r w:rsidRPr="6A640EE8">
        <w:rPr>
          <w:rFonts w:ascii="Calibri" w:eastAsia="Times New Roman" w:hAnsi="Calibri" w:cs="Calibri"/>
          <w:highlight w:val="white"/>
          <w:lang w:eastAsia="en-GB"/>
        </w:rPr>
        <w:t>Bangerter et al., 2022</w:t>
      </w:r>
      <w:r w:rsidRPr="26F64964">
        <w:rPr>
          <w:rFonts w:ascii="Calibri" w:eastAsia="Times New Roman" w:hAnsi="Calibri" w:cs="Calibri"/>
          <w:lang w:eastAsia="en-GB"/>
        </w:rPr>
        <w:t xml:space="preserve">; </w:t>
      </w:r>
      <w:proofErr w:type="spellStart"/>
      <w:r w:rsidRPr="26F64964">
        <w:rPr>
          <w:rFonts w:ascii="Calibri" w:eastAsia="Times New Roman" w:hAnsi="Calibri" w:cs="Calibri"/>
          <w:lang w:eastAsia="en-GB"/>
        </w:rPr>
        <w:t>Skeens</w:t>
      </w:r>
      <w:proofErr w:type="spellEnd"/>
      <w:r w:rsidRPr="26F64964">
        <w:rPr>
          <w:rFonts w:ascii="Calibri" w:eastAsia="Times New Roman" w:hAnsi="Calibri" w:cs="Calibri"/>
          <w:lang w:eastAsia="en-GB"/>
        </w:rPr>
        <w:t xml:space="preserve">, </w:t>
      </w:r>
      <w:proofErr w:type="spellStart"/>
      <w:r w:rsidRPr="26F64964">
        <w:rPr>
          <w:rFonts w:ascii="Calibri" w:eastAsia="Times New Roman" w:hAnsi="Calibri" w:cs="Calibri"/>
          <w:lang w:eastAsia="en-GB"/>
        </w:rPr>
        <w:t>Sezgin</w:t>
      </w:r>
      <w:proofErr w:type="spellEnd"/>
      <w:r w:rsidRPr="26F64964">
        <w:rPr>
          <w:rFonts w:ascii="Calibri" w:eastAsia="Times New Roman" w:hAnsi="Calibri" w:cs="Calibri"/>
          <w:lang w:eastAsia="en-GB"/>
        </w:rPr>
        <w:t xml:space="preserve">, Stevens, </w:t>
      </w:r>
      <w:proofErr w:type="spellStart"/>
      <w:r w:rsidRPr="6A640EE8">
        <w:rPr>
          <w:rFonts w:ascii="Calibri" w:eastAsia="Times New Roman" w:hAnsi="Calibri" w:cs="Calibri"/>
          <w:highlight w:val="white"/>
          <w:lang w:eastAsia="en-GB"/>
        </w:rPr>
        <w:t>Landier</w:t>
      </w:r>
      <w:proofErr w:type="spellEnd"/>
      <w:r w:rsidRPr="6A640EE8">
        <w:rPr>
          <w:rFonts w:ascii="Calibri" w:eastAsia="Times New Roman" w:hAnsi="Calibri" w:cs="Calibri"/>
          <w:highlight w:val="white"/>
          <w:lang w:eastAsia="en-GB"/>
        </w:rPr>
        <w:t>, Pai &amp; Gerhardt., 2022</w:t>
      </w:r>
      <w:r w:rsidRPr="26F64964">
        <w:rPr>
          <w:rFonts w:ascii="Calibri" w:eastAsia="Times New Roman" w:hAnsi="Calibri" w:cs="Calibri"/>
          <w:lang w:eastAsia="en-GB"/>
        </w:rPr>
        <w:t>).</w:t>
      </w:r>
      <w:r w:rsidR="00823F1D" w:rsidRPr="26F64964">
        <w:rPr>
          <w:rFonts w:ascii="Calibri" w:eastAsia="Times New Roman" w:hAnsi="Calibri" w:cs="Calibri"/>
          <w:lang w:eastAsia="en-GB"/>
        </w:rPr>
        <w:t xml:space="preserve"> </w:t>
      </w:r>
      <w:r w:rsidR="00C66AAC" w:rsidRPr="26F64964">
        <w:rPr>
          <w:rFonts w:ascii="Calibri" w:eastAsia="Times New Roman" w:hAnsi="Calibri" w:cs="Calibri"/>
          <w:lang w:eastAsia="en-GB"/>
        </w:rPr>
        <w:t xml:space="preserve">User capabilities need to be considered to ensure </w:t>
      </w:r>
      <w:r w:rsidR="009A5E16" w:rsidRPr="26F64964">
        <w:rPr>
          <w:rFonts w:ascii="Calibri" w:eastAsia="Times New Roman" w:hAnsi="Calibri" w:cs="Calibri"/>
          <w:lang w:eastAsia="en-GB"/>
        </w:rPr>
        <w:t xml:space="preserve">digital tools are effectively used by patients. </w:t>
      </w:r>
    </w:p>
    <w:p w14:paraId="3BCD7955" w14:textId="38195223" w:rsidR="00640D9E" w:rsidRPr="005C5BA7" w:rsidRDefault="00823F1D" w:rsidP="009141DD">
      <w:pPr>
        <w:spacing w:line="360" w:lineRule="auto"/>
        <w:jc w:val="both"/>
        <w:rPr>
          <w:rFonts w:ascii="Calibri" w:eastAsia="Times New Roman" w:hAnsi="Calibri" w:cs="Calibri"/>
          <w:lang w:eastAsia="en-GB"/>
        </w:rPr>
      </w:pPr>
      <w:r w:rsidRPr="26F64964">
        <w:rPr>
          <w:rFonts w:ascii="Calibri" w:eastAsia="Times New Roman" w:hAnsi="Calibri" w:cs="Calibri"/>
          <w:lang w:eastAsia="en-GB"/>
        </w:rPr>
        <w:t xml:space="preserve">Readiness ensures that both users and healthcare systems are equipped with the necessary knowledge, training, and resources to embrace and effectively utilize these tools.  Factors like IT literacy and acceptance would need to be considered to ensure patients are ready to </w:t>
      </w:r>
      <w:r w:rsidR="00642C13" w:rsidRPr="26F64964">
        <w:rPr>
          <w:rFonts w:ascii="Calibri" w:eastAsia="Times New Roman" w:hAnsi="Calibri" w:cs="Calibri"/>
          <w:lang w:eastAsia="en-GB"/>
        </w:rPr>
        <w:t xml:space="preserve">utilize </w:t>
      </w:r>
      <w:r w:rsidRPr="26F64964">
        <w:rPr>
          <w:rFonts w:ascii="Calibri" w:eastAsia="Times New Roman" w:hAnsi="Calibri" w:cs="Calibri"/>
          <w:lang w:eastAsia="en-GB"/>
        </w:rPr>
        <w:t>digital health tools (</w:t>
      </w:r>
      <w:r w:rsidRPr="6A640EE8">
        <w:rPr>
          <w:rFonts w:ascii="Calibri" w:eastAsia="Times New Roman" w:hAnsi="Calibri" w:cs="Calibri"/>
          <w:highlight w:val="white"/>
          <w:lang w:val="en-US" w:eastAsia="en-GB"/>
        </w:rPr>
        <w:t>O'Brien et al 2019</w:t>
      </w:r>
      <w:r w:rsidRPr="6A640EE8">
        <w:rPr>
          <w:rFonts w:ascii="Calibri" w:eastAsia="Times New Roman" w:hAnsi="Calibri" w:cs="Calibri"/>
          <w:lang w:val="en-US" w:eastAsia="en-GB"/>
        </w:rPr>
        <w:t>;</w:t>
      </w:r>
      <w:r w:rsidRPr="6A640EE8">
        <w:rPr>
          <w:rFonts w:ascii="Calibri" w:eastAsia="Times New Roman" w:hAnsi="Calibri" w:cs="Calibri"/>
          <w:lang w:eastAsia="en-GB"/>
        </w:rPr>
        <w:t xml:space="preserve"> </w:t>
      </w:r>
      <w:r w:rsidRPr="6A640EE8">
        <w:rPr>
          <w:rFonts w:ascii="Calibri" w:eastAsia="Times New Roman" w:hAnsi="Calibri" w:cs="Calibri"/>
          <w:highlight w:val="white"/>
          <w:lang w:val="en-US" w:eastAsia="en-GB"/>
        </w:rPr>
        <w:t>Oliveria</w:t>
      </w:r>
      <w:r w:rsidRPr="6A640EE8">
        <w:rPr>
          <w:rFonts w:ascii="Calibri" w:eastAsia="Times New Roman" w:hAnsi="Calibri" w:cs="Calibri"/>
          <w:highlight w:val="white"/>
          <w:lang w:eastAsia="en-GB"/>
        </w:rPr>
        <w:t xml:space="preserve">, </w:t>
      </w:r>
      <w:r w:rsidRPr="6A640EE8">
        <w:rPr>
          <w:rFonts w:ascii="Calibri" w:eastAsia="Times New Roman" w:hAnsi="Calibri" w:cs="Calibri"/>
          <w:highlight w:val="white"/>
          <w:lang w:val="en-US" w:eastAsia="en-GB"/>
        </w:rPr>
        <w:t>2023</w:t>
      </w:r>
      <w:r w:rsidRPr="26F64964">
        <w:rPr>
          <w:rFonts w:ascii="Calibri" w:eastAsia="Times New Roman" w:hAnsi="Calibri" w:cs="Calibri"/>
          <w:lang w:val="en-US" w:eastAsia="en-GB"/>
        </w:rPr>
        <w:t>)</w:t>
      </w:r>
      <w:r w:rsidR="00A14FB6" w:rsidRPr="26F64964">
        <w:rPr>
          <w:rFonts w:ascii="Calibri" w:eastAsia="Times New Roman" w:hAnsi="Calibri" w:cs="Calibri"/>
          <w:lang w:val="en-US" w:eastAsia="en-GB"/>
        </w:rPr>
        <w:t xml:space="preserve">. </w:t>
      </w:r>
      <w:r w:rsidR="00973E6F" w:rsidRPr="26F64964">
        <w:rPr>
          <w:rFonts w:ascii="Calibri" w:eastAsia="Times New Roman" w:hAnsi="Calibri" w:cs="Calibri"/>
          <w:lang w:val="en-US" w:eastAsia="en-GB"/>
        </w:rPr>
        <w:t>Another factor to consider is the credibility of the digital health tools</w:t>
      </w:r>
      <w:r w:rsidR="00A23665" w:rsidRPr="26F64964">
        <w:rPr>
          <w:rFonts w:ascii="Calibri" w:eastAsia="Times New Roman" w:hAnsi="Calibri" w:cs="Calibri"/>
          <w:lang w:val="en-US" w:eastAsia="en-GB"/>
        </w:rPr>
        <w:t xml:space="preserve"> as studies have mentioned </w:t>
      </w:r>
      <w:r w:rsidR="00481051" w:rsidRPr="26F64964">
        <w:rPr>
          <w:rFonts w:ascii="Calibri" w:eastAsia="Times New Roman" w:hAnsi="Calibri" w:cs="Calibri"/>
          <w:lang w:val="en-US" w:eastAsia="en-GB"/>
        </w:rPr>
        <w:t>was the cause behind their hesitation to adopt digital health tools (</w:t>
      </w:r>
      <w:r w:rsidR="00481051" w:rsidRPr="6A640EE8">
        <w:rPr>
          <w:rFonts w:ascii="Calibri" w:eastAsia="Times New Roman" w:hAnsi="Calibri" w:cs="Calibri"/>
          <w:highlight w:val="white"/>
          <w:lang w:eastAsia="en-GB"/>
        </w:rPr>
        <w:t>Bangerter et al., 2022</w:t>
      </w:r>
      <w:r w:rsidR="00481051" w:rsidRPr="26F64964">
        <w:rPr>
          <w:rFonts w:ascii="Calibri" w:eastAsia="Times New Roman" w:hAnsi="Calibri" w:cs="Calibri"/>
          <w:lang w:eastAsia="en-GB"/>
        </w:rPr>
        <w:t>; Handler et a</w:t>
      </w:r>
      <w:r w:rsidR="00BB1E03" w:rsidRPr="26F64964">
        <w:rPr>
          <w:rFonts w:ascii="Calibri" w:eastAsia="Times New Roman" w:hAnsi="Calibri" w:cs="Calibri"/>
          <w:lang w:eastAsia="en-GB"/>
        </w:rPr>
        <w:t>l</w:t>
      </w:r>
      <w:r w:rsidR="00481051" w:rsidRPr="26F64964">
        <w:rPr>
          <w:rFonts w:ascii="Calibri" w:eastAsia="Times New Roman" w:hAnsi="Calibri" w:cs="Calibri"/>
          <w:lang w:eastAsia="en-GB"/>
        </w:rPr>
        <w:t>., 2023).</w:t>
      </w:r>
      <w:r w:rsidR="009141DD" w:rsidRPr="26F64964">
        <w:rPr>
          <w:rFonts w:ascii="Calibri" w:eastAsia="Times New Roman" w:hAnsi="Calibri" w:cs="Calibri"/>
          <w:lang w:eastAsia="en-GB"/>
        </w:rPr>
        <w:t xml:space="preserve"> </w:t>
      </w:r>
      <w:r w:rsidR="00BA0D8D" w:rsidRPr="26F64964">
        <w:rPr>
          <w:rFonts w:ascii="Calibri" w:eastAsia="Times New Roman" w:hAnsi="Calibri" w:cs="Calibri"/>
          <w:lang w:eastAsia="en-GB"/>
        </w:rPr>
        <w:t>By acknowledging and integrating preparation and readiness elements into the developmental phase, digital health tools can align more closely with user needs, enhance usability, facilitate better engagement, and ultimately lead to improved outcomes in healthcare delivery.</w:t>
      </w:r>
    </w:p>
    <w:p w14:paraId="4C4104B0" w14:textId="47787889" w:rsidR="00A56554" w:rsidRDefault="00A56554" w:rsidP="00A203D8">
      <w:pPr>
        <w:pStyle w:val="Heading2"/>
        <w:jc w:val="left"/>
        <w:rPr>
          <w:rFonts w:eastAsia="Times New Roman"/>
          <w:lang w:eastAsia="en-GB"/>
        </w:rPr>
      </w:pPr>
      <w:bookmarkStart w:id="35" w:name="_Toc166854000"/>
      <w:r>
        <w:rPr>
          <w:rFonts w:eastAsia="Times New Roman"/>
          <w:lang w:eastAsia="en-GB"/>
        </w:rPr>
        <w:t>4.4 Users of digital health</w:t>
      </w:r>
      <w:bookmarkEnd w:id="35"/>
    </w:p>
    <w:p w14:paraId="56EF28DE" w14:textId="3A8293B1" w:rsidR="009A12CD" w:rsidRPr="00734E32" w:rsidRDefault="00BB1E03" w:rsidP="009A12CD">
      <w:pPr>
        <w:spacing w:line="360" w:lineRule="auto"/>
        <w:jc w:val="both"/>
        <w:rPr>
          <w:rFonts w:asciiTheme="minorHAnsi" w:eastAsia="Times New Roman" w:hAnsiTheme="minorHAnsi" w:cstheme="minorHAnsi"/>
          <w:lang w:eastAsia="en-GB"/>
        </w:rPr>
      </w:pPr>
      <w:r>
        <w:rPr>
          <w:rFonts w:asciiTheme="minorHAnsi" w:eastAsia="Times New Roman" w:hAnsiTheme="minorHAnsi" w:cstheme="minorHAnsi"/>
          <w:lang w:eastAsia="en-GB"/>
        </w:rPr>
        <w:t>The m</w:t>
      </w:r>
      <w:r w:rsidRPr="00734E32">
        <w:rPr>
          <w:rFonts w:asciiTheme="minorHAnsi" w:eastAsia="Times New Roman" w:hAnsiTheme="minorHAnsi" w:cstheme="minorHAnsi"/>
          <w:lang w:eastAsia="en-GB"/>
        </w:rPr>
        <w:t xml:space="preserve">ajority </w:t>
      </w:r>
      <w:r w:rsidR="009A12CD" w:rsidRPr="00734E32">
        <w:rPr>
          <w:rFonts w:asciiTheme="minorHAnsi" w:eastAsia="Times New Roman" w:hAnsiTheme="minorHAnsi" w:cstheme="minorHAnsi"/>
          <w:lang w:eastAsia="en-GB"/>
        </w:rPr>
        <w:t xml:space="preserve">of studies </w:t>
      </w:r>
      <w:r w:rsidR="005B0E9C" w:rsidRPr="00734E32">
        <w:rPr>
          <w:rFonts w:asciiTheme="minorHAnsi" w:eastAsia="Times New Roman" w:hAnsiTheme="minorHAnsi" w:cstheme="minorHAnsi"/>
          <w:lang w:eastAsia="en-GB"/>
        </w:rPr>
        <w:t xml:space="preserve">43 </w:t>
      </w:r>
      <w:r w:rsidR="0068626E" w:rsidRPr="00734E32">
        <w:rPr>
          <w:rFonts w:asciiTheme="minorHAnsi" w:eastAsia="Times New Roman" w:hAnsiTheme="minorHAnsi" w:cstheme="minorHAnsi"/>
          <w:lang w:eastAsia="en-GB"/>
        </w:rPr>
        <w:t xml:space="preserve">out of </w:t>
      </w:r>
      <w:r w:rsidR="005B0E9C" w:rsidRPr="00734E32">
        <w:rPr>
          <w:rFonts w:asciiTheme="minorHAnsi" w:eastAsia="Times New Roman" w:hAnsiTheme="minorHAnsi" w:cstheme="minorHAnsi"/>
          <w:lang w:eastAsia="en-GB"/>
        </w:rPr>
        <w:t>55</w:t>
      </w:r>
      <w:r w:rsidR="0068626E" w:rsidRPr="00734E32">
        <w:rPr>
          <w:rFonts w:asciiTheme="minorHAnsi" w:eastAsia="Times New Roman" w:hAnsiTheme="minorHAnsi" w:cstheme="minorHAnsi"/>
          <w:lang w:eastAsia="en-GB"/>
        </w:rPr>
        <w:t xml:space="preserve"> </w:t>
      </w:r>
      <w:r w:rsidR="009A12CD" w:rsidRPr="00734E32">
        <w:rPr>
          <w:rFonts w:asciiTheme="minorHAnsi" w:eastAsia="Times New Roman" w:hAnsiTheme="minorHAnsi" w:cstheme="minorHAnsi"/>
          <w:lang w:eastAsia="en-GB"/>
        </w:rPr>
        <w:t xml:space="preserve">focused on patients as the user of digital health devices, while in </w:t>
      </w:r>
      <w:r w:rsidR="005B0E9C" w:rsidRPr="00734E32">
        <w:rPr>
          <w:rFonts w:asciiTheme="minorHAnsi" w:eastAsia="Times New Roman" w:hAnsiTheme="minorHAnsi" w:cstheme="minorHAnsi"/>
          <w:lang w:eastAsia="en-GB"/>
        </w:rPr>
        <w:t>four</w:t>
      </w:r>
      <w:r w:rsidR="009A12CD" w:rsidRPr="00734E32">
        <w:rPr>
          <w:rFonts w:asciiTheme="minorHAnsi" w:eastAsia="Times New Roman" w:hAnsiTheme="minorHAnsi" w:cstheme="minorHAnsi"/>
          <w:lang w:eastAsia="en-GB"/>
        </w:rPr>
        <w:t xml:space="preserve"> studies, caregivers and families of the patients were the users of these devices. </w:t>
      </w:r>
      <w:r w:rsidR="005F1438" w:rsidRPr="00734E32">
        <w:rPr>
          <w:rFonts w:asciiTheme="minorHAnsi" w:eastAsia="Times New Roman" w:hAnsiTheme="minorHAnsi" w:cstheme="minorHAnsi"/>
          <w:lang w:eastAsia="en-GB"/>
        </w:rPr>
        <w:t xml:space="preserve">In three studies, transplant pharmacists were the users of these devices. </w:t>
      </w:r>
      <w:r w:rsidR="009A12CD" w:rsidRPr="00734E32">
        <w:rPr>
          <w:rFonts w:asciiTheme="minorHAnsi" w:eastAsia="Times New Roman" w:hAnsiTheme="minorHAnsi" w:cstheme="minorHAnsi"/>
          <w:lang w:eastAsia="en-GB"/>
        </w:rPr>
        <w:t xml:space="preserve">In </w:t>
      </w:r>
      <w:r w:rsidR="00FE0E62" w:rsidRPr="00734E32">
        <w:rPr>
          <w:rFonts w:asciiTheme="minorHAnsi" w:eastAsia="Times New Roman" w:hAnsiTheme="minorHAnsi" w:cstheme="minorHAnsi"/>
          <w:lang w:eastAsia="en-GB"/>
        </w:rPr>
        <w:t>one</w:t>
      </w:r>
      <w:r w:rsidR="009A12CD" w:rsidRPr="00734E32">
        <w:rPr>
          <w:rFonts w:asciiTheme="minorHAnsi" w:eastAsia="Times New Roman" w:hAnsiTheme="minorHAnsi" w:cstheme="minorHAnsi"/>
          <w:lang w:eastAsia="en-GB"/>
        </w:rPr>
        <w:t xml:space="preserve"> stud</w:t>
      </w:r>
      <w:r w:rsidR="00FE0E62" w:rsidRPr="00734E32">
        <w:rPr>
          <w:rFonts w:asciiTheme="minorHAnsi" w:eastAsia="Times New Roman" w:hAnsiTheme="minorHAnsi" w:cstheme="minorHAnsi"/>
          <w:lang w:eastAsia="en-GB"/>
        </w:rPr>
        <w:t>y</w:t>
      </w:r>
      <w:r w:rsidR="009A12CD" w:rsidRPr="00734E32">
        <w:rPr>
          <w:rFonts w:asciiTheme="minorHAnsi" w:eastAsia="Times New Roman" w:hAnsiTheme="minorHAnsi" w:cstheme="minorHAnsi"/>
          <w:lang w:eastAsia="en-GB"/>
        </w:rPr>
        <w:t>, transplant providers were the users of these devices</w:t>
      </w:r>
      <w:r w:rsidR="005F1438" w:rsidRPr="00734E32">
        <w:rPr>
          <w:rFonts w:asciiTheme="minorHAnsi" w:eastAsia="Times New Roman" w:hAnsiTheme="minorHAnsi" w:cstheme="minorHAnsi"/>
          <w:lang w:eastAsia="en-GB"/>
        </w:rPr>
        <w:t>, and i</w:t>
      </w:r>
      <w:r w:rsidR="009A12CD" w:rsidRPr="00734E32">
        <w:rPr>
          <w:rFonts w:asciiTheme="minorHAnsi" w:eastAsia="Times New Roman" w:hAnsiTheme="minorHAnsi" w:cstheme="minorHAnsi"/>
          <w:lang w:eastAsia="en-GB"/>
        </w:rPr>
        <w:t xml:space="preserve">n </w:t>
      </w:r>
      <w:r w:rsidR="005F1438" w:rsidRPr="00734E32">
        <w:rPr>
          <w:rFonts w:asciiTheme="minorHAnsi" w:eastAsia="Times New Roman" w:hAnsiTheme="minorHAnsi" w:cstheme="minorHAnsi"/>
          <w:lang w:eastAsia="en-GB"/>
        </w:rPr>
        <w:t xml:space="preserve">another </w:t>
      </w:r>
      <w:r w:rsidR="001675F6" w:rsidRPr="00734E32">
        <w:rPr>
          <w:rFonts w:asciiTheme="minorHAnsi" w:eastAsia="Times New Roman" w:hAnsiTheme="minorHAnsi" w:cstheme="minorHAnsi"/>
          <w:lang w:eastAsia="en-GB"/>
        </w:rPr>
        <w:t>study</w:t>
      </w:r>
      <w:r w:rsidR="009A12CD" w:rsidRPr="00734E32">
        <w:rPr>
          <w:rFonts w:asciiTheme="minorHAnsi" w:eastAsia="Times New Roman" w:hAnsiTheme="minorHAnsi" w:cstheme="minorHAnsi"/>
          <w:lang w:eastAsia="en-GB"/>
        </w:rPr>
        <w:t>, clinicians were the users of these devices</w:t>
      </w:r>
      <w:r w:rsidR="005F1438" w:rsidRPr="00734E32">
        <w:rPr>
          <w:rFonts w:asciiTheme="minorHAnsi" w:eastAsia="Times New Roman" w:hAnsiTheme="minorHAnsi" w:cstheme="minorHAnsi"/>
          <w:lang w:eastAsia="en-GB"/>
        </w:rPr>
        <w:t>.</w:t>
      </w:r>
    </w:p>
    <w:p w14:paraId="2FFFAFDB" w14:textId="3B52569B" w:rsidR="009A12CD" w:rsidRPr="00734E32" w:rsidRDefault="009A12CD" w:rsidP="00734E32">
      <w:pPr>
        <w:pStyle w:val="Heading3"/>
        <w:jc w:val="left"/>
      </w:pPr>
      <w:bookmarkStart w:id="36" w:name="_Toc166854001"/>
      <w:r w:rsidRPr="00734E32">
        <w:t xml:space="preserve">4.4.1 </w:t>
      </w:r>
      <w:r w:rsidR="00CA643E" w:rsidRPr="00734E32">
        <w:t xml:space="preserve">Patients, </w:t>
      </w:r>
      <w:r w:rsidRPr="00734E32">
        <w:t>Caregivers, families and digital health</w:t>
      </w:r>
      <w:bookmarkEnd w:id="36"/>
    </w:p>
    <w:p w14:paraId="6C5512E4" w14:textId="79ED9778" w:rsidR="00640D9E" w:rsidRPr="00042591" w:rsidRDefault="004B6367" w:rsidP="00937B9F">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lang w:eastAsia="en-GB"/>
        </w:rPr>
        <w:t>Previous studies have underscored</w:t>
      </w:r>
      <w:r w:rsidR="0005730F" w:rsidRPr="26F64964">
        <w:rPr>
          <w:rFonts w:asciiTheme="minorHAnsi" w:eastAsia="Times New Roman" w:hAnsiTheme="minorHAnsi" w:cstheme="minorBidi"/>
          <w:lang w:eastAsia="en-GB"/>
        </w:rPr>
        <w:t xml:space="preserve"> that the c</w:t>
      </w:r>
      <w:r w:rsidR="009A12CD" w:rsidRPr="26F64964">
        <w:rPr>
          <w:rFonts w:asciiTheme="minorHAnsi" w:eastAsia="Times New Roman" w:hAnsiTheme="minorHAnsi" w:cstheme="minorBidi"/>
          <w:lang w:eastAsia="en-GB"/>
        </w:rPr>
        <w:t>aregivers of transplant patients play a crucial role in supporting their loved ones through the transplantation process and beyond (</w:t>
      </w:r>
      <w:r w:rsidR="009A12CD" w:rsidRPr="6A640EE8">
        <w:rPr>
          <w:rFonts w:asciiTheme="minorHAnsi" w:eastAsia="Times New Roman" w:hAnsiTheme="minorHAnsi" w:cstheme="minorBidi"/>
          <w:highlight w:val="white"/>
          <w:lang w:eastAsia="en-GB"/>
        </w:rPr>
        <w:t>Adib</w:t>
      </w:r>
      <w:r w:rsidR="003439AF">
        <w:rPr>
          <w:rFonts w:asciiTheme="minorHAnsi" w:eastAsia="Times New Roman" w:hAnsiTheme="minorHAnsi" w:cstheme="minorBidi"/>
          <w:highlight w:val="white"/>
          <w:lang w:eastAsia="en-GB"/>
        </w:rPr>
        <w:t xml:space="preserve"> et al., </w:t>
      </w:r>
      <w:r w:rsidR="009A12CD" w:rsidRPr="6A640EE8">
        <w:rPr>
          <w:rFonts w:asciiTheme="minorHAnsi" w:eastAsia="Times New Roman" w:hAnsiTheme="minorHAnsi" w:cstheme="minorBidi"/>
          <w:highlight w:val="white"/>
          <w:lang w:eastAsia="en-GB"/>
        </w:rPr>
        <w:t>2022</w:t>
      </w:r>
      <w:r w:rsidR="009A12CD" w:rsidRPr="6A640EE8">
        <w:rPr>
          <w:rFonts w:asciiTheme="minorHAnsi" w:eastAsia="Times New Roman" w:hAnsiTheme="minorHAnsi" w:cstheme="minorBidi"/>
          <w:lang w:eastAsia="en-GB"/>
        </w:rPr>
        <w:t xml:space="preserve">; </w:t>
      </w:r>
      <w:r w:rsidR="009A12CD" w:rsidRPr="6A640EE8">
        <w:rPr>
          <w:rFonts w:asciiTheme="minorHAnsi" w:eastAsia="Times New Roman" w:hAnsiTheme="minorHAnsi" w:cstheme="minorBidi"/>
          <w:highlight w:val="white"/>
          <w:lang w:eastAsia="en-GB"/>
        </w:rPr>
        <w:t>Bangerter et al., 2022</w:t>
      </w:r>
      <w:r w:rsidR="009A12CD" w:rsidRPr="26F64964">
        <w:rPr>
          <w:rFonts w:asciiTheme="minorHAnsi" w:eastAsia="Times New Roman" w:hAnsiTheme="minorHAnsi" w:cstheme="minorBidi"/>
          <w:lang w:eastAsia="en-GB"/>
        </w:rPr>
        <w:t xml:space="preserve">; </w:t>
      </w:r>
      <w:proofErr w:type="spellStart"/>
      <w:r w:rsidR="009A12CD" w:rsidRPr="26F64964">
        <w:rPr>
          <w:rFonts w:asciiTheme="minorHAnsi" w:eastAsia="Times New Roman" w:hAnsiTheme="minorHAnsi" w:cstheme="minorBidi"/>
          <w:lang w:eastAsia="en-GB"/>
        </w:rPr>
        <w:t>Lerret</w:t>
      </w:r>
      <w:proofErr w:type="spellEnd"/>
      <w:r w:rsidR="00891DCE" w:rsidRPr="26F64964">
        <w:rPr>
          <w:rFonts w:asciiTheme="minorHAnsi" w:eastAsia="Times New Roman" w:hAnsiTheme="minorHAnsi" w:cstheme="minorBidi"/>
          <w:lang w:eastAsia="en-GB"/>
        </w:rPr>
        <w:t xml:space="preserve">, Schiffman, </w:t>
      </w:r>
      <w:r w:rsidR="00891DCE" w:rsidRPr="26F64964">
        <w:rPr>
          <w:rFonts w:asciiTheme="minorHAnsi" w:eastAsia="Times New Roman" w:hAnsiTheme="minorHAnsi" w:cstheme="minorBidi"/>
          <w:highlight w:val="white"/>
          <w:lang w:eastAsia="en-GB"/>
        </w:rPr>
        <w:t>White-</w:t>
      </w:r>
      <w:proofErr w:type="spellStart"/>
      <w:r w:rsidR="00891DCE" w:rsidRPr="26F64964">
        <w:rPr>
          <w:rFonts w:asciiTheme="minorHAnsi" w:eastAsia="Times New Roman" w:hAnsiTheme="minorHAnsi" w:cstheme="minorBidi"/>
          <w:highlight w:val="white"/>
          <w:lang w:eastAsia="en-GB"/>
        </w:rPr>
        <w:t>Traut</w:t>
      </w:r>
      <w:proofErr w:type="spellEnd"/>
      <w:r w:rsidR="00891DCE" w:rsidRPr="26F64964">
        <w:rPr>
          <w:rFonts w:asciiTheme="minorHAnsi" w:eastAsia="Times New Roman" w:hAnsiTheme="minorHAnsi" w:cstheme="minorBidi"/>
          <w:highlight w:val="white"/>
          <w:lang w:eastAsia="en-GB"/>
        </w:rPr>
        <w:t xml:space="preserve">, </w:t>
      </w:r>
      <w:proofErr w:type="spellStart"/>
      <w:r w:rsidR="00891DCE" w:rsidRPr="26F64964">
        <w:rPr>
          <w:rFonts w:asciiTheme="minorHAnsi" w:eastAsia="Times New Roman" w:hAnsiTheme="minorHAnsi" w:cstheme="minorBidi"/>
          <w:highlight w:val="white"/>
          <w:lang w:eastAsia="en-GB"/>
        </w:rPr>
        <w:t>Medoff</w:t>
      </w:r>
      <w:proofErr w:type="spellEnd"/>
      <w:r w:rsidR="00891DCE" w:rsidRPr="26F64964">
        <w:rPr>
          <w:rFonts w:asciiTheme="minorHAnsi" w:eastAsia="Times New Roman" w:hAnsiTheme="minorHAnsi" w:cstheme="minorBidi"/>
          <w:highlight w:val="white"/>
          <w:lang w:eastAsia="en-GB"/>
        </w:rPr>
        <w:t>-Cooper, Ahamed, Adib, Liegl, Alonso, Mavis, Jensen, Peterson</w:t>
      </w:r>
      <w:r w:rsidR="00891DCE" w:rsidRPr="26F64964">
        <w:rPr>
          <w:rFonts w:asciiTheme="minorHAnsi" w:eastAsia="Times New Roman" w:hAnsiTheme="minorHAnsi" w:cstheme="minorBidi"/>
          <w:lang w:eastAsia="en-GB"/>
        </w:rPr>
        <w:t xml:space="preserve">, </w:t>
      </w:r>
      <w:proofErr w:type="spellStart"/>
      <w:r w:rsidR="00891DCE" w:rsidRPr="26F64964">
        <w:rPr>
          <w:rFonts w:asciiTheme="minorHAnsi" w:eastAsia="Times New Roman" w:hAnsiTheme="minorHAnsi" w:cstheme="minorBidi"/>
          <w:lang w:eastAsia="en-GB"/>
        </w:rPr>
        <w:t>Neighbors</w:t>
      </w:r>
      <w:proofErr w:type="spellEnd"/>
      <w:r w:rsidR="00891DCE" w:rsidRPr="26F64964">
        <w:rPr>
          <w:rFonts w:asciiTheme="minorHAnsi" w:eastAsia="Times New Roman" w:hAnsiTheme="minorHAnsi" w:cstheme="minorBidi"/>
          <w:lang w:eastAsia="en-GB"/>
        </w:rPr>
        <w:t xml:space="preserve">, Riordan, </w:t>
      </w:r>
      <w:proofErr w:type="spellStart"/>
      <w:r w:rsidR="00891DCE" w:rsidRPr="26F64964">
        <w:rPr>
          <w:rFonts w:asciiTheme="minorHAnsi" w:eastAsia="Times New Roman" w:hAnsiTheme="minorHAnsi" w:cstheme="minorBidi"/>
          <w:lang w:eastAsia="en-GB"/>
        </w:rPr>
        <w:t>Semp</w:t>
      </w:r>
      <w:proofErr w:type="spellEnd"/>
      <w:r w:rsidR="00891DCE" w:rsidRPr="26F64964">
        <w:rPr>
          <w:rFonts w:asciiTheme="minorHAnsi" w:eastAsia="Times New Roman" w:hAnsiTheme="minorHAnsi" w:cstheme="minorBidi"/>
          <w:lang w:eastAsia="en-GB"/>
        </w:rPr>
        <w:t xml:space="preserve">, Vo, </w:t>
      </w:r>
      <w:proofErr w:type="spellStart"/>
      <w:r w:rsidR="00891DCE" w:rsidRPr="26F64964">
        <w:rPr>
          <w:rFonts w:asciiTheme="minorHAnsi" w:eastAsia="Times New Roman" w:hAnsiTheme="minorHAnsi" w:cstheme="minorBidi"/>
          <w:lang w:eastAsia="en-GB"/>
        </w:rPr>
        <w:t>Stendahl</w:t>
      </w:r>
      <w:proofErr w:type="spellEnd"/>
      <w:r w:rsidR="00891DCE" w:rsidRPr="26F64964">
        <w:rPr>
          <w:rFonts w:asciiTheme="minorHAnsi" w:eastAsia="Times New Roman" w:hAnsiTheme="minorHAnsi" w:cstheme="minorBidi"/>
          <w:lang w:eastAsia="en-GB"/>
        </w:rPr>
        <w:t xml:space="preserve">, Chapman, </w:t>
      </w:r>
      <w:proofErr w:type="spellStart"/>
      <w:r w:rsidR="00891DCE" w:rsidRPr="26F64964">
        <w:rPr>
          <w:rFonts w:asciiTheme="minorHAnsi" w:eastAsia="Times New Roman" w:hAnsiTheme="minorHAnsi" w:cstheme="minorBidi"/>
          <w:lang w:eastAsia="en-GB"/>
        </w:rPr>
        <w:t>Unteutsch</w:t>
      </w:r>
      <w:proofErr w:type="spellEnd"/>
      <w:r w:rsidR="00891DCE" w:rsidRPr="26F64964">
        <w:rPr>
          <w:rFonts w:asciiTheme="minorHAnsi" w:eastAsia="Times New Roman" w:hAnsiTheme="minorHAnsi" w:cstheme="minorBidi"/>
          <w:lang w:eastAsia="en-GB"/>
        </w:rPr>
        <w:t xml:space="preserve"> &amp; Simpson, 2022; </w:t>
      </w:r>
      <w:r w:rsidR="009A12CD" w:rsidRPr="6A640EE8">
        <w:rPr>
          <w:rFonts w:asciiTheme="minorHAnsi" w:eastAsia="Times New Roman" w:hAnsiTheme="minorHAnsi" w:cstheme="minorBidi"/>
          <w:highlight w:val="white"/>
          <w:lang w:eastAsia="en-GB"/>
        </w:rPr>
        <w:t>Skeens et al., 2022</w:t>
      </w:r>
      <w:r w:rsidR="009A12CD" w:rsidRPr="26F64964">
        <w:rPr>
          <w:rFonts w:asciiTheme="minorHAnsi" w:eastAsia="Times New Roman" w:hAnsiTheme="minorHAnsi" w:cstheme="minorBidi"/>
          <w:highlight w:val="white"/>
          <w:lang w:eastAsia="en-GB"/>
        </w:rPr>
        <w:t>). Studies have</w:t>
      </w:r>
      <w:r w:rsidR="009A12CD" w:rsidRPr="26F64964">
        <w:rPr>
          <w:rFonts w:asciiTheme="minorHAnsi" w:eastAsia="Times New Roman" w:hAnsiTheme="minorHAnsi" w:cstheme="minorBidi"/>
          <w:lang w:eastAsia="en-GB"/>
        </w:rPr>
        <w:t xml:space="preserve"> shown </w:t>
      </w:r>
      <w:r w:rsidR="009A12CD" w:rsidRPr="26F64964">
        <w:rPr>
          <w:rFonts w:asciiTheme="minorHAnsi" w:eastAsia="Times New Roman" w:hAnsiTheme="minorHAnsi" w:cstheme="minorBidi"/>
          <w:highlight w:val="white"/>
          <w:lang w:eastAsia="en-GB"/>
        </w:rPr>
        <w:t>that digital health tools</w:t>
      </w:r>
      <w:r w:rsidR="009A12CD" w:rsidRPr="26F64964">
        <w:rPr>
          <w:rFonts w:asciiTheme="minorHAnsi" w:eastAsia="Times New Roman" w:hAnsiTheme="minorHAnsi" w:cstheme="minorBidi"/>
          <w:lang w:eastAsia="en-GB"/>
        </w:rPr>
        <w:t xml:space="preserve"> help caregivers in various ways</w:t>
      </w:r>
      <w:r w:rsidR="006F27F5" w:rsidRPr="26F64964">
        <w:rPr>
          <w:rFonts w:asciiTheme="minorHAnsi" w:eastAsia="Times New Roman" w:hAnsiTheme="minorHAnsi" w:cstheme="minorBidi"/>
          <w:lang w:eastAsia="en-GB"/>
        </w:rPr>
        <w:t xml:space="preserve">. Digital health tools empower caregivers by providing them with knowledge, facilitating communication, offering support networks, and enabling efficient care management. These tools enhance the caregiver's ability to support transplant patients </w:t>
      </w:r>
      <w:r w:rsidR="006F27F5" w:rsidRPr="26F64964">
        <w:rPr>
          <w:rFonts w:asciiTheme="minorHAnsi" w:eastAsia="Times New Roman" w:hAnsiTheme="minorHAnsi" w:cstheme="minorBidi"/>
          <w:lang w:eastAsia="en-GB"/>
        </w:rPr>
        <w:lastRenderedPageBreak/>
        <w:t>effectively while also helping in managing their own well-being.</w:t>
      </w:r>
      <w:r w:rsidR="0054373C" w:rsidRPr="26F64964">
        <w:rPr>
          <w:rFonts w:asciiTheme="minorHAnsi" w:eastAsia="Times New Roman" w:hAnsiTheme="minorHAnsi" w:cstheme="minorBidi"/>
          <w:lang w:eastAsia="en-GB"/>
        </w:rPr>
        <w:t xml:space="preserve"> </w:t>
      </w:r>
      <w:r w:rsidR="003A7FE6" w:rsidRPr="26F64964">
        <w:rPr>
          <w:rFonts w:asciiTheme="minorHAnsi" w:eastAsia="Times New Roman" w:hAnsiTheme="minorHAnsi" w:cstheme="minorBidi"/>
          <w:lang w:eastAsia="en-GB"/>
        </w:rPr>
        <w:t>E</w:t>
      </w:r>
      <w:r w:rsidR="009A12CD" w:rsidRPr="26F64964">
        <w:rPr>
          <w:rFonts w:asciiTheme="minorHAnsi" w:eastAsia="Times New Roman" w:hAnsiTheme="minorHAnsi" w:cstheme="minorBidi"/>
          <w:lang w:eastAsia="en-GB"/>
        </w:rPr>
        <w:t>ducation and Information</w:t>
      </w:r>
      <w:r w:rsidR="007B6A04" w:rsidRPr="26F64964">
        <w:rPr>
          <w:rFonts w:asciiTheme="minorHAnsi" w:eastAsia="Times New Roman" w:hAnsiTheme="minorHAnsi" w:cstheme="minorBidi"/>
          <w:lang w:eastAsia="en-GB"/>
        </w:rPr>
        <w:t xml:space="preserve"> researchers report that d</w:t>
      </w:r>
      <w:r w:rsidR="009A12CD" w:rsidRPr="26F64964">
        <w:rPr>
          <w:rFonts w:asciiTheme="minorHAnsi" w:eastAsia="Times New Roman" w:hAnsiTheme="minorHAnsi" w:cstheme="minorBidi"/>
          <w:lang w:eastAsia="en-GB"/>
        </w:rPr>
        <w:t>igital health platforms offer comprehensive resources and educational materials that help caregivers understand the transplantation process, medication schedules, potential complications, and post-transplant care (</w:t>
      </w:r>
      <w:r w:rsidR="007B6A04" w:rsidRPr="26F64964">
        <w:rPr>
          <w:rFonts w:asciiTheme="minorHAnsi" w:eastAsia="Times New Roman" w:hAnsiTheme="minorHAnsi" w:cstheme="minorBidi"/>
          <w:lang w:eastAsia="en-GB"/>
        </w:rPr>
        <w:t xml:space="preserve">e.g., </w:t>
      </w:r>
      <w:r w:rsidR="009A12CD" w:rsidRPr="6A640EE8">
        <w:rPr>
          <w:rFonts w:asciiTheme="minorHAnsi" w:eastAsia="Times New Roman" w:hAnsiTheme="minorHAnsi" w:cstheme="minorBidi"/>
          <w:highlight w:val="white"/>
          <w:lang w:eastAsia="en-GB"/>
        </w:rPr>
        <w:t>Bangerter et al., 2022</w:t>
      </w:r>
      <w:r w:rsidR="009A12CD" w:rsidRPr="6A640EE8">
        <w:rPr>
          <w:rFonts w:asciiTheme="minorHAnsi" w:eastAsia="Times New Roman" w:hAnsiTheme="minorHAnsi" w:cstheme="minorBidi"/>
          <w:lang w:eastAsia="en-GB"/>
        </w:rPr>
        <w:t xml:space="preserve">; </w:t>
      </w:r>
      <w:r w:rsidR="009A12CD" w:rsidRPr="6A640EE8">
        <w:rPr>
          <w:rFonts w:asciiTheme="minorHAnsi" w:eastAsia="Times New Roman" w:hAnsiTheme="minorHAnsi" w:cstheme="minorBidi"/>
          <w:highlight w:val="white"/>
          <w:lang w:eastAsia="en-GB"/>
        </w:rPr>
        <w:t>Skeens et al., 2022</w:t>
      </w:r>
      <w:r w:rsidR="009A12CD" w:rsidRPr="26F64964">
        <w:rPr>
          <w:rFonts w:asciiTheme="minorHAnsi" w:eastAsia="Times New Roman" w:hAnsiTheme="minorHAnsi" w:cstheme="minorBidi"/>
          <w:highlight w:val="white"/>
          <w:lang w:eastAsia="en-GB"/>
        </w:rPr>
        <w:t xml:space="preserve">). </w:t>
      </w:r>
      <w:r w:rsidR="00DA3E54" w:rsidRPr="26F64964">
        <w:rPr>
          <w:rFonts w:asciiTheme="minorHAnsi" w:eastAsia="Times New Roman" w:hAnsiTheme="minorHAnsi" w:cstheme="minorBidi"/>
          <w:highlight w:val="white"/>
          <w:lang w:eastAsia="en-GB"/>
        </w:rPr>
        <w:t>Digital</w:t>
      </w:r>
      <w:r w:rsidR="00DA3E54" w:rsidRPr="26F64964">
        <w:rPr>
          <w:rFonts w:asciiTheme="minorHAnsi" w:eastAsia="Times New Roman" w:hAnsiTheme="minorHAnsi" w:cstheme="minorBidi"/>
          <w:lang w:eastAsia="en-GB"/>
        </w:rPr>
        <w:t xml:space="preserve"> health</w:t>
      </w:r>
      <w:r w:rsidR="009A12CD" w:rsidRPr="26F64964">
        <w:rPr>
          <w:rFonts w:asciiTheme="minorHAnsi" w:eastAsia="Times New Roman" w:hAnsiTheme="minorHAnsi" w:cstheme="minorBidi"/>
          <w:lang w:eastAsia="en-GB"/>
        </w:rPr>
        <w:t xml:space="preserve"> tools facilitate seamless communication between caregivers, patients, and healthcare providers (</w:t>
      </w:r>
      <w:r w:rsidR="009A12CD" w:rsidRPr="6A640EE8">
        <w:rPr>
          <w:rFonts w:asciiTheme="minorHAnsi" w:eastAsia="Times New Roman" w:hAnsiTheme="minorHAnsi" w:cstheme="minorBidi"/>
          <w:highlight w:val="white"/>
          <w:lang w:eastAsia="en-GB"/>
        </w:rPr>
        <w:t>Adib et al., 2022</w:t>
      </w:r>
      <w:r w:rsidR="009A12CD" w:rsidRPr="26F64964">
        <w:rPr>
          <w:rFonts w:asciiTheme="minorHAnsi" w:eastAsia="Times New Roman" w:hAnsiTheme="minorHAnsi" w:cstheme="minorBidi"/>
          <w:lang w:eastAsia="en-GB"/>
        </w:rPr>
        <w:t>). Caregivers can easily access and share information about appointments, medication schedules, and any concerns, ensuring coordinated care and timely interventions.</w:t>
      </w:r>
      <w:r w:rsidR="00DA3E54" w:rsidRPr="26F64964">
        <w:rPr>
          <w:rFonts w:asciiTheme="minorHAnsi" w:eastAsia="Times New Roman" w:hAnsiTheme="minorHAnsi" w:cstheme="minorBidi"/>
          <w:lang w:eastAsia="en-GB"/>
        </w:rPr>
        <w:t xml:space="preserve"> </w:t>
      </w:r>
      <w:r w:rsidR="009A12CD" w:rsidRPr="26F64964">
        <w:rPr>
          <w:rFonts w:asciiTheme="minorHAnsi" w:eastAsia="Times New Roman" w:hAnsiTheme="minorHAnsi" w:cstheme="minorBidi"/>
          <w:lang w:eastAsia="en-GB"/>
        </w:rPr>
        <w:t xml:space="preserve">Some digital health tools enable remote monitoring of </w:t>
      </w:r>
      <w:r w:rsidR="00BB1E03" w:rsidRPr="26F64964">
        <w:rPr>
          <w:rFonts w:asciiTheme="minorHAnsi" w:eastAsia="Times New Roman" w:hAnsiTheme="minorHAnsi" w:cstheme="minorBidi"/>
          <w:lang w:eastAsia="en-GB"/>
        </w:rPr>
        <w:t xml:space="preserve">patient's </w:t>
      </w:r>
      <w:r w:rsidR="009A12CD" w:rsidRPr="26F64964">
        <w:rPr>
          <w:rFonts w:asciiTheme="minorHAnsi" w:eastAsia="Times New Roman" w:hAnsiTheme="minorHAnsi" w:cstheme="minorBidi"/>
          <w:lang w:eastAsia="en-GB"/>
        </w:rPr>
        <w:t xml:space="preserve">health parameters. Caregivers can track vital signs, medication adherence, and symptoms, allowing for </w:t>
      </w:r>
      <w:r w:rsidR="009A12CD" w:rsidRPr="26F64964">
        <w:rPr>
          <w:rFonts w:asciiTheme="minorHAnsi" w:eastAsia="Times New Roman" w:hAnsiTheme="minorHAnsi" w:cstheme="minorBidi"/>
          <w:highlight w:val="white"/>
          <w:lang w:eastAsia="en-GB"/>
        </w:rPr>
        <w:t>early detection of issues and timely interventions</w:t>
      </w:r>
      <w:r w:rsidR="009A12CD" w:rsidRPr="26F64964">
        <w:rPr>
          <w:rFonts w:asciiTheme="minorHAnsi" w:eastAsia="Times New Roman" w:hAnsiTheme="minorHAnsi" w:cstheme="minorBidi"/>
          <w:lang w:eastAsia="en-GB"/>
        </w:rPr>
        <w:t xml:space="preserve"> (</w:t>
      </w:r>
      <w:r w:rsidR="009A12CD" w:rsidRPr="6A640EE8">
        <w:rPr>
          <w:rFonts w:asciiTheme="minorHAnsi" w:eastAsia="Times New Roman" w:hAnsiTheme="minorHAnsi" w:cstheme="minorBidi"/>
          <w:highlight w:val="white"/>
          <w:lang w:eastAsia="en-GB"/>
        </w:rPr>
        <w:t>Skeens et al., 2022</w:t>
      </w:r>
      <w:r w:rsidR="009A12CD" w:rsidRPr="26F64964">
        <w:rPr>
          <w:rFonts w:asciiTheme="minorHAnsi" w:eastAsia="Times New Roman" w:hAnsiTheme="minorHAnsi" w:cstheme="minorBidi"/>
          <w:lang w:eastAsia="en-GB"/>
        </w:rPr>
        <w:t>). This remote monitoring provides peace of mind to caregivers while ensuring the patient's well-being.</w:t>
      </w:r>
      <w:r w:rsidR="00DA3E54" w:rsidRPr="26F64964">
        <w:rPr>
          <w:rFonts w:asciiTheme="minorHAnsi" w:eastAsia="Times New Roman" w:hAnsiTheme="minorHAnsi" w:cstheme="minorBidi"/>
          <w:lang w:eastAsia="en-GB"/>
        </w:rPr>
        <w:t xml:space="preserve"> </w:t>
      </w:r>
      <w:r w:rsidR="009A12CD" w:rsidRPr="26F64964">
        <w:rPr>
          <w:rFonts w:asciiTheme="minorHAnsi" w:eastAsia="Times New Roman" w:hAnsiTheme="minorHAnsi" w:cstheme="minorBidi"/>
          <w:lang w:eastAsia="en-GB"/>
        </w:rPr>
        <w:t>Digital platforms often provide access to online communities, support groups, and forums where caregivers can connect with others facing similar challenges (</w:t>
      </w:r>
      <w:proofErr w:type="spellStart"/>
      <w:r w:rsidR="009A12CD" w:rsidRPr="6A640EE8">
        <w:rPr>
          <w:rFonts w:asciiTheme="minorHAnsi" w:eastAsia="Times New Roman" w:hAnsiTheme="minorHAnsi" w:cstheme="minorBidi"/>
          <w:highlight w:val="white"/>
          <w:lang w:eastAsia="en-GB"/>
        </w:rPr>
        <w:t>Lerret</w:t>
      </w:r>
      <w:proofErr w:type="spellEnd"/>
      <w:r w:rsidR="009A12CD" w:rsidRPr="6A640EE8">
        <w:rPr>
          <w:rFonts w:asciiTheme="minorHAnsi" w:eastAsia="Times New Roman" w:hAnsiTheme="minorHAnsi" w:cstheme="minorBidi"/>
          <w:highlight w:val="white"/>
          <w:lang w:eastAsia="en-GB"/>
        </w:rPr>
        <w:t xml:space="preserve"> et al., 2022</w:t>
      </w:r>
      <w:r w:rsidR="009A12CD" w:rsidRPr="26F64964">
        <w:rPr>
          <w:rFonts w:asciiTheme="minorHAnsi" w:eastAsia="Times New Roman" w:hAnsiTheme="minorHAnsi" w:cstheme="minorBidi"/>
          <w:lang w:eastAsia="en-GB"/>
        </w:rPr>
        <w:t>). These networks offer emotional support, guidance, and a platform to share experiences, reducing caregiver stress and burnout.</w:t>
      </w:r>
      <w:r w:rsidR="00DA3E54" w:rsidRPr="26F64964">
        <w:rPr>
          <w:rFonts w:asciiTheme="minorHAnsi" w:eastAsia="Times New Roman" w:hAnsiTheme="minorHAnsi" w:cstheme="minorBidi"/>
          <w:lang w:eastAsia="en-GB"/>
        </w:rPr>
        <w:t xml:space="preserve"> </w:t>
      </w:r>
      <w:r w:rsidR="009A12CD" w:rsidRPr="26F64964">
        <w:rPr>
          <w:rFonts w:asciiTheme="minorHAnsi" w:eastAsia="Times New Roman" w:hAnsiTheme="minorHAnsi" w:cstheme="minorBidi"/>
          <w:lang w:eastAsia="en-GB"/>
        </w:rPr>
        <w:t>Digital tools with features for medication reminders and management assist caregivers in ensuring patients adhere to complex medication regimens (</w:t>
      </w:r>
      <w:r w:rsidR="009A12CD" w:rsidRPr="6A640EE8">
        <w:rPr>
          <w:rFonts w:asciiTheme="minorHAnsi" w:eastAsia="Times New Roman" w:hAnsiTheme="minorHAnsi" w:cstheme="minorBidi"/>
          <w:highlight w:val="white"/>
          <w:lang w:eastAsia="en-GB"/>
        </w:rPr>
        <w:t>Skeens et al., 2022</w:t>
      </w:r>
      <w:r w:rsidR="009A12CD" w:rsidRPr="26F64964">
        <w:rPr>
          <w:rFonts w:asciiTheme="minorHAnsi" w:eastAsia="Times New Roman" w:hAnsiTheme="minorHAnsi" w:cstheme="minorBidi"/>
          <w:lang w:eastAsia="en-GB"/>
        </w:rPr>
        <w:t>). These tools help avoid missed doses, reducing the risk of complications.</w:t>
      </w:r>
    </w:p>
    <w:p w14:paraId="17377415" w14:textId="05002617" w:rsidR="009A12CD" w:rsidRPr="009A12CD" w:rsidRDefault="009A12CD" w:rsidP="00870782">
      <w:pPr>
        <w:pStyle w:val="Heading3"/>
        <w:jc w:val="left"/>
        <w:rPr>
          <w:rFonts w:eastAsia="Times New Roman"/>
          <w:lang w:eastAsia="en-GB"/>
        </w:rPr>
      </w:pPr>
      <w:bookmarkStart w:id="37" w:name="_Toc166854002"/>
      <w:r>
        <w:rPr>
          <w:rFonts w:eastAsia="Times New Roman"/>
          <w:lang w:eastAsia="en-GB"/>
        </w:rPr>
        <w:t xml:space="preserve">4.4.2 </w:t>
      </w:r>
      <w:r w:rsidRPr="00692A56">
        <w:rPr>
          <w:rFonts w:eastAsia="Times New Roman"/>
          <w:lang w:eastAsia="en-GB"/>
        </w:rPr>
        <w:t>Transplant providers, clinicians, pharmacists and digital health</w:t>
      </w:r>
      <w:bookmarkEnd w:id="37"/>
    </w:p>
    <w:p w14:paraId="02C93461" w14:textId="4B046E37" w:rsidR="009A12CD" w:rsidRPr="009A12CD" w:rsidRDefault="009A12CD" w:rsidP="26F64964">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lang w:eastAsia="en-GB"/>
        </w:rPr>
        <w:t>Transplant providers oversee the entire transplantation process, from evaluating patients for transplant candidacy to performing the surgical procedure and managing post-transplant care (</w:t>
      </w:r>
      <w:r w:rsidRPr="6A640EE8">
        <w:rPr>
          <w:rFonts w:asciiTheme="minorHAnsi" w:eastAsia="Times New Roman" w:hAnsiTheme="minorHAnsi" w:cstheme="minorBidi"/>
          <w:highlight w:val="white"/>
          <w:lang w:eastAsia="en-GB"/>
        </w:rPr>
        <w:t xml:space="preserve">Eno et al., </w:t>
      </w:r>
      <w:r w:rsidR="002173AC" w:rsidRPr="6A640EE8">
        <w:rPr>
          <w:rFonts w:asciiTheme="minorHAnsi" w:eastAsia="Times New Roman" w:hAnsiTheme="minorHAnsi" w:cstheme="minorBidi"/>
          <w:highlight w:val="white"/>
          <w:lang w:eastAsia="en-GB"/>
        </w:rPr>
        <w:t>2019</w:t>
      </w:r>
      <w:r w:rsidR="002173AC" w:rsidRPr="6A640EE8">
        <w:rPr>
          <w:rFonts w:asciiTheme="minorHAnsi" w:eastAsia="Times New Roman" w:hAnsiTheme="minorHAnsi" w:cstheme="minorBidi"/>
          <w:lang w:eastAsia="en-GB"/>
        </w:rPr>
        <w:t xml:space="preserve">; </w:t>
      </w:r>
      <w:r w:rsidRPr="6A640EE8">
        <w:rPr>
          <w:rFonts w:asciiTheme="minorHAnsi" w:eastAsia="Times New Roman" w:hAnsiTheme="minorHAnsi" w:cstheme="minorBidi"/>
          <w:highlight w:val="white"/>
          <w:lang w:eastAsia="en-GB"/>
        </w:rPr>
        <w:t>Thiessen, Wisel. Yamaguchi,</w:t>
      </w:r>
      <w:r w:rsidRPr="6A640EE8">
        <w:rPr>
          <w:rFonts w:asciiTheme="minorHAnsi" w:eastAsia="Times New Roman" w:hAnsiTheme="minorHAnsi" w:cstheme="minorBidi"/>
          <w:lang w:eastAsia="en-GB"/>
        </w:rPr>
        <w:t xml:space="preserve"> </w:t>
      </w:r>
      <w:r w:rsidRPr="6A640EE8">
        <w:rPr>
          <w:rFonts w:asciiTheme="minorHAnsi" w:eastAsia="Times New Roman" w:hAnsiTheme="minorHAnsi" w:cstheme="minorBidi"/>
          <w:highlight w:val="white"/>
          <w:lang w:eastAsia="en-GB"/>
        </w:rPr>
        <w:t>Dietch, Feng &amp; Freise, 2020</w:t>
      </w:r>
      <w:r w:rsidRPr="26F64964">
        <w:rPr>
          <w:rFonts w:asciiTheme="minorHAnsi" w:eastAsia="Times New Roman" w:hAnsiTheme="minorHAnsi" w:cstheme="minorBidi"/>
          <w:lang w:eastAsia="en-GB"/>
        </w:rPr>
        <w:t xml:space="preserve">). Clinicians, including nurses, physician assistants, and other healthcare professionals, work alongside transplant providers to deliver day-to-day care to transplant patients (Handler et al., 2023; </w:t>
      </w:r>
      <w:proofErr w:type="spellStart"/>
      <w:r w:rsidRPr="6A640EE8">
        <w:rPr>
          <w:rFonts w:asciiTheme="minorHAnsi" w:eastAsia="Times New Roman" w:hAnsiTheme="minorHAnsi" w:cstheme="minorBidi"/>
          <w:highlight w:val="white"/>
          <w:lang w:eastAsia="en-GB"/>
        </w:rPr>
        <w:t>Morken</w:t>
      </w:r>
      <w:proofErr w:type="spellEnd"/>
      <w:r w:rsidRPr="6A640EE8">
        <w:rPr>
          <w:rFonts w:asciiTheme="minorHAnsi" w:eastAsia="Times New Roman" w:hAnsiTheme="minorHAnsi" w:cstheme="minorBidi"/>
          <w:highlight w:val="white"/>
          <w:lang w:eastAsia="en-GB"/>
        </w:rPr>
        <w:t xml:space="preserve">, </w:t>
      </w:r>
      <w:proofErr w:type="spellStart"/>
      <w:r w:rsidRPr="6A640EE8">
        <w:rPr>
          <w:rFonts w:asciiTheme="minorHAnsi" w:eastAsia="Times New Roman" w:hAnsiTheme="minorHAnsi" w:cstheme="minorBidi"/>
          <w:highlight w:val="white"/>
          <w:lang w:eastAsia="en-GB"/>
        </w:rPr>
        <w:t>Tevaarwek</w:t>
      </w:r>
      <w:proofErr w:type="spellEnd"/>
      <w:r w:rsidRPr="6A640EE8">
        <w:rPr>
          <w:rFonts w:asciiTheme="minorHAnsi" w:eastAsia="Times New Roman" w:hAnsiTheme="minorHAnsi" w:cstheme="minorBidi"/>
          <w:highlight w:val="white"/>
          <w:lang w:eastAsia="en-GB"/>
        </w:rPr>
        <w:t xml:space="preserve">, </w:t>
      </w:r>
      <w:proofErr w:type="spellStart"/>
      <w:r w:rsidRPr="6A640EE8">
        <w:rPr>
          <w:rFonts w:asciiTheme="minorHAnsi" w:eastAsia="Times New Roman" w:hAnsiTheme="minorHAnsi" w:cstheme="minorBidi"/>
          <w:highlight w:val="white"/>
          <w:lang w:eastAsia="en-GB"/>
        </w:rPr>
        <w:t>Jukett</w:t>
      </w:r>
      <w:proofErr w:type="spellEnd"/>
      <w:r w:rsidRPr="6A640EE8">
        <w:rPr>
          <w:rFonts w:asciiTheme="minorHAnsi" w:eastAsia="Times New Roman" w:hAnsiTheme="minorHAnsi" w:cstheme="minorBidi"/>
          <w:highlight w:val="white"/>
          <w:lang w:eastAsia="en-GB"/>
        </w:rPr>
        <w:t xml:space="preserve">, </w:t>
      </w:r>
      <w:proofErr w:type="spellStart"/>
      <w:r w:rsidRPr="6A640EE8">
        <w:rPr>
          <w:rFonts w:asciiTheme="minorHAnsi" w:eastAsia="Times New Roman" w:hAnsiTheme="minorHAnsi" w:cstheme="minorBidi"/>
          <w:highlight w:val="white"/>
          <w:lang w:eastAsia="en-GB"/>
        </w:rPr>
        <w:t>Swiecichowski</w:t>
      </w:r>
      <w:proofErr w:type="spellEnd"/>
      <w:r w:rsidRPr="6A640EE8">
        <w:rPr>
          <w:rFonts w:asciiTheme="minorHAnsi" w:eastAsia="Times New Roman" w:hAnsiTheme="minorHAnsi" w:cstheme="minorBidi"/>
          <w:highlight w:val="white"/>
          <w:lang w:eastAsia="en-GB"/>
        </w:rPr>
        <w:t xml:space="preserve">, </w:t>
      </w:r>
      <w:proofErr w:type="spellStart"/>
      <w:r w:rsidRPr="6A640EE8">
        <w:rPr>
          <w:rFonts w:asciiTheme="minorHAnsi" w:eastAsia="Times New Roman" w:hAnsiTheme="minorHAnsi" w:cstheme="minorBidi"/>
          <w:highlight w:val="white"/>
          <w:lang w:eastAsia="en-GB"/>
        </w:rPr>
        <w:t>Haine</w:t>
      </w:r>
      <w:proofErr w:type="spellEnd"/>
      <w:r w:rsidRPr="6A640EE8">
        <w:rPr>
          <w:rFonts w:asciiTheme="minorHAnsi" w:eastAsia="Times New Roman" w:hAnsiTheme="minorHAnsi" w:cstheme="minorBidi"/>
          <w:highlight w:val="white"/>
          <w:lang w:eastAsia="en-GB"/>
        </w:rPr>
        <w:t>, Zhang, Williams,</w:t>
      </w:r>
      <w:r w:rsidRPr="6A640EE8">
        <w:rPr>
          <w:rFonts w:asciiTheme="minorHAnsi" w:eastAsia="Times New Roman" w:hAnsiTheme="minorHAnsi" w:cstheme="minorBidi"/>
          <w:lang w:eastAsia="en-GB"/>
        </w:rPr>
        <w:t xml:space="preserve"> </w:t>
      </w:r>
      <w:proofErr w:type="spellStart"/>
      <w:r w:rsidRPr="6A640EE8">
        <w:rPr>
          <w:rFonts w:asciiTheme="minorHAnsi" w:eastAsia="Times New Roman" w:hAnsiTheme="minorHAnsi" w:cstheme="minorBidi"/>
          <w:highlight w:val="white"/>
          <w:lang w:eastAsia="en-GB"/>
        </w:rPr>
        <w:t>Norslien</w:t>
      </w:r>
      <w:proofErr w:type="spellEnd"/>
      <w:r w:rsidRPr="6A640EE8">
        <w:rPr>
          <w:rFonts w:asciiTheme="minorHAnsi" w:eastAsia="Times New Roman" w:hAnsiTheme="minorHAnsi" w:cstheme="minorBidi"/>
          <w:highlight w:val="white"/>
          <w:lang w:eastAsia="en-GB"/>
        </w:rPr>
        <w:t>, Campbell, Wassenaar, Sesto, 2023</w:t>
      </w:r>
      <w:r w:rsidRPr="26F64964">
        <w:rPr>
          <w:rFonts w:asciiTheme="minorHAnsi" w:eastAsia="Times New Roman" w:hAnsiTheme="minorHAnsi" w:cstheme="minorBidi"/>
          <w:lang w:eastAsia="en-GB"/>
        </w:rPr>
        <w:t xml:space="preserve">). </w:t>
      </w:r>
      <w:r w:rsidR="003A7FE6" w:rsidRPr="26F64964">
        <w:rPr>
          <w:rFonts w:asciiTheme="minorHAnsi" w:eastAsia="Times New Roman" w:hAnsiTheme="minorHAnsi" w:cstheme="minorBidi"/>
          <w:lang w:eastAsia="en-GB"/>
        </w:rPr>
        <w:t>Clinicians</w:t>
      </w:r>
      <w:r w:rsidRPr="26F64964">
        <w:rPr>
          <w:rFonts w:asciiTheme="minorHAnsi" w:eastAsia="Times New Roman" w:hAnsiTheme="minorHAnsi" w:cstheme="minorBidi"/>
          <w:lang w:eastAsia="en-GB"/>
        </w:rPr>
        <w:t xml:space="preserve"> assist in patient education, monitor vital signs, administer medications, manage wound care, and provide ongoing support and guidance to patients and their families throughout the transplantation journey. Pharmacists specializing in transplant care play a critical role in medication management for transplant patients. They ensure accurate dosing, monitor for drug interactions, educate patients about their medications, and collaborate with the healthcare team to adjust medication regimens based on individual patient needs (</w:t>
      </w:r>
      <w:r w:rsidRPr="6A640EE8">
        <w:rPr>
          <w:rFonts w:asciiTheme="minorHAnsi" w:eastAsia="Times New Roman" w:hAnsiTheme="minorHAnsi" w:cstheme="minorBidi"/>
          <w:highlight w:val="white"/>
          <w:lang w:eastAsia="en-GB"/>
        </w:rPr>
        <w:t>Park, Kim, Waldman, Marks &amp; Clark, 2021</w:t>
      </w:r>
      <w:r w:rsidRPr="6A640EE8">
        <w:rPr>
          <w:rFonts w:asciiTheme="minorHAnsi" w:eastAsia="Times New Roman" w:hAnsiTheme="minorHAnsi" w:cstheme="minorBidi"/>
          <w:lang w:eastAsia="en-GB"/>
        </w:rPr>
        <w:t xml:space="preserve">; </w:t>
      </w:r>
      <w:r w:rsidRPr="6A640EE8">
        <w:rPr>
          <w:rFonts w:asciiTheme="minorHAnsi" w:eastAsia="Times New Roman" w:hAnsiTheme="minorHAnsi" w:cstheme="minorBidi"/>
          <w:highlight w:val="white"/>
          <w:lang w:eastAsia="en-GB"/>
        </w:rPr>
        <w:t>Xu-Stettner, Thompson, Fitzgerald, Licari, McMurry, Tischer, 2023</w:t>
      </w:r>
      <w:r w:rsidRPr="26F64964">
        <w:rPr>
          <w:rFonts w:asciiTheme="minorHAnsi" w:eastAsia="Times New Roman" w:hAnsiTheme="minorHAnsi" w:cstheme="minorBidi"/>
          <w:lang w:eastAsia="en-GB"/>
        </w:rPr>
        <w:t xml:space="preserve">). </w:t>
      </w:r>
    </w:p>
    <w:p w14:paraId="4564C6AE" w14:textId="60E130C3" w:rsidR="009A12CD" w:rsidRPr="006F3330" w:rsidRDefault="009A12CD" w:rsidP="26F64964">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lang w:eastAsia="en-GB"/>
        </w:rPr>
        <w:t xml:space="preserve">Transplant providers, including clinicians, </w:t>
      </w:r>
      <w:r w:rsidR="004A4E39" w:rsidRPr="26F64964">
        <w:rPr>
          <w:rFonts w:asciiTheme="minorHAnsi" w:eastAsia="Times New Roman" w:hAnsiTheme="minorHAnsi" w:cstheme="minorBidi"/>
          <w:lang w:eastAsia="en-GB"/>
        </w:rPr>
        <w:t xml:space="preserve">and </w:t>
      </w:r>
      <w:r w:rsidRPr="26F64964">
        <w:rPr>
          <w:rFonts w:asciiTheme="minorHAnsi" w:eastAsia="Times New Roman" w:hAnsiTheme="minorHAnsi" w:cstheme="minorBidi"/>
          <w:lang w:eastAsia="en-GB"/>
        </w:rPr>
        <w:t>pharmacists leverage digital health technologies to enhance various aspects of care for transplant patients</w:t>
      </w:r>
      <w:r w:rsidR="004D7658" w:rsidRPr="26F64964">
        <w:rPr>
          <w:rFonts w:asciiTheme="minorHAnsi" w:eastAsia="Times New Roman" w:hAnsiTheme="minorHAnsi" w:cstheme="minorBidi"/>
          <w:lang w:eastAsia="en-GB"/>
        </w:rPr>
        <w:t xml:space="preserve">. For example, </w:t>
      </w:r>
      <w:r w:rsidR="00937B9F" w:rsidRPr="26F64964">
        <w:rPr>
          <w:rFonts w:asciiTheme="minorHAnsi" w:eastAsia="Times New Roman" w:hAnsiTheme="minorHAnsi" w:cstheme="minorBidi"/>
          <w:lang w:eastAsia="en-GB"/>
        </w:rPr>
        <w:t>d</w:t>
      </w:r>
      <w:r w:rsidRPr="26F64964">
        <w:rPr>
          <w:rFonts w:asciiTheme="minorHAnsi" w:eastAsia="Times New Roman" w:hAnsiTheme="minorHAnsi" w:cstheme="minorBidi"/>
          <w:lang w:eastAsia="en-GB"/>
        </w:rPr>
        <w:t xml:space="preserve">igital health tools </w:t>
      </w:r>
      <w:r w:rsidRPr="26F64964">
        <w:rPr>
          <w:rFonts w:asciiTheme="minorHAnsi" w:eastAsia="Times New Roman" w:hAnsiTheme="minorHAnsi" w:cstheme="minorBidi"/>
          <w:lang w:eastAsia="en-GB"/>
        </w:rPr>
        <w:lastRenderedPageBreak/>
        <w:t xml:space="preserve">enable </w:t>
      </w:r>
      <w:r w:rsidRPr="26F64964">
        <w:rPr>
          <w:rFonts w:asciiTheme="minorHAnsi" w:eastAsia="Times New Roman" w:hAnsiTheme="minorHAnsi" w:cstheme="minorBidi"/>
          <w:highlight w:val="white"/>
          <w:lang w:eastAsia="en-GB"/>
        </w:rPr>
        <w:t>providers to remotely monitor patients</w:t>
      </w:r>
      <w:r w:rsidRPr="26F64964">
        <w:rPr>
          <w:rFonts w:asciiTheme="minorHAnsi" w:eastAsia="Times New Roman" w:hAnsiTheme="minorHAnsi" w:cstheme="minorBidi"/>
          <w:lang w:eastAsia="en-GB"/>
        </w:rPr>
        <w:t>' health parameters, including vital signs, medication adherence, and post-transplant recovery progress (Handler et al., 2023</w:t>
      </w:r>
      <w:r w:rsidR="002173AC" w:rsidRPr="26F64964">
        <w:rPr>
          <w:rFonts w:asciiTheme="minorHAnsi" w:eastAsia="Times New Roman" w:hAnsiTheme="minorHAnsi" w:cstheme="minorBidi"/>
          <w:lang w:eastAsia="en-GB"/>
        </w:rPr>
        <w:t>)</w:t>
      </w:r>
      <w:r w:rsidRPr="26F64964">
        <w:rPr>
          <w:rFonts w:asciiTheme="minorHAnsi" w:eastAsia="Times New Roman" w:hAnsiTheme="minorHAnsi" w:cstheme="minorBidi"/>
          <w:lang w:eastAsia="en-GB"/>
        </w:rPr>
        <w:t>. These tools facilitate real-time data collection, allowing providers to intervene promptly if issues arise (Handler et al.,</w:t>
      </w:r>
      <w:r w:rsidR="002173AC" w:rsidRPr="26F64964">
        <w:rPr>
          <w:rFonts w:asciiTheme="minorHAnsi" w:eastAsia="Times New Roman" w:hAnsiTheme="minorHAnsi" w:cstheme="minorBidi"/>
          <w:lang w:eastAsia="en-GB"/>
        </w:rPr>
        <w:t xml:space="preserve"> 2023;</w:t>
      </w:r>
      <w:r w:rsidRPr="26F64964">
        <w:rPr>
          <w:rFonts w:asciiTheme="minorHAnsi" w:eastAsia="Times New Roman" w:hAnsiTheme="minorHAnsi" w:cstheme="minorBidi"/>
          <w:lang w:eastAsia="en-GB"/>
        </w:rPr>
        <w:t xml:space="preserve"> </w:t>
      </w:r>
      <w:r w:rsidRPr="6A640EE8">
        <w:rPr>
          <w:rFonts w:asciiTheme="minorHAnsi" w:eastAsia="Times New Roman" w:hAnsiTheme="minorHAnsi" w:cstheme="minorBidi"/>
          <w:highlight w:val="white"/>
          <w:lang w:eastAsia="en-GB"/>
        </w:rPr>
        <w:t>Morket et al., 2023</w:t>
      </w:r>
      <w:r w:rsidRPr="26F64964">
        <w:rPr>
          <w:rFonts w:asciiTheme="minorHAnsi" w:eastAsia="Times New Roman" w:hAnsiTheme="minorHAnsi" w:cstheme="minorBidi"/>
          <w:lang w:eastAsia="en-GB"/>
        </w:rPr>
        <w:t>).</w:t>
      </w:r>
      <w:r w:rsidR="006F3330"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lang w:eastAsia="en-GB"/>
        </w:rPr>
        <w:t>Digital platforms</w:t>
      </w:r>
      <w:r w:rsidR="00B26F9C" w:rsidRPr="26F64964">
        <w:rPr>
          <w:rFonts w:asciiTheme="minorHAnsi" w:eastAsia="Times New Roman" w:hAnsiTheme="minorHAnsi" w:cstheme="minorBidi"/>
          <w:lang w:eastAsia="en-GB"/>
        </w:rPr>
        <w:t xml:space="preserve"> also</w:t>
      </w:r>
      <w:r w:rsidRPr="26F64964">
        <w:rPr>
          <w:rFonts w:asciiTheme="minorHAnsi" w:eastAsia="Times New Roman" w:hAnsiTheme="minorHAnsi" w:cstheme="minorBidi"/>
          <w:lang w:eastAsia="en-GB"/>
        </w:rPr>
        <w:t xml:space="preserve"> enable transplant providers to conduct virtual appointments and consultations, offering convenience to patients who may have difficulty traveling for follow-up visits (</w:t>
      </w:r>
      <w:r w:rsidRPr="6A640EE8">
        <w:rPr>
          <w:rFonts w:asciiTheme="minorHAnsi" w:eastAsia="Times New Roman" w:hAnsiTheme="minorHAnsi" w:cstheme="minorBidi"/>
          <w:highlight w:val="white"/>
          <w:lang w:eastAsia="en-GB"/>
        </w:rPr>
        <w:t>Xu-Stettner et al., 2023</w:t>
      </w:r>
      <w:r w:rsidRPr="26F64964">
        <w:rPr>
          <w:rFonts w:asciiTheme="minorHAnsi" w:eastAsia="Times New Roman" w:hAnsiTheme="minorHAnsi" w:cstheme="minorBidi"/>
          <w:lang w:eastAsia="en-GB"/>
        </w:rPr>
        <w:t xml:space="preserve">). This technology allows for continuous patient-provider communication, enabling timely interventions and reducing the need for in-person visits, especially for routine </w:t>
      </w:r>
      <w:r w:rsidRPr="26F64964">
        <w:rPr>
          <w:rFonts w:asciiTheme="minorHAnsi" w:eastAsia="Times New Roman" w:hAnsiTheme="minorHAnsi" w:cstheme="minorBidi"/>
          <w:highlight w:val="white"/>
          <w:lang w:eastAsia="en-GB"/>
        </w:rPr>
        <w:t>check-ups</w:t>
      </w:r>
      <w:r w:rsidR="006F3330" w:rsidRPr="26F64964">
        <w:rPr>
          <w:rFonts w:asciiTheme="minorHAnsi" w:eastAsia="Times New Roman" w:hAnsiTheme="minorHAnsi" w:cstheme="minorBidi"/>
          <w:lang w:eastAsia="en-GB"/>
        </w:rPr>
        <w:t>. Artificial Intelligence</w:t>
      </w:r>
      <w:r w:rsidRPr="26F64964">
        <w:rPr>
          <w:rFonts w:asciiTheme="minorHAnsi" w:eastAsia="Times New Roman" w:hAnsiTheme="minorHAnsi" w:cstheme="minorBidi"/>
          <w:lang w:eastAsia="en-GB"/>
        </w:rPr>
        <w:t xml:space="preserve"> can predict post-transplant outcomes by </w:t>
      </w:r>
      <w:proofErr w:type="spellStart"/>
      <w:r w:rsidRPr="26F64964">
        <w:rPr>
          <w:rFonts w:asciiTheme="minorHAnsi" w:eastAsia="Times New Roman" w:hAnsiTheme="minorHAnsi" w:cstheme="minorBidi"/>
          <w:lang w:eastAsia="en-GB"/>
        </w:rPr>
        <w:t>analyzing</w:t>
      </w:r>
      <w:proofErr w:type="spellEnd"/>
      <w:r w:rsidRPr="26F64964">
        <w:rPr>
          <w:rFonts w:asciiTheme="minorHAnsi" w:eastAsia="Times New Roman" w:hAnsiTheme="minorHAnsi" w:cstheme="minorBidi"/>
          <w:lang w:eastAsia="en-GB"/>
        </w:rPr>
        <w:t xml:space="preserve"> patient data, </w:t>
      </w:r>
      <w:r w:rsidR="004A4E39" w:rsidRPr="26F64964">
        <w:rPr>
          <w:rFonts w:asciiTheme="minorHAnsi" w:eastAsia="Times New Roman" w:hAnsiTheme="minorHAnsi" w:cstheme="minorBidi"/>
          <w:lang w:eastAsia="en-GB"/>
        </w:rPr>
        <w:t xml:space="preserve">and </w:t>
      </w:r>
      <w:r w:rsidRPr="26F64964">
        <w:rPr>
          <w:rFonts w:asciiTheme="minorHAnsi" w:eastAsia="Times New Roman" w:hAnsiTheme="minorHAnsi" w:cstheme="minorBidi"/>
          <w:lang w:eastAsia="en-GB"/>
        </w:rPr>
        <w:t>identifying risk factors for complications or rejection (</w:t>
      </w:r>
      <w:proofErr w:type="spellStart"/>
      <w:r w:rsidRPr="26F64964">
        <w:rPr>
          <w:rFonts w:asciiTheme="minorHAnsi" w:eastAsia="Times New Roman" w:hAnsiTheme="minorHAnsi" w:cstheme="minorBidi"/>
          <w:lang w:eastAsia="en-GB"/>
        </w:rPr>
        <w:t>Divard</w:t>
      </w:r>
      <w:proofErr w:type="spellEnd"/>
      <w:r w:rsidRPr="26F64964">
        <w:rPr>
          <w:rFonts w:asciiTheme="minorHAnsi" w:eastAsia="Times New Roman" w:hAnsiTheme="minorHAnsi" w:cstheme="minorBidi"/>
          <w:lang w:eastAsia="en-GB"/>
        </w:rPr>
        <w:t xml:space="preserve">, Raynaud, </w:t>
      </w:r>
      <w:proofErr w:type="spellStart"/>
      <w:r w:rsidRPr="26F64964">
        <w:rPr>
          <w:rFonts w:asciiTheme="minorHAnsi" w:eastAsia="Times New Roman" w:hAnsiTheme="minorHAnsi" w:cstheme="minorBidi"/>
          <w:lang w:eastAsia="en-GB"/>
        </w:rPr>
        <w:t>Tatapudi</w:t>
      </w:r>
      <w:proofErr w:type="spellEnd"/>
      <w:r w:rsidRPr="26F64964">
        <w:rPr>
          <w:rFonts w:asciiTheme="minorHAnsi" w:eastAsia="Times New Roman" w:hAnsiTheme="minorHAnsi" w:cstheme="minorBidi"/>
          <w:lang w:eastAsia="en-GB"/>
        </w:rPr>
        <w:t xml:space="preserve">, Abdalla, Bailly, Assayag, Binois, Cohen, Zhang, Ulloa, </w:t>
      </w:r>
      <w:proofErr w:type="spellStart"/>
      <w:r w:rsidRPr="26F64964">
        <w:rPr>
          <w:rFonts w:asciiTheme="minorHAnsi" w:eastAsia="Times New Roman" w:hAnsiTheme="minorHAnsi" w:cstheme="minorBidi"/>
          <w:lang w:eastAsia="en-GB"/>
        </w:rPr>
        <w:t>Linhares</w:t>
      </w:r>
      <w:proofErr w:type="spellEnd"/>
      <w:r w:rsidRPr="26F64964">
        <w:rPr>
          <w:rFonts w:asciiTheme="minorHAnsi" w:eastAsia="Times New Roman" w:hAnsiTheme="minorHAnsi" w:cstheme="minorBidi"/>
          <w:lang w:eastAsia="en-GB"/>
        </w:rPr>
        <w:t xml:space="preserve">, Tedesco, Legendre, </w:t>
      </w:r>
      <w:proofErr w:type="spellStart"/>
      <w:r w:rsidRPr="26F64964">
        <w:rPr>
          <w:rFonts w:asciiTheme="minorHAnsi" w:eastAsia="Times New Roman" w:hAnsiTheme="minorHAnsi" w:cstheme="minorBidi"/>
          <w:lang w:eastAsia="en-GB"/>
        </w:rPr>
        <w:t>Jouven</w:t>
      </w:r>
      <w:proofErr w:type="spellEnd"/>
      <w:r w:rsidRPr="26F64964">
        <w:rPr>
          <w:rFonts w:asciiTheme="minorHAnsi" w:eastAsia="Times New Roman" w:hAnsiTheme="minorHAnsi" w:cstheme="minorBidi"/>
          <w:lang w:eastAsia="en-GB"/>
        </w:rPr>
        <w:t xml:space="preserve">, Montgomery, </w:t>
      </w:r>
      <w:proofErr w:type="spellStart"/>
      <w:r w:rsidRPr="26F64964">
        <w:rPr>
          <w:rFonts w:asciiTheme="minorHAnsi" w:eastAsia="Times New Roman" w:hAnsiTheme="minorHAnsi" w:cstheme="minorBidi"/>
          <w:lang w:eastAsia="en-GB"/>
        </w:rPr>
        <w:t>Lefaucheur</w:t>
      </w:r>
      <w:proofErr w:type="spellEnd"/>
      <w:r w:rsidRPr="26F64964">
        <w:rPr>
          <w:rFonts w:asciiTheme="minorHAnsi" w:eastAsia="Times New Roman" w:hAnsiTheme="minorHAnsi" w:cstheme="minorBidi"/>
          <w:lang w:eastAsia="en-GB"/>
        </w:rPr>
        <w:t xml:space="preserve">, Aubert &amp; </w:t>
      </w:r>
      <w:proofErr w:type="spellStart"/>
      <w:r w:rsidRPr="26F64964">
        <w:rPr>
          <w:rFonts w:asciiTheme="minorHAnsi" w:eastAsia="Times New Roman" w:hAnsiTheme="minorHAnsi" w:cstheme="minorBidi"/>
          <w:lang w:eastAsia="en-GB"/>
        </w:rPr>
        <w:t>Loupy</w:t>
      </w:r>
      <w:proofErr w:type="spellEnd"/>
      <w:r w:rsidRPr="26F64964">
        <w:rPr>
          <w:rFonts w:asciiTheme="minorHAnsi" w:eastAsia="Times New Roman" w:hAnsiTheme="minorHAnsi" w:cstheme="minorBidi"/>
          <w:lang w:eastAsia="en-GB"/>
        </w:rPr>
        <w:t>, 2022). This predictive analysis aids in personalized treatment plans, allowing for early interventions and tailored care strategies to improve patient outcomes.</w:t>
      </w:r>
    </w:p>
    <w:p w14:paraId="4CAEA2E3" w14:textId="45A0BE17" w:rsidR="00AB3F8A" w:rsidRDefault="009A12CD" w:rsidP="26F64964">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lang w:eastAsia="en-GB"/>
        </w:rPr>
        <w:t>Overall, the use of digital health tools empowers transplant providers by streamlining patient care, facilitating remote access to patients and enhancing data-driven decision-making.</w:t>
      </w:r>
      <w:r w:rsidR="004232F5" w:rsidRPr="26F64964">
        <w:rPr>
          <w:rFonts w:asciiTheme="minorHAnsi" w:eastAsia="Times New Roman" w:hAnsiTheme="minorHAnsi" w:cstheme="minorBidi"/>
          <w:lang w:eastAsia="en-GB"/>
        </w:rPr>
        <w:t xml:space="preserve"> A summary of the extracted themes</w:t>
      </w:r>
      <w:r w:rsidR="004A4E39" w:rsidRPr="26F64964">
        <w:rPr>
          <w:rFonts w:asciiTheme="minorHAnsi" w:eastAsia="Times New Roman" w:hAnsiTheme="minorHAnsi" w:cstheme="minorBidi"/>
          <w:lang w:eastAsia="en-GB"/>
        </w:rPr>
        <w:t>,</w:t>
      </w:r>
      <w:r w:rsidR="004232F5" w:rsidRPr="26F64964">
        <w:rPr>
          <w:rFonts w:asciiTheme="minorHAnsi" w:eastAsia="Times New Roman" w:hAnsiTheme="minorHAnsi" w:cstheme="minorBidi"/>
          <w:lang w:eastAsia="en-GB"/>
        </w:rPr>
        <w:t xml:space="preserve"> </w:t>
      </w:r>
      <w:r w:rsidR="004521A4" w:rsidRPr="26F64964">
        <w:rPr>
          <w:rFonts w:asciiTheme="minorHAnsi" w:eastAsia="Times New Roman" w:hAnsiTheme="minorHAnsi" w:cstheme="minorBidi"/>
          <w:lang w:eastAsia="en-GB"/>
        </w:rPr>
        <w:t xml:space="preserve">key indicators and related references is </w:t>
      </w:r>
      <w:r w:rsidR="0039514F" w:rsidRPr="26F64964">
        <w:rPr>
          <w:rFonts w:asciiTheme="minorHAnsi" w:eastAsia="Times New Roman" w:hAnsiTheme="minorHAnsi" w:cstheme="minorBidi"/>
          <w:highlight w:val="white"/>
          <w:lang w:eastAsia="en-GB"/>
        </w:rPr>
        <w:t>p</w:t>
      </w:r>
      <w:r w:rsidR="004521A4" w:rsidRPr="26F64964">
        <w:rPr>
          <w:rFonts w:asciiTheme="minorHAnsi" w:eastAsia="Times New Roman" w:hAnsiTheme="minorHAnsi" w:cstheme="minorBidi"/>
          <w:highlight w:val="white"/>
          <w:lang w:eastAsia="en-GB"/>
        </w:rPr>
        <w:t>resented in Table</w:t>
      </w:r>
      <w:r w:rsidR="004521A4" w:rsidRPr="26F64964">
        <w:rPr>
          <w:rFonts w:asciiTheme="minorHAnsi" w:eastAsia="Times New Roman" w:hAnsiTheme="minorHAnsi" w:cstheme="minorBidi"/>
          <w:lang w:eastAsia="en-GB"/>
        </w:rPr>
        <w:t xml:space="preserve"> 4.</w:t>
      </w:r>
      <w:r w:rsidR="005B6FB5" w:rsidRPr="26F64964">
        <w:rPr>
          <w:rFonts w:asciiTheme="minorHAnsi" w:eastAsia="Times New Roman" w:hAnsiTheme="minorHAnsi" w:cstheme="minorBidi"/>
          <w:lang w:eastAsia="en-GB"/>
        </w:rPr>
        <w:t>2.</w:t>
      </w:r>
    </w:p>
    <w:p w14:paraId="62492444" w14:textId="77777777" w:rsidR="000308DD" w:rsidRDefault="000308DD" w:rsidP="26F64964">
      <w:pPr>
        <w:spacing w:line="360" w:lineRule="auto"/>
        <w:jc w:val="both"/>
        <w:rPr>
          <w:rFonts w:asciiTheme="minorHAnsi" w:eastAsia="Times New Roman" w:hAnsiTheme="minorHAnsi" w:cstheme="minorBidi"/>
          <w:lang w:eastAsia="en-GB"/>
        </w:rPr>
      </w:pPr>
    </w:p>
    <w:p w14:paraId="68AF419E" w14:textId="77777777" w:rsidR="000308DD" w:rsidRDefault="000308DD" w:rsidP="26F64964">
      <w:pPr>
        <w:spacing w:line="360" w:lineRule="auto"/>
        <w:jc w:val="both"/>
        <w:rPr>
          <w:rFonts w:asciiTheme="minorHAnsi" w:eastAsia="Times New Roman" w:hAnsiTheme="minorHAnsi" w:cstheme="minorBidi"/>
          <w:lang w:eastAsia="en-GB"/>
        </w:rPr>
      </w:pPr>
    </w:p>
    <w:p w14:paraId="17A1E6A4" w14:textId="77777777" w:rsidR="000308DD" w:rsidRDefault="000308DD" w:rsidP="26F64964">
      <w:pPr>
        <w:spacing w:line="360" w:lineRule="auto"/>
        <w:jc w:val="both"/>
        <w:rPr>
          <w:rFonts w:asciiTheme="minorHAnsi" w:eastAsia="Times New Roman" w:hAnsiTheme="minorHAnsi" w:cstheme="minorBidi"/>
          <w:lang w:eastAsia="en-GB"/>
        </w:rPr>
      </w:pPr>
    </w:p>
    <w:p w14:paraId="31659FD3" w14:textId="77777777" w:rsidR="000308DD" w:rsidRDefault="000308DD" w:rsidP="26F64964">
      <w:pPr>
        <w:spacing w:line="360" w:lineRule="auto"/>
        <w:jc w:val="both"/>
        <w:rPr>
          <w:rFonts w:asciiTheme="minorHAnsi" w:eastAsia="Times New Roman" w:hAnsiTheme="minorHAnsi" w:cstheme="minorBidi"/>
          <w:lang w:eastAsia="en-GB"/>
        </w:rPr>
      </w:pPr>
    </w:p>
    <w:p w14:paraId="1F6D7434" w14:textId="77777777" w:rsidR="000308DD" w:rsidRDefault="000308DD" w:rsidP="26F64964">
      <w:pPr>
        <w:spacing w:line="360" w:lineRule="auto"/>
        <w:jc w:val="both"/>
        <w:rPr>
          <w:rFonts w:asciiTheme="minorHAnsi" w:eastAsia="Times New Roman" w:hAnsiTheme="minorHAnsi" w:cstheme="minorBidi"/>
          <w:lang w:eastAsia="en-GB"/>
        </w:rPr>
      </w:pPr>
    </w:p>
    <w:p w14:paraId="130BA777" w14:textId="77777777" w:rsidR="000308DD" w:rsidRDefault="000308DD" w:rsidP="26F64964">
      <w:pPr>
        <w:spacing w:line="360" w:lineRule="auto"/>
        <w:jc w:val="both"/>
        <w:rPr>
          <w:rFonts w:asciiTheme="minorHAnsi" w:eastAsia="Times New Roman" w:hAnsiTheme="minorHAnsi" w:cstheme="minorBidi"/>
          <w:lang w:eastAsia="en-GB"/>
        </w:rPr>
      </w:pPr>
    </w:p>
    <w:p w14:paraId="3052C6A4" w14:textId="77777777" w:rsidR="000308DD" w:rsidRDefault="000308DD" w:rsidP="26F64964">
      <w:pPr>
        <w:spacing w:line="360" w:lineRule="auto"/>
        <w:jc w:val="both"/>
        <w:rPr>
          <w:rFonts w:asciiTheme="minorHAnsi" w:eastAsia="Times New Roman" w:hAnsiTheme="minorHAnsi" w:cstheme="minorBidi"/>
          <w:lang w:eastAsia="en-GB"/>
        </w:rPr>
      </w:pPr>
    </w:p>
    <w:p w14:paraId="25B6A69C" w14:textId="77777777" w:rsidR="000308DD" w:rsidRDefault="000308DD" w:rsidP="26F64964">
      <w:pPr>
        <w:spacing w:line="360" w:lineRule="auto"/>
        <w:jc w:val="both"/>
        <w:rPr>
          <w:rFonts w:asciiTheme="minorHAnsi" w:eastAsia="Times New Roman" w:hAnsiTheme="minorHAnsi" w:cstheme="minorBidi"/>
          <w:lang w:eastAsia="en-GB"/>
        </w:rPr>
      </w:pPr>
    </w:p>
    <w:p w14:paraId="55C2318D" w14:textId="77777777" w:rsidR="000308DD" w:rsidRDefault="000308DD" w:rsidP="26F64964">
      <w:pPr>
        <w:spacing w:line="360" w:lineRule="auto"/>
        <w:jc w:val="both"/>
        <w:rPr>
          <w:rFonts w:asciiTheme="minorHAnsi" w:eastAsia="Times New Roman" w:hAnsiTheme="minorHAnsi" w:cstheme="minorBidi"/>
          <w:lang w:eastAsia="en-GB"/>
        </w:rPr>
      </w:pPr>
    </w:p>
    <w:p w14:paraId="1A2A86AA" w14:textId="77777777" w:rsidR="000308DD" w:rsidRDefault="000308DD" w:rsidP="26F64964">
      <w:pPr>
        <w:spacing w:line="360" w:lineRule="auto"/>
        <w:jc w:val="both"/>
        <w:rPr>
          <w:rFonts w:asciiTheme="minorHAnsi" w:eastAsia="Times New Roman" w:hAnsiTheme="minorHAnsi" w:cstheme="minorBidi"/>
          <w:lang w:eastAsia="en-GB"/>
        </w:rPr>
      </w:pPr>
    </w:p>
    <w:p w14:paraId="0D0AC0EF" w14:textId="77777777" w:rsidR="000308DD" w:rsidRDefault="000308DD" w:rsidP="26F64964">
      <w:pPr>
        <w:spacing w:line="360" w:lineRule="auto"/>
        <w:jc w:val="both"/>
        <w:rPr>
          <w:rFonts w:asciiTheme="minorHAnsi" w:eastAsia="Times New Roman" w:hAnsiTheme="minorHAnsi" w:cstheme="minorBidi"/>
          <w:lang w:eastAsia="en-GB"/>
        </w:rPr>
      </w:pPr>
    </w:p>
    <w:p w14:paraId="722CF6BF" w14:textId="77777777" w:rsidR="000308DD" w:rsidRPr="00640D9E" w:rsidRDefault="000308DD" w:rsidP="26F64964">
      <w:pPr>
        <w:spacing w:line="360" w:lineRule="auto"/>
        <w:jc w:val="both"/>
        <w:rPr>
          <w:rFonts w:asciiTheme="minorHAnsi" w:eastAsia="Times New Roman" w:hAnsiTheme="minorHAnsi" w:cstheme="minorBidi"/>
          <w:lang w:eastAsia="en-GB"/>
        </w:rPr>
      </w:pPr>
    </w:p>
    <w:p w14:paraId="341EB3D4" w14:textId="62CAE34D" w:rsidR="005D1A27" w:rsidRPr="00297F36" w:rsidRDefault="00297F36" w:rsidP="005D1A27">
      <w:pPr>
        <w:pStyle w:val="Caption"/>
        <w:keepNext/>
        <w:rPr>
          <w:rFonts w:cstheme="majorHAnsi"/>
        </w:rPr>
      </w:pPr>
      <w:bookmarkStart w:id="38" w:name="_Toc166853966"/>
      <w:r w:rsidRPr="00297F36">
        <w:rPr>
          <w:rFonts w:cstheme="majorHAnsi"/>
          <w:caps w:val="0"/>
        </w:rPr>
        <w:lastRenderedPageBreak/>
        <w:t xml:space="preserve">Table </w:t>
      </w:r>
      <w:r w:rsidR="00252FF1">
        <w:rPr>
          <w:rFonts w:cstheme="majorHAnsi"/>
          <w:caps w:val="0"/>
        </w:rPr>
        <w:t>4.</w:t>
      </w:r>
      <w:r w:rsidR="005D1A27" w:rsidRPr="00297F36">
        <w:rPr>
          <w:rFonts w:cstheme="majorHAnsi"/>
        </w:rPr>
        <w:fldChar w:fldCharType="begin"/>
      </w:r>
      <w:r w:rsidR="005D1A27" w:rsidRPr="00297F36">
        <w:rPr>
          <w:rFonts w:cstheme="majorHAnsi"/>
        </w:rPr>
        <w:instrText xml:space="preserve"> SEQ Table \* ARABIC </w:instrText>
      </w:r>
      <w:r w:rsidR="005D1A27" w:rsidRPr="00297F36">
        <w:rPr>
          <w:rFonts w:cstheme="majorHAnsi"/>
        </w:rPr>
        <w:fldChar w:fldCharType="separate"/>
      </w:r>
      <w:r w:rsidR="009B3008">
        <w:rPr>
          <w:rFonts w:cstheme="majorHAnsi"/>
          <w:noProof/>
        </w:rPr>
        <w:t>4</w:t>
      </w:r>
      <w:r w:rsidR="005D1A27" w:rsidRPr="00297F36">
        <w:rPr>
          <w:rFonts w:cstheme="majorHAnsi"/>
        </w:rPr>
        <w:fldChar w:fldCharType="end"/>
      </w:r>
      <w:r w:rsidRPr="00297F36">
        <w:rPr>
          <w:rFonts w:cstheme="majorHAnsi"/>
          <w:caps w:val="0"/>
        </w:rPr>
        <w:t xml:space="preserve"> Summary of Main Extracted Themes and Related References</w:t>
      </w:r>
      <w:bookmarkEnd w:id="38"/>
    </w:p>
    <w:tbl>
      <w:tblPr>
        <w:tblStyle w:val="GridTable3-Accent1"/>
        <w:tblW w:w="877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4"/>
        <w:gridCol w:w="2497"/>
        <w:gridCol w:w="2888"/>
        <w:gridCol w:w="2128"/>
      </w:tblGrid>
      <w:tr w:rsidR="00626F00" w:rsidRPr="00DC2BD6" w14:paraId="7A5BB6BD" w14:textId="77777777" w:rsidTr="003C0070">
        <w:trPr>
          <w:cnfStyle w:val="100000000000" w:firstRow="1" w:lastRow="0" w:firstColumn="0" w:lastColumn="0" w:oddVBand="0" w:evenVBand="0" w:oddHBand="0" w:evenHBand="0" w:firstRowFirstColumn="0" w:firstRowLastColumn="0" w:lastRowFirstColumn="0" w:lastRowLastColumn="0"/>
          <w:trHeight w:val="533"/>
        </w:trPr>
        <w:tc>
          <w:tcPr>
            <w:cnfStyle w:val="001000000100" w:firstRow="0" w:lastRow="0" w:firstColumn="1" w:lastColumn="0" w:oddVBand="0" w:evenVBand="0" w:oddHBand="0" w:evenHBand="0" w:firstRowFirstColumn="1" w:firstRowLastColumn="0" w:lastRowFirstColumn="0" w:lastRowLastColumn="0"/>
            <w:tcW w:w="1264" w:type="dxa"/>
          </w:tcPr>
          <w:p w14:paraId="232E4C51" w14:textId="77777777" w:rsidR="00395EB7" w:rsidRPr="00DC2BD6" w:rsidRDefault="00395EB7" w:rsidP="009A5769">
            <w:pPr>
              <w:jc w:val="left"/>
              <w:rPr>
                <w:rFonts w:asciiTheme="minorHAnsi" w:eastAsia="Times New Roman" w:hAnsiTheme="minorHAnsi" w:cstheme="minorHAnsi"/>
                <w:b w:val="0"/>
                <w:bCs w:val="0"/>
                <w:i w:val="0"/>
                <w:iCs w:val="0"/>
                <w:sz w:val="18"/>
                <w:szCs w:val="18"/>
                <w:lang w:eastAsia="en-GB"/>
              </w:rPr>
            </w:pPr>
            <w:r w:rsidRPr="00DC2BD6">
              <w:rPr>
                <w:rFonts w:asciiTheme="minorHAnsi" w:eastAsia="Times New Roman" w:hAnsiTheme="minorHAnsi" w:cstheme="minorHAnsi"/>
                <w:sz w:val="18"/>
                <w:szCs w:val="18"/>
                <w:lang w:eastAsia="en-GB"/>
              </w:rPr>
              <w:t>Themes</w:t>
            </w:r>
          </w:p>
        </w:tc>
        <w:tc>
          <w:tcPr>
            <w:tcW w:w="2497" w:type="dxa"/>
          </w:tcPr>
          <w:p w14:paraId="4918720A" w14:textId="28BCADF4" w:rsidR="00395EB7" w:rsidRPr="00DC2BD6" w:rsidRDefault="00395EB7" w:rsidP="00A465B1">
            <w:pP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 xml:space="preserve">Coding </w:t>
            </w:r>
            <w:r w:rsidR="00D1679A" w:rsidRPr="00DC2BD6">
              <w:rPr>
                <w:rFonts w:asciiTheme="minorHAnsi" w:eastAsia="Times New Roman" w:hAnsiTheme="minorHAnsi" w:cstheme="minorHAnsi"/>
                <w:sz w:val="18"/>
                <w:szCs w:val="18"/>
                <w:lang w:eastAsia="en-GB"/>
              </w:rPr>
              <w:t>criteria</w:t>
            </w:r>
          </w:p>
        </w:tc>
        <w:tc>
          <w:tcPr>
            <w:tcW w:w="2888" w:type="dxa"/>
          </w:tcPr>
          <w:p w14:paraId="423287CF" w14:textId="251C4890" w:rsidR="00395EB7" w:rsidRPr="00DC2BD6" w:rsidRDefault="00395EB7" w:rsidP="00A465B1">
            <w:pP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bCs w:val="0"/>
                <w:sz w:val="18"/>
                <w:szCs w:val="18"/>
                <w:lang w:eastAsia="en-GB"/>
              </w:rPr>
            </w:pPr>
            <w:r w:rsidRPr="00DC2BD6">
              <w:rPr>
                <w:rFonts w:asciiTheme="minorHAnsi" w:eastAsia="Times New Roman" w:hAnsiTheme="minorHAnsi" w:cstheme="minorHAnsi"/>
                <w:sz w:val="18"/>
                <w:szCs w:val="18"/>
                <w:lang w:eastAsia="en-GB"/>
              </w:rPr>
              <w:t>Key indicators and factors of theme</w:t>
            </w:r>
          </w:p>
        </w:tc>
        <w:tc>
          <w:tcPr>
            <w:tcW w:w="2128" w:type="dxa"/>
          </w:tcPr>
          <w:p w14:paraId="2790D582" w14:textId="77777777" w:rsidR="00395EB7" w:rsidRPr="00DC2BD6" w:rsidRDefault="00395EB7" w:rsidP="00A465B1">
            <w:pP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bCs w:val="0"/>
                <w:sz w:val="18"/>
                <w:szCs w:val="18"/>
                <w:lang w:eastAsia="en-GB"/>
              </w:rPr>
            </w:pPr>
            <w:r w:rsidRPr="00DC2BD6">
              <w:rPr>
                <w:rFonts w:asciiTheme="minorHAnsi" w:eastAsia="Times New Roman" w:hAnsiTheme="minorHAnsi" w:cstheme="minorHAnsi"/>
                <w:sz w:val="18"/>
                <w:szCs w:val="18"/>
                <w:lang w:eastAsia="en-GB"/>
              </w:rPr>
              <w:t>References</w:t>
            </w:r>
          </w:p>
        </w:tc>
      </w:tr>
      <w:tr w:rsidR="00626F00" w:rsidRPr="00DC2BD6" w14:paraId="7802C5C9" w14:textId="77777777" w:rsidTr="003C0070">
        <w:trPr>
          <w:cnfStyle w:val="000000100000" w:firstRow="0" w:lastRow="0" w:firstColumn="0" w:lastColumn="0" w:oddVBand="0" w:evenVBand="0" w:oddHBand="1" w:evenHBand="0" w:firstRowFirstColumn="0" w:firstRowLastColumn="0" w:lastRowFirstColumn="0" w:lastRowLastColumn="0"/>
          <w:trHeight w:val="1615"/>
        </w:trPr>
        <w:tc>
          <w:tcPr>
            <w:cnfStyle w:val="001000000000" w:firstRow="0" w:lastRow="0" w:firstColumn="1" w:lastColumn="0" w:oddVBand="0" w:evenVBand="0" w:oddHBand="0" w:evenHBand="0" w:firstRowFirstColumn="0" w:firstRowLastColumn="0" w:lastRowFirstColumn="0" w:lastRowLastColumn="0"/>
            <w:tcW w:w="1264" w:type="dxa"/>
            <w:vMerge w:val="restart"/>
          </w:tcPr>
          <w:p w14:paraId="2B7E5AAF" w14:textId="76A23072" w:rsidR="008A36B4" w:rsidRPr="00DC2BD6" w:rsidRDefault="008A36B4" w:rsidP="009A5769">
            <w:pPr>
              <w:jc w:val="left"/>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 xml:space="preserve">Barriers of digital health tools </w:t>
            </w:r>
          </w:p>
        </w:tc>
        <w:tc>
          <w:tcPr>
            <w:tcW w:w="2497" w:type="dxa"/>
            <w:vMerge w:val="restart"/>
          </w:tcPr>
          <w:p w14:paraId="2BDF43EF" w14:textId="72334BC7" w:rsidR="008A36B4" w:rsidRPr="00DC2BD6" w:rsidRDefault="0045106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Pr>
                <w:rFonts w:asciiTheme="minorHAnsi" w:eastAsia="Times New Roman" w:hAnsiTheme="minorHAnsi" w:cstheme="minorHAnsi"/>
                <w:sz w:val="18"/>
                <w:szCs w:val="18"/>
                <w:lang w:eastAsia="en-GB"/>
              </w:rPr>
              <w:t>I</w:t>
            </w:r>
            <w:r w:rsidR="007C4ED6" w:rsidRPr="00DC2BD6">
              <w:rPr>
                <w:rFonts w:asciiTheme="minorHAnsi" w:eastAsia="Times New Roman" w:hAnsiTheme="minorHAnsi" w:cstheme="minorHAnsi"/>
                <w:sz w:val="18"/>
                <w:szCs w:val="18"/>
                <w:lang w:eastAsia="en-GB"/>
              </w:rPr>
              <w:t xml:space="preserve">nvestigated concerns, obstacles, technology complexity </w:t>
            </w:r>
          </w:p>
        </w:tc>
        <w:tc>
          <w:tcPr>
            <w:tcW w:w="2888" w:type="dxa"/>
          </w:tcPr>
          <w:p w14:paraId="2969C650" w14:textId="17DD9D11"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Access and knowledge barriers (e.g., poor IT literacy, poor IT acceptance, demographic &amp; socio-economic factors)</w:t>
            </w:r>
          </w:p>
        </w:tc>
        <w:tc>
          <w:tcPr>
            <w:tcW w:w="2128" w:type="dxa"/>
          </w:tcPr>
          <w:p w14:paraId="5FB4F3EE" w14:textId="71B03748" w:rsidR="008A36B4" w:rsidRPr="00DC2BD6" w:rsidRDefault="008A36B4" w:rsidP="26F6496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sz w:val="18"/>
                <w:szCs w:val="18"/>
                <w:lang w:val="en-US" w:eastAsia="en-GB"/>
              </w:rPr>
            </w:pPr>
            <w:r w:rsidRPr="00DC2BD6">
              <w:rPr>
                <w:rFonts w:asciiTheme="minorHAnsi" w:eastAsia="Times New Roman" w:hAnsiTheme="minorHAnsi" w:cstheme="minorBidi"/>
                <w:sz w:val="18"/>
                <w:szCs w:val="18"/>
                <w:lang w:val="en-US" w:eastAsia="en-GB"/>
              </w:rPr>
              <w:t>(Eno et al., 2019; Niehm et al., 2010; O'Brien et al., 2018; O'Brien et al., 2019; Oliveria et al., 2023; Shelley et al., 2004; Tang et al., 2022)</w:t>
            </w:r>
          </w:p>
          <w:p w14:paraId="59E9C3A0" w14:textId="06A948A0" w:rsidR="008A36B4" w:rsidRPr="00DC2BD6" w:rsidRDefault="008A36B4" w:rsidP="008A7526">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p>
        </w:tc>
      </w:tr>
      <w:tr w:rsidR="00626F00" w:rsidRPr="00DC2BD6" w14:paraId="74987173" w14:textId="77777777" w:rsidTr="003C0070">
        <w:trPr>
          <w:trHeight w:val="1630"/>
        </w:trPr>
        <w:tc>
          <w:tcPr>
            <w:cnfStyle w:val="001000000000" w:firstRow="0" w:lastRow="0" w:firstColumn="1" w:lastColumn="0" w:oddVBand="0" w:evenVBand="0" w:oddHBand="0" w:evenHBand="0" w:firstRowFirstColumn="0" w:firstRowLastColumn="0" w:lastRowFirstColumn="0" w:lastRowLastColumn="0"/>
            <w:tcW w:w="1264" w:type="dxa"/>
            <w:vMerge/>
          </w:tcPr>
          <w:p w14:paraId="1D6AA91B" w14:textId="77777777" w:rsidR="008A36B4" w:rsidRPr="00DC2BD6" w:rsidRDefault="008A36B4" w:rsidP="009A5769">
            <w:pPr>
              <w:jc w:val="left"/>
              <w:rPr>
                <w:rFonts w:asciiTheme="minorHAnsi" w:eastAsia="Times New Roman" w:hAnsiTheme="minorHAnsi" w:cstheme="minorHAnsi"/>
                <w:sz w:val="18"/>
                <w:szCs w:val="18"/>
                <w:lang w:eastAsia="en-GB"/>
              </w:rPr>
            </w:pPr>
          </w:p>
        </w:tc>
        <w:tc>
          <w:tcPr>
            <w:tcW w:w="2497" w:type="dxa"/>
            <w:vMerge/>
          </w:tcPr>
          <w:p w14:paraId="36A4CFDE" w14:textId="77777777"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Pr>
          <w:p w14:paraId="1FE638AB" w14:textId="08296217"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Usability and implementation challenges (manual &amp; continuous data entry, lack of professional support, poor dissemination of digital intervention, costs)</w:t>
            </w:r>
          </w:p>
        </w:tc>
        <w:tc>
          <w:tcPr>
            <w:tcW w:w="2128" w:type="dxa"/>
          </w:tcPr>
          <w:p w14:paraId="16DA1215" w14:textId="0142EA81" w:rsidR="008A36B4" w:rsidRPr="00DC2BD6" w:rsidRDefault="008A36B4" w:rsidP="26F6496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sz w:val="18"/>
                <w:szCs w:val="18"/>
                <w:lang w:val="en-US" w:eastAsia="en-GB"/>
              </w:rPr>
            </w:pPr>
            <w:r w:rsidRPr="00DC2BD6">
              <w:rPr>
                <w:rFonts w:asciiTheme="minorHAnsi" w:eastAsia="Times New Roman" w:hAnsiTheme="minorHAnsi" w:cstheme="minorBidi"/>
                <w:sz w:val="18"/>
                <w:szCs w:val="18"/>
                <w:lang w:val="en-US" w:eastAsia="en-GB"/>
              </w:rPr>
              <w:t>(Eno et al., 2019; Keating et al., 2020; O’Brien et al., 2019; Oliveira et al., 2023)</w:t>
            </w:r>
          </w:p>
          <w:p w14:paraId="5E18B303" w14:textId="77777777"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p>
        </w:tc>
      </w:tr>
      <w:tr w:rsidR="00626F00" w:rsidRPr="00DC2BD6" w14:paraId="12C10D64" w14:textId="77777777" w:rsidTr="003C0070">
        <w:trPr>
          <w:cnfStyle w:val="000000100000" w:firstRow="0" w:lastRow="0" w:firstColumn="0" w:lastColumn="0" w:oddVBand="0" w:evenVBand="0" w:oddHBand="1" w:evenHBand="0" w:firstRowFirstColumn="0" w:firstRowLastColumn="0" w:lastRowFirstColumn="0" w:lastRowLastColumn="0"/>
          <w:trHeight w:val="978"/>
        </w:trPr>
        <w:tc>
          <w:tcPr>
            <w:cnfStyle w:val="001000000000" w:firstRow="0" w:lastRow="0" w:firstColumn="1" w:lastColumn="0" w:oddVBand="0" w:evenVBand="0" w:oddHBand="0" w:evenHBand="0" w:firstRowFirstColumn="0" w:firstRowLastColumn="0" w:lastRowFirstColumn="0" w:lastRowLastColumn="0"/>
            <w:tcW w:w="1264" w:type="dxa"/>
            <w:vMerge/>
          </w:tcPr>
          <w:p w14:paraId="1745302E" w14:textId="77777777" w:rsidR="008A36B4" w:rsidRPr="00DC2BD6" w:rsidRDefault="008A36B4" w:rsidP="009A5769">
            <w:pPr>
              <w:jc w:val="left"/>
              <w:rPr>
                <w:rFonts w:asciiTheme="minorHAnsi" w:eastAsia="Times New Roman" w:hAnsiTheme="minorHAnsi" w:cstheme="minorHAnsi"/>
                <w:sz w:val="18"/>
                <w:szCs w:val="18"/>
                <w:lang w:eastAsia="en-GB"/>
              </w:rPr>
            </w:pPr>
          </w:p>
        </w:tc>
        <w:tc>
          <w:tcPr>
            <w:tcW w:w="2497" w:type="dxa"/>
            <w:vMerge/>
          </w:tcPr>
          <w:p w14:paraId="6D9A876D" w14:textId="77777777"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Pr>
          <w:p w14:paraId="545621A9" w14:textId="779D6E39"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User experience and trust issues (privacy &amp; security concerns, lack of human connection, outdated/inconsistent information)</w:t>
            </w:r>
          </w:p>
        </w:tc>
        <w:tc>
          <w:tcPr>
            <w:tcW w:w="2128" w:type="dxa"/>
          </w:tcPr>
          <w:p w14:paraId="07563F24" w14:textId="4388ED05" w:rsidR="008A36B4" w:rsidRPr="00DC2BD6" w:rsidRDefault="008A36B4" w:rsidP="26F6496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sz w:val="18"/>
                <w:szCs w:val="18"/>
                <w:lang w:eastAsia="en-GB"/>
              </w:rPr>
            </w:pPr>
            <w:r w:rsidRPr="00DC2BD6">
              <w:rPr>
                <w:rFonts w:asciiTheme="minorHAnsi" w:eastAsia="Times New Roman" w:hAnsiTheme="minorHAnsi" w:cstheme="minorBidi"/>
                <w:sz w:val="18"/>
                <w:szCs w:val="18"/>
                <w:lang w:val="en-US" w:eastAsia="en-GB"/>
              </w:rPr>
              <w:t xml:space="preserve">(Eno et al., 2019; </w:t>
            </w:r>
            <w:proofErr w:type="spellStart"/>
            <w:r w:rsidRPr="00DC2BD6">
              <w:rPr>
                <w:rFonts w:asciiTheme="minorHAnsi" w:eastAsia="Times New Roman" w:hAnsiTheme="minorHAnsi" w:cstheme="minorBidi"/>
                <w:sz w:val="18"/>
                <w:szCs w:val="18"/>
                <w:lang w:val="en-US" w:eastAsia="en-GB"/>
              </w:rPr>
              <w:t>Kimiafar</w:t>
            </w:r>
            <w:proofErr w:type="spellEnd"/>
            <w:r w:rsidRPr="00DC2BD6">
              <w:rPr>
                <w:rFonts w:asciiTheme="minorHAnsi" w:eastAsia="Times New Roman" w:hAnsiTheme="minorHAnsi" w:cstheme="minorBidi"/>
                <w:sz w:val="18"/>
                <w:szCs w:val="18"/>
                <w:lang w:val="en-US" w:eastAsia="en-GB"/>
              </w:rPr>
              <w:t xml:space="preserve"> et al., 2019; Tang et al., 2022)</w:t>
            </w:r>
          </w:p>
        </w:tc>
      </w:tr>
      <w:tr w:rsidR="00626F00" w:rsidRPr="00DC2BD6" w14:paraId="47600973" w14:textId="77777777" w:rsidTr="003C0070">
        <w:trPr>
          <w:trHeight w:val="552"/>
        </w:trPr>
        <w:tc>
          <w:tcPr>
            <w:cnfStyle w:val="001000000000" w:firstRow="0" w:lastRow="0" w:firstColumn="1" w:lastColumn="0" w:oddVBand="0" w:evenVBand="0" w:oddHBand="0" w:evenHBand="0" w:firstRowFirstColumn="0" w:firstRowLastColumn="0" w:lastRowFirstColumn="0" w:lastRowLastColumn="0"/>
            <w:tcW w:w="1264" w:type="dxa"/>
            <w:vMerge w:val="restart"/>
            <w:tcBorders>
              <w:top w:val="single" w:sz="4" w:space="0" w:color="auto"/>
              <w:left w:val="single" w:sz="4" w:space="0" w:color="auto"/>
              <w:bottom w:val="single" w:sz="4" w:space="0" w:color="auto"/>
              <w:right w:val="single" w:sz="4" w:space="0" w:color="auto"/>
            </w:tcBorders>
          </w:tcPr>
          <w:p w14:paraId="132B697B" w14:textId="40DC3644" w:rsidR="00236675" w:rsidRPr="00DC2BD6" w:rsidRDefault="00236675" w:rsidP="009A5769">
            <w:pPr>
              <w:jc w:val="left"/>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Benefits of digital health tools</w:t>
            </w:r>
          </w:p>
        </w:tc>
        <w:tc>
          <w:tcPr>
            <w:tcW w:w="2497" w:type="dxa"/>
            <w:vMerge w:val="restart"/>
            <w:tcBorders>
              <w:left w:val="single" w:sz="4" w:space="0" w:color="auto"/>
              <w:right w:val="single" w:sz="4" w:space="0" w:color="auto"/>
            </w:tcBorders>
          </w:tcPr>
          <w:p w14:paraId="647D8751" w14:textId="6BA9A878" w:rsidR="00236675" w:rsidRPr="00DC2BD6" w:rsidRDefault="00236675"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increased patient engagement, better management of treatment, cost reduction, increased accessibility to care, and improved patient outcomes. These indicators are identified based on direct mentions of positive effects in the study findings.</w:t>
            </w:r>
          </w:p>
        </w:tc>
        <w:tc>
          <w:tcPr>
            <w:tcW w:w="2888" w:type="dxa"/>
            <w:tcBorders>
              <w:left w:val="single" w:sz="4" w:space="0" w:color="auto"/>
            </w:tcBorders>
          </w:tcPr>
          <w:p w14:paraId="037A5759" w14:textId="5671BD71" w:rsidR="00236675" w:rsidRPr="00DC2BD6" w:rsidRDefault="00236675"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Improving patient care &amp; engagement</w:t>
            </w:r>
          </w:p>
        </w:tc>
        <w:tc>
          <w:tcPr>
            <w:tcW w:w="2128" w:type="dxa"/>
          </w:tcPr>
          <w:p w14:paraId="0775A5A3" w14:textId="4A80EE77" w:rsidR="00236675" w:rsidRPr="00DC2BD6" w:rsidRDefault="00236675" w:rsidP="26F6496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sz w:val="18"/>
                <w:szCs w:val="18"/>
                <w:lang w:val="en-GB" w:eastAsia="en-GB"/>
              </w:rPr>
            </w:pPr>
            <w:r w:rsidRPr="00DC2BD6">
              <w:rPr>
                <w:rFonts w:asciiTheme="minorHAnsi" w:eastAsia="Times New Roman" w:hAnsiTheme="minorHAnsi" w:cstheme="minorBidi"/>
                <w:sz w:val="18"/>
                <w:szCs w:val="18"/>
                <w:lang w:val="en-GB" w:eastAsia="en-GB"/>
              </w:rPr>
              <w:t xml:space="preserve">(Erez et al., 2023; Gomis-Pastor et al., 2020; Gomis-Pastor et al., 2021; </w:t>
            </w:r>
            <w:proofErr w:type="spellStart"/>
            <w:r w:rsidRPr="00DC2BD6">
              <w:rPr>
                <w:rFonts w:asciiTheme="minorHAnsi" w:eastAsia="Times New Roman" w:hAnsiTheme="minorHAnsi" w:cstheme="minorBidi"/>
                <w:sz w:val="18"/>
                <w:szCs w:val="18"/>
                <w:lang w:val="en-GB" w:eastAsia="en-GB"/>
              </w:rPr>
              <w:t>Hatzikiriakidis</w:t>
            </w:r>
            <w:proofErr w:type="spellEnd"/>
            <w:r w:rsidRPr="00DC2BD6">
              <w:rPr>
                <w:rFonts w:asciiTheme="minorHAnsi" w:eastAsia="Times New Roman" w:hAnsiTheme="minorHAnsi" w:cstheme="minorBidi"/>
                <w:sz w:val="18"/>
                <w:szCs w:val="18"/>
                <w:lang w:val="en-GB" w:eastAsia="en-GB"/>
              </w:rPr>
              <w:t xml:space="preserve"> et al., 2022; </w:t>
            </w:r>
            <w:proofErr w:type="spellStart"/>
            <w:r w:rsidRPr="00DC2BD6">
              <w:rPr>
                <w:rFonts w:asciiTheme="minorHAnsi" w:eastAsia="Times New Roman" w:hAnsiTheme="minorHAnsi" w:cstheme="minorBidi"/>
                <w:sz w:val="18"/>
                <w:szCs w:val="18"/>
                <w:lang w:val="en-GB" w:eastAsia="en-GB"/>
              </w:rPr>
              <w:t>Holderried</w:t>
            </w:r>
            <w:proofErr w:type="spellEnd"/>
            <w:r w:rsidRPr="00DC2BD6">
              <w:rPr>
                <w:rFonts w:asciiTheme="minorHAnsi" w:eastAsia="Times New Roman" w:hAnsiTheme="minorHAnsi" w:cstheme="minorBidi"/>
                <w:sz w:val="18"/>
                <w:szCs w:val="18"/>
                <w:lang w:val="en-GB" w:eastAsia="en-GB"/>
              </w:rPr>
              <w:t xml:space="preserve"> et al.,2021; Killian et al., 2022; Killian et al., 2023; </w:t>
            </w:r>
            <w:proofErr w:type="spellStart"/>
            <w:r w:rsidRPr="00DC2BD6">
              <w:rPr>
                <w:rFonts w:asciiTheme="minorHAnsi" w:eastAsia="Times New Roman" w:hAnsiTheme="minorHAnsi" w:cstheme="minorBidi"/>
                <w:sz w:val="18"/>
                <w:szCs w:val="18"/>
                <w:lang w:val="en-GB" w:eastAsia="en-GB"/>
              </w:rPr>
              <w:t>Lerret</w:t>
            </w:r>
            <w:proofErr w:type="spellEnd"/>
            <w:r w:rsidRPr="00DC2BD6">
              <w:rPr>
                <w:rFonts w:asciiTheme="minorHAnsi" w:eastAsia="Times New Roman" w:hAnsiTheme="minorHAnsi" w:cstheme="minorBidi"/>
                <w:sz w:val="18"/>
                <w:szCs w:val="18"/>
                <w:lang w:val="en-GB" w:eastAsia="en-GB"/>
              </w:rPr>
              <w:t xml:space="preserve"> et al., 2022; Park et al., 2021; Sayegh et al., 2022; Vaughn et al., 2020)</w:t>
            </w:r>
          </w:p>
        </w:tc>
      </w:tr>
      <w:tr w:rsidR="00626F00" w:rsidRPr="00DC2BD6" w14:paraId="5A646C9C" w14:textId="77777777" w:rsidTr="003C0070">
        <w:trPr>
          <w:cnfStyle w:val="000000100000" w:firstRow="0" w:lastRow="0" w:firstColumn="0" w:lastColumn="0" w:oddVBand="0" w:evenVBand="0" w:oddHBand="1"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1264" w:type="dxa"/>
            <w:vMerge/>
            <w:tcBorders>
              <w:right w:val="single" w:sz="4" w:space="0" w:color="auto"/>
            </w:tcBorders>
          </w:tcPr>
          <w:p w14:paraId="4A575333" w14:textId="77777777" w:rsidR="00236675" w:rsidRPr="00DC2BD6" w:rsidRDefault="00236675" w:rsidP="009A5769">
            <w:pPr>
              <w:jc w:val="left"/>
              <w:rPr>
                <w:rFonts w:asciiTheme="minorHAnsi" w:eastAsia="Times New Roman" w:hAnsiTheme="minorHAnsi" w:cstheme="minorHAnsi"/>
                <w:sz w:val="18"/>
                <w:szCs w:val="18"/>
                <w:lang w:eastAsia="en-GB"/>
              </w:rPr>
            </w:pPr>
          </w:p>
        </w:tc>
        <w:tc>
          <w:tcPr>
            <w:tcW w:w="2497" w:type="dxa"/>
            <w:vMerge/>
            <w:tcBorders>
              <w:left w:val="single" w:sz="4" w:space="0" w:color="auto"/>
              <w:right w:val="single" w:sz="4" w:space="0" w:color="auto"/>
            </w:tcBorders>
          </w:tcPr>
          <w:p w14:paraId="19C1A186" w14:textId="77777777" w:rsidR="00236675" w:rsidRPr="00DC2BD6" w:rsidRDefault="00236675"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Borders>
              <w:left w:val="single" w:sz="4" w:space="0" w:color="auto"/>
            </w:tcBorders>
          </w:tcPr>
          <w:p w14:paraId="131F9DE0" w14:textId="0BC82F0C" w:rsidR="00236675" w:rsidRPr="00DC2BD6" w:rsidRDefault="00236675"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Convenience &amp; accessibility</w:t>
            </w:r>
          </w:p>
        </w:tc>
        <w:tc>
          <w:tcPr>
            <w:tcW w:w="2128" w:type="dxa"/>
          </w:tcPr>
          <w:p w14:paraId="3EF865C1" w14:textId="34CF3D78" w:rsidR="00236675" w:rsidRPr="00DC2BD6" w:rsidRDefault="00236675" w:rsidP="26F6496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sz w:val="18"/>
                <w:szCs w:val="18"/>
                <w:lang w:val="en-GB" w:eastAsia="en-GB"/>
              </w:rPr>
            </w:pPr>
            <w:r w:rsidRPr="00DC2BD6">
              <w:rPr>
                <w:rFonts w:asciiTheme="minorHAnsi" w:eastAsia="Times New Roman" w:hAnsiTheme="minorHAnsi" w:cstheme="minorBidi"/>
                <w:sz w:val="18"/>
                <w:szCs w:val="18"/>
                <w:lang w:val="en-GB" w:eastAsia="en-GB"/>
              </w:rPr>
              <w:t xml:space="preserve">(Forbes et al., 2018; </w:t>
            </w:r>
            <w:proofErr w:type="spellStart"/>
            <w:r w:rsidRPr="00DC2BD6">
              <w:rPr>
                <w:rFonts w:asciiTheme="minorHAnsi" w:eastAsia="Times New Roman" w:hAnsiTheme="minorHAnsi" w:cstheme="minorBidi"/>
                <w:sz w:val="18"/>
                <w:szCs w:val="18"/>
                <w:lang w:val="en-GB" w:eastAsia="en-GB"/>
              </w:rPr>
              <w:t>Hatzikiriakidis</w:t>
            </w:r>
            <w:proofErr w:type="spellEnd"/>
            <w:r w:rsidRPr="00DC2BD6">
              <w:rPr>
                <w:rFonts w:asciiTheme="minorHAnsi" w:eastAsia="Times New Roman" w:hAnsiTheme="minorHAnsi" w:cstheme="minorBidi"/>
                <w:sz w:val="18"/>
                <w:szCs w:val="18"/>
                <w:lang w:val="en-GB" w:eastAsia="en-GB"/>
              </w:rPr>
              <w:t xml:space="preserve"> et al., 2022; Hickman et al., 2021; John et al., 2020; Sidhu et al., 2019)</w:t>
            </w:r>
          </w:p>
        </w:tc>
      </w:tr>
      <w:tr w:rsidR="00626F00" w:rsidRPr="00DC2BD6" w14:paraId="7E017EFA" w14:textId="77777777" w:rsidTr="003C0070">
        <w:trPr>
          <w:trHeight w:val="552"/>
        </w:trPr>
        <w:tc>
          <w:tcPr>
            <w:cnfStyle w:val="001000000000" w:firstRow="0" w:lastRow="0" w:firstColumn="1" w:lastColumn="0" w:oddVBand="0" w:evenVBand="0" w:oddHBand="0" w:evenHBand="0" w:firstRowFirstColumn="0" w:firstRowLastColumn="0" w:lastRowFirstColumn="0" w:lastRowLastColumn="0"/>
            <w:tcW w:w="1264" w:type="dxa"/>
            <w:vMerge/>
            <w:tcBorders>
              <w:right w:val="single" w:sz="4" w:space="0" w:color="auto"/>
            </w:tcBorders>
          </w:tcPr>
          <w:p w14:paraId="59A79228" w14:textId="77777777" w:rsidR="00236675" w:rsidRPr="00DC2BD6" w:rsidRDefault="00236675" w:rsidP="009A5769">
            <w:pPr>
              <w:jc w:val="left"/>
              <w:rPr>
                <w:rFonts w:asciiTheme="minorHAnsi" w:eastAsia="Times New Roman" w:hAnsiTheme="minorHAnsi" w:cstheme="minorHAnsi"/>
                <w:sz w:val="18"/>
                <w:szCs w:val="18"/>
                <w:lang w:eastAsia="en-GB"/>
              </w:rPr>
            </w:pPr>
          </w:p>
        </w:tc>
        <w:tc>
          <w:tcPr>
            <w:tcW w:w="2497" w:type="dxa"/>
            <w:vMerge/>
            <w:tcBorders>
              <w:left w:val="single" w:sz="4" w:space="0" w:color="auto"/>
              <w:right w:val="single" w:sz="4" w:space="0" w:color="auto"/>
            </w:tcBorders>
          </w:tcPr>
          <w:p w14:paraId="72562DBB" w14:textId="77777777" w:rsidR="00236675" w:rsidRPr="00DC2BD6" w:rsidRDefault="00236675"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Borders>
              <w:left w:val="single" w:sz="4" w:space="0" w:color="auto"/>
            </w:tcBorders>
          </w:tcPr>
          <w:p w14:paraId="0C9F018B" w14:textId="267BB186" w:rsidR="00236675" w:rsidRPr="00DC2BD6" w:rsidRDefault="00236675"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Empowerment &amp; safety</w:t>
            </w:r>
          </w:p>
        </w:tc>
        <w:tc>
          <w:tcPr>
            <w:tcW w:w="2128" w:type="dxa"/>
          </w:tcPr>
          <w:p w14:paraId="75ACB6D9" w14:textId="4F491FAA" w:rsidR="00236675" w:rsidRPr="00DC2BD6" w:rsidRDefault="00236675" w:rsidP="26F6496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sz w:val="18"/>
                <w:szCs w:val="18"/>
                <w:lang w:val="en-GB" w:eastAsia="en-GB"/>
              </w:rPr>
            </w:pPr>
            <w:r w:rsidRPr="00DC2BD6">
              <w:rPr>
                <w:rFonts w:asciiTheme="minorHAnsi" w:eastAsia="Times New Roman" w:hAnsiTheme="minorHAnsi" w:cstheme="minorBidi"/>
                <w:sz w:val="18"/>
                <w:szCs w:val="18"/>
                <w:lang w:val="en-GB" w:eastAsia="en-GB"/>
              </w:rPr>
              <w:t xml:space="preserve">(Eno et al., 2018; Gomis-Pastor et al., 2021; </w:t>
            </w:r>
            <w:proofErr w:type="spellStart"/>
            <w:r w:rsidRPr="00DC2BD6">
              <w:rPr>
                <w:rFonts w:asciiTheme="minorHAnsi" w:eastAsia="Times New Roman" w:hAnsiTheme="minorHAnsi" w:cstheme="minorBidi"/>
                <w:sz w:val="18"/>
                <w:szCs w:val="18"/>
                <w:lang w:val="en-GB" w:eastAsia="en-GB"/>
              </w:rPr>
              <w:t>Mussetti</w:t>
            </w:r>
            <w:proofErr w:type="spellEnd"/>
            <w:r w:rsidRPr="00DC2BD6">
              <w:rPr>
                <w:rFonts w:asciiTheme="minorHAnsi" w:eastAsia="Times New Roman" w:hAnsiTheme="minorHAnsi" w:cstheme="minorBidi"/>
                <w:sz w:val="18"/>
                <w:szCs w:val="18"/>
                <w:lang w:val="en-GB" w:eastAsia="en-GB"/>
              </w:rPr>
              <w:t xml:space="preserve"> et al., 2021; Vaughn et al., 2020)</w:t>
            </w:r>
          </w:p>
          <w:p w14:paraId="4B0AF262" w14:textId="77777777" w:rsidR="00236675" w:rsidRPr="00DC2BD6" w:rsidRDefault="00236675"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p>
        </w:tc>
      </w:tr>
      <w:tr w:rsidR="00626F00" w:rsidRPr="00DC2BD6" w14:paraId="3EC89110" w14:textId="77777777" w:rsidTr="003C0070">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264" w:type="dxa"/>
            <w:vMerge/>
            <w:tcBorders>
              <w:right w:val="single" w:sz="4" w:space="0" w:color="auto"/>
            </w:tcBorders>
          </w:tcPr>
          <w:p w14:paraId="04023D48" w14:textId="77777777" w:rsidR="00236675" w:rsidRPr="00DC2BD6" w:rsidRDefault="00236675" w:rsidP="009A5769">
            <w:pPr>
              <w:jc w:val="left"/>
              <w:rPr>
                <w:rFonts w:asciiTheme="minorHAnsi" w:eastAsia="Times New Roman" w:hAnsiTheme="minorHAnsi" w:cstheme="minorHAnsi"/>
                <w:sz w:val="18"/>
                <w:szCs w:val="18"/>
                <w:lang w:eastAsia="en-GB"/>
              </w:rPr>
            </w:pPr>
          </w:p>
        </w:tc>
        <w:tc>
          <w:tcPr>
            <w:tcW w:w="2497" w:type="dxa"/>
            <w:vMerge/>
            <w:tcBorders>
              <w:left w:val="single" w:sz="4" w:space="0" w:color="auto"/>
              <w:right w:val="single" w:sz="4" w:space="0" w:color="auto"/>
            </w:tcBorders>
          </w:tcPr>
          <w:p w14:paraId="6EC25109" w14:textId="77777777" w:rsidR="00236675" w:rsidRPr="00DC2BD6" w:rsidRDefault="00236675"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Borders>
              <w:left w:val="single" w:sz="4" w:space="0" w:color="auto"/>
            </w:tcBorders>
          </w:tcPr>
          <w:p w14:paraId="64F5983E" w14:textId="5C2767B4" w:rsidR="00236675" w:rsidRPr="00DC2BD6" w:rsidRDefault="00236675"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Cost-efficiency &amp; time-saving</w:t>
            </w:r>
          </w:p>
        </w:tc>
        <w:tc>
          <w:tcPr>
            <w:tcW w:w="2128" w:type="dxa"/>
          </w:tcPr>
          <w:p w14:paraId="3CDE7F5B" w14:textId="51B5CF4A" w:rsidR="00236675" w:rsidRPr="00DC2BD6" w:rsidRDefault="00236675" w:rsidP="26F6496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sz w:val="18"/>
                <w:szCs w:val="18"/>
                <w:lang w:val="en-GB" w:eastAsia="en-GB"/>
              </w:rPr>
            </w:pPr>
            <w:r w:rsidRPr="00DC2BD6">
              <w:rPr>
                <w:rFonts w:asciiTheme="minorHAnsi" w:eastAsia="Times New Roman" w:hAnsiTheme="minorHAnsi" w:cstheme="minorBidi"/>
                <w:sz w:val="18"/>
                <w:szCs w:val="18"/>
                <w:lang w:val="en-GB" w:eastAsia="en-GB"/>
              </w:rPr>
              <w:t xml:space="preserve">(Forbes et al., 2018; Hickman et al., 2021; </w:t>
            </w:r>
            <w:proofErr w:type="spellStart"/>
            <w:r w:rsidRPr="00DC2BD6">
              <w:rPr>
                <w:rFonts w:asciiTheme="minorHAnsi" w:eastAsia="Times New Roman" w:hAnsiTheme="minorHAnsi" w:cstheme="minorBidi"/>
                <w:sz w:val="18"/>
                <w:szCs w:val="18"/>
                <w:lang w:val="en-GB" w:eastAsia="en-GB"/>
              </w:rPr>
              <w:t>Huuskes</w:t>
            </w:r>
            <w:proofErr w:type="spellEnd"/>
            <w:r w:rsidRPr="00DC2BD6">
              <w:rPr>
                <w:rFonts w:asciiTheme="minorHAnsi" w:eastAsia="Times New Roman" w:hAnsiTheme="minorHAnsi" w:cstheme="minorBidi"/>
                <w:sz w:val="18"/>
                <w:szCs w:val="18"/>
                <w:lang w:val="en-GB" w:eastAsia="en-GB"/>
              </w:rPr>
              <w:t xml:space="preserve"> et al., 2021; John et al., 2020; Sidhu et al., 2019)</w:t>
            </w:r>
          </w:p>
        </w:tc>
      </w:tr>
      <w:tr w:rsidR="00626F00" w:rsidRPr="00DC2BD6" w14:paraId="79CDD068" w14:textId="77777777" w:rsidTr="003C0070">
        <w:trPr>
          <w:trHeight w:val="552"/>
        </w:trPr>
        <w:tc>
          <w:tcPr>
            <w:cnfStyle w:val="001000000000" w:firstRow="0" w:lastRow="0" w:firstColumn="1" w:lastColumn="0" w:oddVBand="0" w:evenVBand="0" w:oddHBand="0" w:evenHBand="0" w:firstRowFirstColumn="0" w:firstRowLastColumn="0" w:lastRowFirstColumn="0" w:lastRowLastColumn="0"/>
            <w:tcW w:w="1264" w:type="dxa"/>
            <w:vMerge w:val="restart"/>
            <w:tcBorders>
              <w:top w:val="single" w:sz="4" w:space="0" w:color="auto"/>
              <w:left w:val="single" w:sz="4" w:space="0" w:color="auto"/>
              <w:bottom w:val="single" w:sz="4" w:space="0" w:color="auto"/>
            </w:tcBorders>
          </w:tcPr>
          <w:p w14:paraId="2F71E5D6" w14:textId="1B3878B2" w:rsidR="008A36B4" w:rsidRPr="00DC2BD6" w:rsidRDefault="008A36B4" w:rsidP="009A5769">
            <w:pPr>
              <w:jc w:val="left"/>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Process of development of digital health</w:t>
            </w:r>
          </w:p>
        </w:tc>
        <w:tc>
          <w:tcPr>
            <w:tcW w:w="2497" w:type="dxa"/>
            <w:vMerge w:val="restart"/>
          </w:tcPr>
          <w:p w14:paraId="0ECC6D61" w14:textId="0020F289"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 xml:space="preserve"> </w:t>
            </w:r>
            <w:r w:rsidR="000308DD">
              <w:rPr>
                <w:rFonts w:asciiTheme="minorHAnsi" w:eastAsia="Times New Roman" w:hAnsiTheme="minorHAnsi" w:cstheme="minorHAnsi"/>
                <w:sz w:val="18"/>
                <w:szCs w:val="18"/>
                <w:lang w:eastAsia="en-GB"/>
              </w:rPr>
              <w:t xml:space="preserve"> Human-</w:t>
            </w:r>
            <w:proofErr w:type="spellStart"/>
            <w:r w:rsidR="000308DD">
              <w:rPr>
                <w:rFonts w:asciiTheme="minorHAnsi" w:eastAsia="Times New Roman" w:hAnsiTheme="minorHAnsi" w:cstheme="minorHAnsi"/>
                <w:sz w:val="18"/>
                <w:szCs w:val="18"/>
                <w:lang w:eastAsia="en-GB"/>
              </w:rPr>
              <w:t>centered</w:t>
            </w:r>
            <w:proofErr w:type="spellEnd"/>
            <w:r w:rsidR="000308DD">
              <w:rPr>
                <w:rFonts w:asciiTheme="minorHAnsi" w:eastAsia="Times New Roman" w:hAnsiTheme="minorHAnsi" w:cstheme="minorHAnsi"/>
                <w:sz w:val="18"/>
                <w:szCs w:val="18"/>
                <w:lang w:eastAsia="en-GB"/>
              </w:rPr>
              <w:t xml:space="preserve"> design, development</w:t>
            </w:r>
            <w:r w:rsidR="00451064">
              <w:rPr>
                <w:rFonts w:asciiTheme="minorHAnsi" w:eastAsia="Times New Roman" w:hAnsiTheme="minorHAnsi" w:cstheme="minorHAnsi"/>
                <w:sz w:val="18"/>
                <w:szCs w:val="18"/>
                <w:lang w:eastAsia="en-GB"/>
              </w:rPr>
              <w:t>,</w:t>
            </w:r>
            <w:r w:rsidR="000308DD">
              <w:rPr>
                <w:rFonts w:asciiTheme="minorHAnsi" w:eastAsia="Times New Roman" w:hAnsiTheme="minorHAnsi" w:cstheme="minorHAnsi"/>
                <w:sz w:val="18"/>
                <w:szCs w:val="18"/>
                <w:lang w:eastAsia="en-GB"/>
              </w:rPr>
              <w:t xml:space="preserve"> </w:t>
            </w:r>
            <w:r w:rsidR="00451064">
              <w:rPr>
                <w:rFonts w:asciiTheme="minorHAnsi" w:eastAsia="Times New Roman" w:hAnsiTheme="minorHAnsi" w:cstheme="minorHAnsi"/>
                <w:sz w:val="18"/>
                <w:szCs w:val="18"/>
                <w:lang w:eastAsia="en-GB"/>
              </w:rPr>
              <w:t>u</w:t>
            </w:r>
            <w:r w:rsidR="000308DD">
              <w:rPr>
                <w:rFonts w:asciiTheme="minorHAnsi" w:eastAsia="Times New Roman" w:hAnsiTheme="minorHAnsi" w:cstheme="minorHAnsi"/>
                <w:sz w:val="18"/>
                <w:szCs w:val="18"/>
                <w:lang w:eastAsia="en-GB"/>
              </w:rPr>
              <w:t>ser-</w:t>
            </w:r>
            <w:proofErr w:type="spellStart"/>
            <w:r w:rsidR="000308DD">
              <w:rPr>
                <w:rFonts w:asciiTheme="minorHAnsi" w:eastAsia="Times New Roman" w:hAnsiTheme="minorHAnsi" w:cstheme="minorHAnsi"/>
                <w:sz w:val="18"/>
                <w:szCs w:val="18"/>
                <w:lang w:eastAsia="en-GB"/>
              </w:rPr>
              <w:t>centered</w:t>
            </w:r>
            <w:proofErr w:type="spellEnd"/>
            <w:r w:rsidR="000308DD">
              <w:rPr>
                <w:rFonts w:asciiTheme="minorHAnsi" w:eastAsia="Times New Roman" w:hAnsiTheme="minorHAnsi" w:cstheme="minorHAnsi"/>
                <w:sz w:val="18"/>
                <w:szCs w:val="18"/>
                <w:lang w:eastAsia="en-GB"/>
              </w:rPr>
              <w:t xml:space="preserve"> </w:t>
            </w:r>
            <w:proofErr w:type="spellStart"/>
            <w:r w:rsidR="000308DD">
              <w:rPr>
                <w:rFonts w:asciiTheme="minorHAnsi" w:eastAsia="Times New Roman" w:hAnsiTheme="minorHAnsi" w:cstheme="minorHAnsi"/>
                <w:sz w:val="18"/>
                <w:szCs w:val="18"/>
                <w:lang w:eastAsia="en-GB"/>
              </w:rPr>
              <w:t>design</w:t>
            </w:r>
            <w:r w:rsidR="00451064">
              <w:rPr>
                <w:rFonts w:asciiTheme="minorHAnsi" w:eastAsia="Times New Roman" w:hAnsiTheme="minorHAnsi" w:cstheme="minorHAnsi"/>
                <w:sz w:val="18"/>
                <w:szCs w:val="18"/>
                <w:lang w:eastAsia="en-GB"/>
              </w:rPr>
              <w:t>,</w:t>
            </w:r>
            <w:r w:rsidR="000308DD">
              <w:rPr>
                <w:rFonts w:asciiTheme="minorHAnsi" w:eastAsia="Times New Roman" w:hAnsiTheme="minorHAnsi" w:cstheme="minorHAnsi"/>
                <w:sz w:val="18"/>
                <w:szCs w:val="18"/>
                <w:lang w:eastAsia="en-GB"/>
              </w:rPr>
              <w:t>user</w:t>
            </w:r>
            <w:proofErr w:type="spellEnd"/>
            <w:r w:rsidR="000308DD">
              <w:rPr>
                <w:rFonts w:asciiTheme="minorHAnsi" w:eastAsia="Times New Roman" w:hAnsiTheme="minorHAnsi" w:cstheme="minorHAnsi"/>
                <w:sz w:val="18"/>
                <w:szCs w:val="18"/>
                <w:lang w:eastAsia="en-GB"/>
              </w:rPr>
              <w:t xml:space="preserve"> preference</w:t>
            </w:r>
          </w:p>
        </w:tc>
        <w:tc>
          <w:tcPr>
            <w:tcW w:w="2888" w:type="dxa"/>
          </w:tcPr>
          <w:p w14:paraId="3F8B001C" w14:textId="0B0D0D85"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Patient-</w:t>
            </w:r>
            <w:proofErr w:type="spellStart"/>
            <w:r w:rsidRPr="00DC2BD6">
              <w:rPr>
                <w:rFonts w:asciiTheme="minorHAnsi" w:eastAsia="Times New Roman" w:hAnsiTheme="minorHAnsi" w:cstheme="minorHAnsi"/>
                <w:sz w:val="18"/>
                <w:szCs w:val="18"/>
                <w:lang w:eastAsia="en-GB"/>
              </w:rPr>
              <w:t>centered</w:t>
            </w:r>
            <w:proofErr w:type="spellEnd"/>
            <w:r w:rsidRPr="00DC2BD6">
              <w:rPr>
                <w:rFonts w:asciiTheme="minorHAnsi" w:eastAsia="Times New Roman" w:hAnsiTheme="minorHAnsi" w:cstheme="minorHAnsi"/>
                <w:sz w:val="18"/>
                <w:szCs w:val="18"/>
                <w:lang w:eastAsia="en-GB"/>
              </w:rPr>
              <w:t xml:space="preserve"> </w:t>
            </w:r>
          </w:p>
        </w:tc>
        <w:tc>
          <w:tcPr>
            <w:tcW w:w="2128" w:type="dxa"/>
          </w:tcPr>
          <w:p w14:paraId="529002F2" w14:textId="37FCA0EA" w:rsidR="008A36B4" w:rsidRPr="00DC2BD6" w:rsidRDefault="008A36B4" w:rsidP="26F6496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sz w:val="18"/>
                <w:szCs w:val="18"/>
                <w:lang w:eastAsia="en-GB"/>
              </w:rPr>
            </w:pPr>
            <w:r w:rsidRPr="00DC2BD6">
              <w:rPr>
                <w:rFonts w:asciiTheme="minorHAnsi" w:eastAsia="Times New Roman" w:hAnsiTheme="minorHAnsi" w:cstheme="minorBidi"/>
                <w:sz w:val="18"/>
                <w:szCs w:val="18"/>
                <w:lang w:eastAsia="en-GB"/>
              </w:rPr>
              <w:t>(</w:t>
            </w:r>
            <w:proofErr w:type="spellStart"/>
            <w:r w:rsidRPr="00DC2BD6">
              <w:rPr>
                <w:rFonts w:asciiTheme="minorHAnsi" w:eastAsia="Times New Roman" w:hAnsiTheme="minorHAnsi" w:cstheme="minorBidi"/>
                <w:sz w:val="18"/>
                <w:szCs w:val="18"/>
                <w:lang w:eastAsia="en-GB"/>
              </w:rPr>
              <w:t>Banerter</w:t>
            </w:r>
            <w:proofErr w:type="spellEnd"/>
            <w:r w:rsidRPr="00DC2BD6">
              <w:rPr>
                <w:rFonts w:asciiTheme="minorHAnsi" w:eastAsia="Times New Roman" w:hAnsiTheme="minorHAnsi" w:cstheme="minorBidi"/>
                <w:sz w:val="18"/>
                <w:szCs w:val="18"/>
                <w:lang w:eastAsia="en-GB"/>
              </w:rPr>
              <w:t xml:space="preserve"> et al., 2022; </w:t>
            </w:r>
            <w:proofErr w:type="spellStart"/>
            <w:r w:rsidRPr="00DC2BD6">
              <w:rPr>
                <w:rFonts w:asciiTheme="minorHAnsi" w:eastAsia="Times New Roman" w:hAnsiTheme="minorHAnsi" w:cstheme="minorBidi"/>
                <w:sz w:val="18"/>
                <w:szCs w:val="18"/>
                <w:lang w:eastAsia="en-GB"/>
              </w:rPr>
              <w:t>Deboni</w:t>
            </w:r>
            <w:proofErr w:type="spellEnd"/>
            <w:r w:rsidRPr="00DC2BD6">
              <w:rPr>
                <w:rFonts w:asciiTheme="minorHAnsi" w:eastAsia="Times New Roman" w:hAnsiTheme="minorHAnsi" w:cstheme="minorBidi"/>
                <w:sz w:val="18"/>
                <w:szCs w:val="18"/>
                <w:lang w:eastAsia="en-GB"/>
              </w:rPr>
              <w:t xml:space="preserve"> et al., 2020)</w:t>
            </w:r>
          </w:p>
        </w:tc>
      </w:tr>
      <w:tr w:rsidR="00626F00" w:rsidRPr="00DC2BD6" w14:paraId="4A3DA81A" w14:textId="77777777" w:rsidTr="003C0070">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264" w:type="dxa"/>
            <w:vMerge/>
          </w:tcPr>
          <w:p w14:paraId="67C12575" w14:textId="77777777" w:rsidR="008A36B4" w:rsidRPr="00DC2BD6" w:rsidRDefault="008A36B4" w:rsidP="009A5769">
            <w:pPr>
              <w:jc w:val="left"/>
              <w:rPr>
                <w:rFonts w:asciiTheme="minorHAnsi" w:eastAsia="Times New Roman" w:hAnsiTheme="minorHAnsi" w:cstheme="minorHAnsi"/>
                <w:sz w:val="18"/>
                <w:szCs w:val="18"/>
                <w:lang w:eastAsia="en-GB"/>
              </w:rPr>
            </w:pPr>
          </w:p>
        </w:tc>
        <w:tc>
          <w:tcPr>
            <w:tcW w:w="2497" w:type="dxa"/>
            <w:vMerge/>
          </w:tcPr>
          <w:p w14:paraId="2062BEF1" w14:textId="77777777"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Borders>
              <w:bottom w:val="single" w:sz="4" w:space="0" w:color="auto"/>
            </w:tcBorders>
          </w:tcPr>
          <w:p w14:paraId="77C6E71F" w14:textId="52584BDA"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Preparation &amp; readiness</w:t>
            </w:r>
          </w:p>
        </w:tc>
        <w:tc>
          <w:tcPr>
            <w:tcW w:w="2128" w:type="dxa"/>
          </w:tcPr>
          <w:p w14:paraId="249D8680" w14:textId="6B431AFB" w:rsidR="008A36B4" w:rsidRPr="00DC2BD6" w:rsidRDefault="008A36B4" w:rsidP="26F6496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sz w:val="18"/>
                <w:szCs w:val="18"/>
                <w:lang w:eastAsia="en-GB"/>
              </w:rPr>
            </w:pPr>
            <w:r w:rsidRPr="00DC2BD6">
              <w:rPr>
                <w:rFonts w:asciiTheme="minorHAnsi" w:eastAsia="Times New Roman" w:hAnsiTheme="minorHAnsi" w:cstheme="minorBidi"/>
                <w:sz w:val="18"/>
                <w:szCs w:val="18"/>
                <w:lang w:eastAsia="en-GB"/>
              </w:rPr>
              <w:t>(Bangerter et al., 2022; Skeens et al., 2022)</w:t>
            </w:r>
          </w:p>
        </w:tc>
      </w:tr>
      <w:tr w:rsidR="00626F00" w:rsidRPr="00DC2BD6" w14:paraId="6D21929E" w14:textId="77777777" w:rsidTr="003C0070">
        <w:trPr>
          <w:trHeight w:val="552"/>
        </w:trPr>
        <w:tc>
          <w:tcPr>
            <w:cnfStyle w:val="001000000000" w:firstRow="0" w:lastRow="0" w:firstColumn="1" w:lastColumn="0" w:oddVBand="0" w:evenVBand="0" w:oddHBand="0" w:evenHBand="0" w:firstRowFirstColumn="0" w:firstRowLastColumn="0" w:lastRowFirstColumn="0" w:lastRowLastColumn="0"/>
            <w:tcW w:w="1264" w:type="dxa"/>
            <w:vMerge w:val="restart"/>
            <w:tcBorders>
              <w:top w:val="single" w:sz="4" w:space="0" w:color="auto"/>
              <w:left w:val="single" w:sz="4" w:space="0" w:color="auto"/>
              <w:bottom w:val="single" w:sz="4" w:space="0" w:color="auto"/>
            </w:tcBorders>
          </w:tcPr>
          <w:p w14:paraId="1A22545E" w14:textId="3C30B1DB" w:rsidR="008A36B4" w:rsidRPr="00DC2BD6" w:rsidRDefault="008A36B4" w:rsidP="009A5769">
            <w:pPr>
              <w:jc w:val="left"/>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Users of digital health</w:t>
            </w:r>
          </w:p>
        </w:tc>
        <w:tc>
          <w:tcPr>
            <w:tcW w:w="2497" w:type="dxa"/>
            <w:vMerge w:val="restart"/>
            <w:tcBorders>
              <w:top w:val="single" w:sz="4" w:space="0" w:color="auto"/>
            </w:tcBorders>
          </w:tcPr>
          <w:p w14:paraId="68BCC3F4" w14:textId="507E60A0"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specific terms identifying user groups (e.g., patients,</w:t>
            </w:r>
            <w:r w:rsidR="00D158C0">
              <w:rPr>
                <w:rFonts w:asciiTheme="minorHAnsi" w:eastAsia="Times New Roman" w:hAnsiTheme="minorHAnsi" w:cstheme="minorHAnsi"/>
                <w:sz w:val="18"/>
                <w:szCs w:val="18"/>
                <w:lang w:eastAsia="en-GB"/>
              </w:rPr>
              <w:t xml:space="preserve"> </w:t>
            </w:r>
            <w:r w:rsidRPr="00DC2BD6">
              <w:rPr>
                <w:rFonts w:asciiTheme="minorHAnsi" w:eastAsia="Times New Roman" w:hAnsiTheme="minorHAnsi" w:cstheme="minorHAnsi"/>
                <w:sz w:val="18"/>
                <w:szCs w:val="18"/>
                <w:lang w:eastAsia="en-GB"/>
              </w:rPr>
              <w:t>nurses,</w:t>
            </w:r>
            <w:r w:rsidR="00D158C0">
              <w:rPr>
                <w:rFonts w:asciiTheme="minorHAnsi" w:eastAsia="Times New Roman" w:hAnsiTheme="minorHAnsi" w:cstheme="minorHAnsi"/>
                <w:sz w:val="18"/>
                <w:szCs w:val="18"/>
                <w:lang w:eastAsia="en-GB"/>
              </w:rPr>
              <w:t xml:space="preserve"> </w:t>
            </w:r>
            <w:r w:rsidRPr="00DC2BD6">
              <w:rPr>
                <w:rFonts w:asciiTheme="minorHAnsi" w:eastAsia="Times New Roman" w:hAnsiTheme="minorHAnsi" w:cstheme="minorHAnsi"/>
                <w:sz w:val="18"/>
                <w:szCs w:val="18"/>
                <w:lang w:eastAsia="en-GB"/>
              </w:rPr>
              <w:t>doctors,</w:t>
            </w:r>
            <w:r w:rsidR="00D158C0">
              <w:rPr>
                <w:rFonts w:asciiTheme="minorHAnsi" w:eastAsia="Times New Roman" w:hAnsiTheme="minorHAnsi" w:cstheme="minorHAnsi"/>
                <w:sz w:val="18"/>
                <w:szCs w:val="18"/>
                <w:lang w:eastAsia="en-GB"/>
              </w:rPr>
              <w:t xml:space="preserve"> </w:t>
            </w:r>
            <w:r w:rsidRPr="00DC2BD6">
              <w:rPr>
                <w:rFonts w:asciiTheme="minorHAnsi" w:eastAsia="Times New Roman" w:hAnsiTheme="minorHAnsi" w:cstheme="minorHAnsi"/>
                <w:sz w:val="18"/>
                <w:szCs w:val="18"/>
                <w:lang w:eastAsia="en-GB"/>
              </w:rPr>
              <w:t>caregivers) and their interactions or reactions to the eHealth tools (e.g., used by, preferred by,</w:t>
            </w:r>
            <w:r w:rsidR="00D158C0">
              <w:rPr>
                <w:rFonts w:asciiTheme="minorHAnsi" w:eastAsia="Times New Roman" w:hAnsiTheme="minorHAnsi" w:cstheme="minorHAnsi"/>
                <w:sz w:val="18"/>
                <w:szCs w:val="18"/>
                <w:lang w:eastAsia="en-GB"/>
              </w:rPr>
              <w:t xml:space="preserve"> </w:t>
            </w:r>
            <w:r w:rsidRPr="00DC2BD6">
              <w:rPr>
                <w:rFonts w:asciiTheme="minorHAnsi" w:eastAsia="Times New Roman" w:hAnsiTheme="minorHAnsi" w:cstheme="minorHAnsi"/>
                <w:sz w:val="18"/>
                <w:szCs w:val="18"/>
                <w:lang w:eastAsia="en-GB"/>
              </w:rPr>
              <w:t>benefits for)</w:t>
            </w:r>
          </w:p>
        </w:tc>
        <w:tc>
          <w:tcPr>
            <w:tcW w:w="2888" w:type="dxa"/>
            <w:tcBorders>
              <w:top w:val="single" w:sz="4" w:space="0" w:color="auto"/>
              <w:bottom w:val="single" w:sz="4" w:space="0" w:color="auto"/>
            </w:tcBorders>
          </w:tcPr>
          <w:p w14:paraId="320B6587" w14:textId="4067C9FD" w:rsidR="008A36B4" w:rsidRPr="00DC2BD6" w:rsidRDefault="008A36B4" w:rsidP="00A465B1">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Caregivers &amp; families</w:t>
            </w:r>
          </w:p>
        </w:tc>
        <w:tc>
          <w:tcPr>
            <w:tcW w:w="2128" w:type="dxa"/>
          </w:tcPr>
          <w:p w14:paraId="7A42BB8A" w14:textId="58D7959F" w:rsidR="008A36B4" w:rsidRPr="00DC2BD6" w:rsidRDefault="008A36B4" w:rsidP="26F6496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Bidi"/>
                <w:sz w:val="18"/>
                <w:szCs w:val="18"/>
                <w:lang w:eastAsia="en-GB"/>
              </w:rPr>
            </w:pPr>
            <w:r w:rsidRPr="00DC2BD6">
              <w:rPr>
                <w:rFonts w:asciiTheme="minorHAnsi" w:eastAsia="Times New Roman" w:hAnsiTheme="minorHAnsi" w:cstheme="minorBidi"/>
                <w:sz w:val="18"/>
                <w:szCs w:val="18"/>
                <w:lang w:eastAsia="en-GB"/>
              </w:rPr>
              <w:t xml:space="preserve">(Adib et al., 2022; Bangerter et al., 2022; </w:t>
            </w:r>
            <w:proofErr w:type="spellStart"/>
            <w:r w:rsidRPr="00DC2BD6">
              <w:rPr>
                <w:rFonts w:asciiTheme="minorHAnsi" w:eastAsia="Times New Roman" w:hAnsiTheme="minorHAnsi" w:cstheme="minorBidi"/>
                <w:sz w:val="18"/>
                <w:szCs w:val="18"/>
                <w:lang w:eastAsia="en-GB"/>
              </w:rPr>
              <w:t>Lerret</w:t>
            </w:r>
            <w:proofErr w:type="spellEnd"/>
            <w:r w:rsidRPr="00DC2BD6">
              <w:rPr>
                <w:rFonts w:asciiTheme="minorHAnsi" w:eastAsia="Times New Roman" w:hAnsiTheme="minorHAnsi" w:cstheme="minorBidi"/>
                <w:sz w:val="18"/>
                <w:szCs w:val="18"/>
                <w:lang w:eastAsia="en-GB"/>
              </w:rPr>
              <w:t xml:space="preserve"> et al., 2022; Skeens et al., 2022)</w:t>
            </w:r>
          </w:p>
        </w:tc>
      </w:tr>
      <w:tr w:rsidR="00626F00" w:rsidRPr="00DC2BD6" w14:paraId="5F417808" w14:textId="77777777" w:rsidTr="003C0070">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264" w:type="dxa"/>
            <w:vMerge/>
          </w:tcPr>
          <w:p w14:paraId="3C02B068" w14:textId="77777777" w:rsidR="008A36B4" w:rsidRPr="00DC2BD6" w:rsidRDefault="008A36B4" w:rsidP="00A465B1">
            <w:pPr>
              <w:rPr>
                <w:rFonts w:asciiTheme="minorHAnsi" w:eastAsia="Times New Roman" w:hAnsiTheme="minorHAnsi" w:cstheme="minorHAnsi"/>
                <w:sz w:val="18"/>
                <w:szCs w:val="18"/>
                <w:lang w:eastAsia="en-GB"/>
              </w:rPr>
            </w:pPr>
          </w:p>
        </w:tc>
        <w:tc>
          <w:tcPr>
            <w:tcW w:w="2497" w:type="dxa"/>
            <w:vMerge/>
          </w:tcPr>
          <w:p w14:paraId="67039BD4" w14:textId="77777777"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p>
        </w:tc>
        <w:tc>
          <w:tcPr>
            <w:tcW w:w="2888" w:type="dxa"/>
            <w:tcBorders>
              <w:top w:val="single" w:sz="4" w:space="0" w:color="auto"/>
              <w:bottom w:val="single" w:sz="4" w:space="0" w:color="auto"/>
            </w:tcBorders>
          </w:tcPr>
          <w:p w14:paraId="4E366D1B" w14:textId="01DF1A61" w:rsidR="008A36B4" w:rsidRPr="00DC2BD6" w:rsidRDefault="008A36B4" w:rsidP="00A465B1">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18"/>
                <w:szCs w:val="18"/>
                <w:lang w:eastAsia="en-GB"/>
              </w:rPr>
            </w:pPr>
            <w:r w:rsidRPr="00DC2BD6">
              <w:rPr>
                <w:rFonts w:asciiTheme="minorHAnsi" w:eastAsia="Times New Roman" w:hAnsiTheme="minorHAnsi" w:cstheme="minorHAnsi"/>
                <w:sz w:val="18"/>
                <w:szCs w:val="18"/>
                <w:lang w:eastAsia="en-GB"/>
              </w:rPr>
              <w:t>Transplant providers, clinicians &amp; pharmacists</w:t>
            </w:r>
          </w:p>
        </w:tc>
        <w:tc>
          <w:tcPr>
            <w:tcW w:w="2128" w:type="dxa"/>
          </w:tcPr>
          <w:p w14:paraId="19049128" w14:textId="68DE6F20" w:rsidR="008A36B4" w:rsidRPr="00DC2BD6" w:rsidRDefault="008A36B4" w:rsidP="26F6496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Bidi"/>
                <w:sz w:val="18"/>
                <w:szCs w:val="18"/>
                <w:lang w:eastAsia="en-GB"/>
              </w:rPr>
            </w:pPr>
            <w:r w:rsidRPr="00DC2BD6">
              <w:rPr>
                <w:rFonts w:asciiTheme="minorHAnsi" w:eastAsia="Times New Roman" w:hAnsiTheme="minorHAnsi" w:cstheme="minorBidi"/>
                <w:sz w:val="18"/>
                <w:szCs w:val="18"/>
                <w:lang w:eastAsia="en-GB"/>
              </w:rPr>
              <w:t>(</w:t>
            </w:r>
            <w:proofErr w:type="spellStart"/>
            <w:r w:rsidRPr="00DC2BD6">
              <w:rPr>
                <w:rFonts w:asciiTheme="minorHAnsi" w:eastAsia="Times New Roman" w:hAnsiTheme="minorHAnsi" w:cstheme="minorBidi"/>
                <w:sz w:val="18"/>
                <w:szCs w:val="18"/>
                <w:lang w:eastAsia="en-GB"/>
              </w:rPr>
              <w:t>Divard</w:t>
            </w:r>
            <w:proofErr w:type="spellEnd"/>
            <w:r w:rsidRPr="00DC2BD6">
              <w:rPr>
                <w:rFonts w:asciiTheme="minorHAnsi" w:eastAsia="Times New Roman" w:hAnsiTheme="minorHAnsi" w:cstheme="minorBidi"/>
                <w:sz w:val="18"/>
                <w:szCs w:val="18"/>
                <w:lang w:eastAsia="en-GB"/>
              </w:rPr>
              <w:t xml:space="preserve"> et al., 2022; Handler et al., 2023; Hensler et al., 2018; Hoz et al., 2021; Morken et al., 2023; Park et al., 2021; Xu-Stettner et al., 2023)</w:t>
            </w:r>
          </w:p>
        </w:tc>
      </w:tr>
    </w:tbl>
    <w:p w14:paraId="6C49B028" w14:textId="411560BA" w:rsidR="00626F00" w:rsidRPr="0020009F" w:rsidRDefault="0020009F" w:rsidP="00D33C9F">
      <w:pPr>
        <w:pStyle w:val="Heading2"/>
        <w:jc w:val="left"/>
        <w:rPr>
          <w:lang w:eastAsia="en-GB"/>
        </w:rPr>
      </w:pPr>
      <w:bookmarkStart w:id="39" w:name="_Toc166854003"/>
      <w:r w:rsidRPr="0020009F">
        <w:rPr>
          <w:lang w:eastAsia="en-GB"/>
        </w:rPr>
        <w:lastRenderedPageBreak/>
        <w:t>4.5 Reflexivity Principle of the Problematizing Review Process</w:t>
      </w:r>
      <w:bookmarkEnd w:id="39"/>
    </w:p>
    <w:p w14:paraId="0F6C55F4" w14:textId="155DA4AB" w:rsidR="00F133BA" w:rsidRPr="00D33C9F" w:rsidRDefault="00F133BA" w:rsidP="00F133BA">
      <w:pPr>
        <w:spacing w:line="360" w:lineRule="auto"/>
        <w:jc w:val="both"/>
        <w:rPr>
          <w:rFonts w:ascii="Calibri" w:hAnsi="Calibri" w:cs="Calibri"/>
          <w:lang w:val="en-US"/>
        </w:rPr>
      </w:pPr>
      <w:r w:rsidRPr="00D33C9F">
        <w:rPr>
          <w:rFonts w:ascii="Calibri" w:hAnsi="Calibri" w:cs="Calibri"/>
          <w:lang w:val="en-US"/>
        </w:rPr>
        <w:t xml:space="preserve">To identify and understand </w:t>
      </w:r>
      <w:r w:rsidR="005D533D" w:rsidRPr="00D33C9F">
        <w:rPr>
          <w:rFonts w:ascii="Calibri" w:hAnsi="Calibri" w:cs="Calibri"/>
          <w:lang w:val="en-US"/>
        </w:rPr>
        <w:t>the quality of</w:t>
      </w:r>
      <w:r w:rsidRPr="00D33C9F">
        <w:rPr>
          <w:rFonts w:ascii="Calibri" w:hAnsi="Calibri" w:cs="Calibri"/>
          <w:lang w:val="en-US"/>
        </w:rPr>
        <w:t xml:space="preserve"> </w:t>
      </w:r>
      <w:r w:rsidR="00986D0F" w:rsidRPr="00D33C9F">
        <w:rPr>
          <w:rFonts w:ascii="Calibri" w:hAnsi="Calibri" w:cs="Calibri"/>
          <w:lang w:val="en-US"/>
        </w:rPr>
        <w:t xml:space="preserve">the review of the </w:t>
      </w:r>
      <w:r w:rsidRPr="00D33C9F">
        <w:rPr>
          <w:rFonts w:ascii="Calibri" w:hAnsi="Calibri" w:cs="Calibri"/>
          <w:lang w:val="en-US"/>
        </w:rPr>
        <w:t>existing studies o</w:t>
      </w:r>
      <w:r w:rsidR="00986D0F" w:rsidRPr="00D33C9F">
        <w:rPr>
          <w:rFonts w:ascii="Calibri" w:hAnsi="Calibri" w:cs="Calibri"/>
          <w:lang w:val="en-US"/>
        </w:rPr>
        <w:t>n</w:t>
      </w:r>
      <w:r w:rsidRPr="00D33C9F">
        <w:rPr>
          <w:rFonts w:ascii="Calibri" w:hAnsi="Calibri" w:cs="Calibri"/>
          <w:lang w:val="en-US"/>
        </w:rPr>
        <w:t xml:space="preserve"> eHealth in </w:t>
      </w:r>
      <w:r w:rsidR="00D52B68" w:rsidRPr="00D33C9F">
        <w:rPr>
          <w:rFonts w:ascii="Calibri" w:hAnsi="Calibri" w:cs="Calibri"/>
          <w:lang w:val="en-US"/>
        </w:rPr>
        <w:t>transplantation,</w:t>
      </w:r>
      <w:r w:rsidRPr="00D33C9F">
        <w:rPr>
          <w:rFonts w:ascii="Calibri" w:hAnsi="Calibri" w:cs="Calibri"/>
          <w:lang w:val="en-US"/>
        </w:rPr>
        <w:t xml:space="preserve"> </w:t>
      </w:r>
      <w:r w:rsidR="00AC2E8E" w:rsidRPr="00D33C9F">
        <w:rPr>
          <w:rFonts w:ascii="Calibri" w:hAnsi="Calibri" w:cs="Calibri"/>
          <w:lang w:val="en-US"/>
        </w:rPr>
        <w:t xml:space="preserve">we </w:t>
      </w:r>
      <w:r w:rsidR="005B1047" w:rsidRPr="00D33C9F">
        <w:rPr>
          <w:rFonts w:ascii="Calibri" w:hAnsi="Calibri" w:cs="Calibri"/>
          <w:lang w:val="en-US"/>
        </w:rPr>
        <w:t xml:space="preserve">conducted </w:t>
      </w:r>
      <w:r w:rsidRPr="00D33C9F">
        <w:rPr>
          <w:rFonts w:ascii="Calibri" w:hAnsi="Calibri" w:cs="Calibri"/>
          <w:lang w:val="en-US"/>
        </w:rPr>
        <w:t xml:space="preserve">a critical analysis using the reflexivity principle of the problematizing review process (Alvesson &amp; Sandberg, 2020).  </w:t>
      </w:r>
    </w:p>
    <w:p w14:paraId="5170D872" w14:textId="7B880D5C" w:rsidR="00F133BA" w:rsidRPr="00D33C9F" w:rsidRDefault="00F133BA" w:rsidP="00F133BA">
      <w:pPr>
        <w:spacing w:line="360" w:lineRule="auto"/>
        <w:jc w:val="both"/>
        <w:rPr>
          <w:rFonts w:ascii="Calibri" w:eastAsia="Times New Roman" w:hAnsi="Calibri" w:cs="Calibri"/>
          <w:lang w:val="en-US" w:eastAsia="en-GB"/>
        </w:rPr>
      </w:pPr>
      <w:r w:rsidRPr="00D33C9F">
        <w:rPr>
          <w:rFonts w:ascii="Calibri" w:eastAsia="Times New Roman" w:hAnsi="Calibri" w:cs="Calibri"/>
          <w:lang w:val="en-GB" w:eastAsia="en-GB"/>
        </w:rPr>
        <w:t>The reflexivity principle refers to the researcher's awareness of their </w:t>
      </w:r>
      <w:r w:rsidRPr="00D33C9F">
        <w:rPr>
          <w:rFonts w:ascii="Calibri" w:eastAsia="Times New Roman" w:hAnsi="Calibri" w:cs="Calibri"/>
          <w:lang w:val="en-US" w:eastAsia="en-GB"/>
        </w:rPr>
        <w:t>own biases, influences and perspectives throughout the research process (Alvesson &amp; Sandberg, 2020). One of the research articles solely sourced its information from one database (PubMed) to analyze the current status of eHealth in transplantation (</w:t>
      </w:r>
      <w:proofErr w:type="spellStart"/>
      <w:r w:rsidRPr="00D33C9F">
        <w:rPr>
          <w:rFonts w:ascii="Calibri" w:eastAsia="Times New Roman" w:hAnsi="Calibri" w:cs="Calibri"/>
          <w:lang w:val="en-US" w:eastAsia="en-GB"/>
        </w:rPr>
        <w:t>Duettmann</w:t>
      </w:r>
      <w:proofErr w:type="spellEnd"/>
      <w:r w:rsidRPr="00D33C9F">
        <w:rPr>
          <w:rFonts w:ascii="Calibri" w:eastAsia="Times New Roman" w:hAnsi="Calibri" w:cs="Calibri"/>
          <w:lang w:val="en-US" w:eastAsia="en-GB"/>
        </w:rPr>
        <w:t xml:space="preserve"> et al., 2021). Researchers might have selected PubMed as their only database due to the belief that it is one of the largest and most comprehensive databases for biomedical literature, covering a wide range of journals, including many prestigious medical and scientific journals. However, a potential issue of pulling information from one database is that researchers might have an incomplete picture, as a single database cannot comprehensively cover all literature on a chosen topic, resulting in an incomplete understanding of the research landscape. Another potential issue with using a single database is the search limitations the database might have. Databases employ their own indexing methods and search algorithms, which may yield different results for the same search query. Researchers may overlook relevant articles if they rely solely on the search capabilities of one database, missing out on potentially important literature.</w:t>
      </w:r>
    </w:p>
    <w:p w14:paraId="712C60A8" w14:textId="77777777" w:rsidR="00F133BA" w:rsidRPr="00D33C9F" w:rsidRDefault="00F133BA" w:rsidP="00F133BA">
      <w:pPr>
        <w:spacing w:line="360" w:lineRule="auto"/>
        <w:jc w:val="both"/>
        <w:rPr>
          <w:rFonts w:ascii="Calibri" w:eastAsia="Times New Roman" w:hAnsi="Calibri" w:cs="Calibri"/>
          <w:lang w:val="en-GB" w:eastAsia="en-GB"/>
        </w:rPr>
      </w:pPr>
      <w:r w:rsidRPr="00D33C9F">
        <w:rPr>
          <w:rFonts w:ascii="Calibri" w:eastAsia="Times New Roman" w:hAnsi="Calibri" w:cs="Calibri"/>
          <w:lang w:val="en-GB" w:eastAsia="en-GB"/>
        </w:rPr>
        <w:t>Additionally, more than 50% of research articles reporting eHealth usage in transplantation identified in this literature review were carried out using quantitative methodologies. The high use of quantitative methodology in researching eHealth in transplant settings could be attributed to the replicability of quantitative methods. Quantitative research designs are often structured in a way that allows for replication and verification of findings by other researchers. Which may have influenced researchers to carry out similar approaches. However, this provides an incomplete view. Quantitative methods often prioritize numerical data and statistical analysis, which may not fully capture the multifaceted experiences of transplant patients and healthcare providers in eHealth contexts. Transplant patients often navigate complex emotional, social, and psychological challenges, which may be better understood through qualitative approaches that allow for in-depth exploration of these experiences. Quantitative research also typically focuses on measuring relationships between variables in a controlled manner, often overlooking the broader factors that influence eHealth adoption, utilization, and effectiveness in transplant care. </w:t>
      </w:r>
    </w:p>
    <w:p w14:paraId="4E8505AA" w14:textId="77777777" w:rsidR="00F133BA" w:rsidRPr="00D33C9F" w:rsidRDefault="00F133BA" w:rsidP="00F133BA">
      <w:pPr>
        <w:spacing w:line="360" w:lineRule="auto"/>
        <w:jc w:val="both"/>
        <w:rPr>
          <w:rFonts w:ascii="Calibri" w:eastAsia="Times New Roman" w:hAnsi="Calibri" w:cs="Calibri"/>
          <w:lang w:val="en-GB" w:eastAsia="en-GB"/>
        </w:rPr>
      </w:pPr>
      <w:r w:rsidRPr="00D33C9F">
        <w:rPr>
          <w:rFonts w:ascii="Calibri" w:eastAsia="Times New Roman" w:hAnsi="Calibri" w:cs="Calibri"/>
          <w:lang w:val="en-GB" w:eastAsia="en-GB"/>
        </w:rPr>
        <w:t>In terms of inconsistencies with the research on eHealth in the transplant landscape, the</w:t>
      </w:r>
      <w:r w:rsidRPr="00D33C9F">
        <w:rPr>
          <w:rFonts w:ascii="Calibri" w:eastAsia="Times New Roman" w:hAnsi="Calibri" w:cs="Calibri"/>
          <w:lang w:val="en-US" w:eastAsia="en-GB"/>
        </w:rPr>
        <w:t xml:space="preserve"> majority of studies used different types of eHealth interventions to investigate the benefits </w:t>
      </w:r>
      <w:r w:rsidRPr="00D33C9F">
        <w:rPr>
          <w:rFonts w:ascii="Calibri" w:eastAsia="Times New Roman" w:hAnsi="Calibri" w:cs="Calibri"/>
          <w:lang w:val="en-US" w:eastAsia="en-GB"/>
        </w:rPr>
        <w:lastRenderedPageBreak/>
        <w:t xml:space="preserve">and barriers of using eHealth in transplantations. Most studies focused on telehealth (Barnett et al., 2021; Chang et al., 2021, </w:t>
      </w:r>
      <w:proofErr w:type="spellStart"/>
      <w:r w:rsidRPr="00D33C9F">
        <w:rPr>
          <w:rFonts w:ascii="Calibri" w:eastAsia="Times New Roman" w:hAnsi="Calibri" w:cs="Calibri"/>
          <w:lang w:val="en-US" w:eastAsia="en-GB"/>
        </w:rPr>
        <w:t>Deboni</w:t>
      </w:r>
      <w:proofErr w:type="spellEnd"/>
      <w:r w:rsidRPr="00D33C9F">
        <w:rPr>
          <w:rFonts w:ascii="Calibri" w:eastAsia="Times New Roman" w:hAnsi="Calibri" w:cs="Calibri"/>
          <w:lang w:val="en-US" w:eastAsia="en-GB"/>
        </w:rPr>
        <w:t xml:space="preserve"> et al., 2020; Delman et al., 2021; Forbes et al., 2018; Gunn et al., 2021; </w:t>
      </w:r>
      <w:proofErr w:type="spellStart"/>
      <w:r w:rsidRPr="00D33C9F">
        <w:rPr>
          <w:rFonts w:ascii="Calibri" w:eastAsia="Times New Roman" w:hAnsi="Calibri" w:cs="Calibri"/>
          <w:lang w:val="en-US" w:eastAsia="en-GB"/>
        </w:rPr>
        <w:t>Hatzikiriakidis</w:t>
      </w:r>
      <w:proofErr w:type="spellEnd"/>
      <w:r w:rsidRPr="00D33C9F">
        <w:rPr>
          <w:rFonts w:ascii="Calibri" w:eastAsia="Times New Roman" w:hAnsi="Calibri" w:cs="Calibri"/>
          <w:lang w:val="en-US" w:eastAsia="en-GB"/>
        </w:rPr>
        <w:t xml:space="preserve"> et al., 2022; Hickman et al., 2021; </w:t>
      </w:r>
      <w:proofErr w:type="spellStart"/>
      <w:r w:rsidRPr="00D33C9F">
        <w:rPr>
          <w:rFonts w:ascii="Calibri" w:eastAsia="Times New Roman" w:hAnsi="Calibri" w:cs="Calibri"/>
          <w:lang w:val="en-US" w:eastAsia="en-GB"/>
        </w:rPr>
        <w:t>Huuskes</w:t>
      </w:r>
      <w:proofErr w:type="spellEnd"/>
      <w:r w:rsidRPr="00D33C9F">
        <w:rPr>
          <w:rFonts w:ascii="Calibri" w:eastAsia="Times New Roman" w:hAnsi="Calibri" w:cs="Calibri"/>
          <w:lang w:val="en-US" w:eastAsia="en-GB"/>
        </w:rPr>
        <w:t xml:space="preserve"> et al., 2021; John et al., 2020; Keating et al., 2020; Kelly et al., 2019; Khalil et al., 2022; </w:t>
      </w:r>
      <w:proofErr w:type="spellStart"/>
      <w:r w:rsidRPr="00D33C9F">
        <w:rPr>
          <w:rFonts w:ascii="Calibri" w:eastAsia="Times New Roman" w:hAnsi="Calibri" w:cs="Calibri"/>
          <w:lang w:val="en-US" w:eastAsia="en-GB"/>
        </w:rPr>
        <w:t>Mussetti</w:t>
      </w:r>
      <w:proofErr w:type="spellEnd"/>
      <w:r w:rsidRPr="00D33C9F">
        <w:rPr>
          <w:rFonts w:ascii="Calibri" w:eastAsia="Times New Roman" w:hAnsi="Calibri" w:cs="Calibri"/>
          <w:lang w:val="en-US" w:eastAsia="en-GB"/>
        </w:rPr>
        <w:t xml:space="preserve"> et al., 2021; Sidhu et al., 2019; Thiessen et al., 2020; Xu-Stettner et al., 2023) as an intervention to facilitate consultations between clinicians and transplant patients. Other studies considered telemedicine as a proxy for virtual clinic visits for medication-related purposes (</w:t>
      </w:r>
      <w:proofErr w:type="spellStart"/>
      <w:r w:rsidRPr="00D33C9F">
        <w:rPr>
          <w:rFonts w:ascii="Calibri" w:eastAsia="Times New Roman" w:hAnsi="Calibri" w:cs="Calibri"/>
          <w:lang w:val="en-US" w:eastAsia="en-GB"/>
        </w:rPr>
        <w:t>Holderried</w:t>
      </w:r>
      <w:proofErr w:type="spellEnd"/>
      <w:r w:rsidRPr="00D33C9F">
        <w:rPr>
          <w:rFonts w:ascii="Calibri" w:eastAsia="Times New Roman" w:hAnsi="Calibri" w:cs="Calibri"/>
          <w:lang w:val="en-US" w:eastAsia="en-GB"/>
        </w:rPr>
        <w:t xml:space="preserve">, </w:t>
      </w:r>
      <w:proofErr w:type="spellStart"/>
      <w:r w:rsidRPr="00D33C9F">
        <w:rPr>
          <w:rFonts w:ascii="Calibri" w:eastAsia="Times New Roman" w:hAnsi="Calibri" w:cs="Calibri"/>
          <w:lang w:val="en-US" w:eastAsia="en-GB"/>
        </w:rPr>
        <w:t>Hoeper</w:t>
      </w:r>
      <w:proofErr w:type="spellEnd"/>
      <w:r w:rsidRPr="00D33C9F">
        <w:rPr>
          <w:rFonts w:ascii="Calibri" w:eastAsia="Times New Roman" w:hAnsi="Calibri" w:cs="Calibri"/>
          <w:lang w:val="en-US" w:eastAsia="en-GB"/>
        </w:rPr>
        <w:t xml:space="preserve">, </w:t>
      </w:r>
      <w:proofErr w:type="spellStart"/>
      <w:r w:rsidRPr="00D33C9F">
        <w:rPr>
          <w:rFonts w:ascii="Calibri" w:eastAsia="Times New Roman" w:hAnsi="Calibri" w:cs="Calibri"/>
          <w:lang w:val="en-US" w:eastAsia="en-GB"/>
        </w:rPr>
        <w:t>Holderried</w:t>
      </w:r>
      <w:proofErr w:type="spellEnd"/>
      <w:r w:rsidRPr="00D33C9F">
        <w:rPr>
          <w:rFonts w:ascii="Calibri" w:eastAsia="Times New Roman" w:hAnsi="Calibri" w:cs="Calibri"/>
          <w:lang w:val="en-US" w:eastAsia="en-GB"/>
        </w:rPr>
        <w:t xml:space="preserve">, </w:t>
      </w:r>
      <w:proofErr w:type="spellStart"/>
      <w:r w:rsidRPr="00D33C9F">
        <w:rPr>
          <w:rFonts w:ascii="Calibri" w:eastAsia="Times New Roman" w:hAnsi="Calibri" w:cs="Calibri"/>
          <w:lang w:val="en-US" w:eastAsia="en-GB"/>
        </w:rPr>
        <w:t>Heyne</w:t>
      </w:r>
      <w:proofErr w:type="spellEnd"/>
      <w:r w:rsidRPr="00D33C9F">
        <w:rPr>
          <w:rFonts w:ascii="Calibri" w:eastAsia="Times New Roman" w:hAnsi="Calibri" w:cs="Calibri"/>
          <w:lang w:val="en-US" w:eastAsia="en-GB"/>
        </w:rPr>
        <w:t xml:space="preserve">, Nadalin, Unger, Ernst &amp; </w:t>
      </w:r>
      <w:proofErr w:type="spellStart"/>
      <w:r w:rsidRPr="00D33C9F">
        <w:rPr>
          <w:rFonts w:ascii="Calibri" w:eastAsia="Times New Roman" w:hAnsi="Calibri" w:cs="Calibri"/>
          <w:lang w:val="en-US" w:eastAsia="en-GB"/>
        </w:rPr>
        <w:t>Guthoff</w:t>
      </w:r>
      <w:proofErr w:type="spellEnd"/>
      <w:r w:rsidRPr="00D33C9F">
        <w:rPr>
          <w:rFonts w:ascii="Calibri" w:eastAsia="Times New Roman" w:hAnsi="Calibri" w:cs="Calibri"/>
          <w:lang w:val="en-US" w:eastAsia="en-GB"/>
        </w:rPr>
        <w:t>, 2021; Park, Kim, Waldman, Marks &amp; Clark, 2021). In addition, some studies considered specific factors, such as trust, security, and the risk associated with eHealth utilization for pre- and post-care transplantation (</w:t>
      </w:r>
      <w:proofErr w:type="spellStart"/>
      <w:r w:rsidRPr="00D33C9F">
        <w:rPr>
          <w:rFonts w:ascii="Calibri" w:eastAsia="Times New Roman" w:hAnsi="Calibri" w:cs="Calibri"/>
          <w:lang w:val="en-US" w:eastAsia="en-GB"/>
        </w:rPr>
        <w:t>Hatzikiriakidis</w:t>
      </w:r>
      <w:proofErr w:type="spellEnd"/>
      <w:r w:rsidRPr="00D33C9F">
        <w:rPr>
          <w:rFonts w:ascii="Calibri" w:eastAsia="Times New Roman" w:hAnsi="Calibri" w:cs="Calibri"/>
          <w:lang w:val="en-US" w:eastAsia="en-GB"/>
        </w:rPr>
        <w:t xml:space="preserve">, West, Ayton, Morris, Martin &amp; </w:t>
      </w:r>
      <w:proofErr w:type="spellStart"/>
      <w:r w:rsidRPr="00D33C9F">
        <w:rPr>
          <w:rFonts w:ascii="Calibri" w:eastAsia="Times New Roman" w:hAnsi="Calibri" w:cs="Calibri"/>
          <w:lang w:val="en-US" w:eastAsia="en-GB"/>
        </w:rPr>
        <w:t>Paraskeva</w:t>
      </w:r>
      <w:proofErr w:type="spellEnd"/>
      <w:r w:rsidRPr="00D33C9F">
        <w:rPr>
          <w:rFonts w:ascii="Calibri" w:eastAsia="Times New Roman" w:hAnsi="Calibri" w:cs="Calibri"/>
          <w:lang w:val="en-US" w:eastAsia="en-GB"/>
        </w:rPr>
        <w:t xml:space="preserve">, 2022; </w:t>
      </w:r>
      <w:proofErr w:type="spellStart"/>
      <w:r w:rsidRPr="00D33C9F">
        <w:rPr>
          <w:rFonts w:ascii="Calibri" w:eastAsia="Times New Roman" w:hAnsi="Calibri" w:cs="Calibri"/>
          <w:lang w:val="en-US" w:eastAsia="en-GB"/>
        </w:rPr>
        <w:t>Holderried</w:t>
      </w:r>
      <w:proofErr w:type="spellEnd"/>
      <w:r w:rsidRPr="00D33C9F">
        <w:rPr>
          <w:rFonts w:ascii="Calibri" w:eastAsia="Times New Roman" w:hAnsi="Calibri" w:cs="Calibri"/>
          <w:lang w:val="en-US" w:eastAsia="en-GB"/>
        </w:rPr>
        <w:t xml:space="preserve"> et al., 2021; Tang, Howell, Roger, Wong &amp; Tong, 2022). The challenge with the use of different types of eHealth interventions is the diversity in research designs and outcomes which make it difficult to compare findings and draw meaningful conclusions. Current research limits our understanding of eHealth integration in transplantation. </w:t>
      </w:r>
    </w:p>
    <w:p w14:paraId="4CA24808" w14:textId="77777777" w:rsidR="00F133BA" w:rsidRDefault="00F133BA" w:rsidP="00F133BA">
      <w:pPr>
        <w:rPr>
          <w:lang w:eastAsia="en-GB"/>
        </w:rPr>
      </w:pPr>
    </w:p>
    <w:p w14:paraId="5DD81BF4" w14:textId="77777777" w:rsidR="003C0070" w:rsidRDefault="003C0070" w:rsidP="00F133BA">
      <w:pPr>
        <w:rPr>
          <w:lang w:eastAsia="en-GB"/>
        </w:rPr>
      </w:pPr>
    </w:p>
    <w:p w14:paraId="3187B410" w14:textId="77777777" w:rsidR="003C0070" w:rsidRDefault="003C0070" w:rsidP="00F133BA">
      <w:pPr>
        <w:rPr>
          <w:lang w:eastAsia="en-GB"/>
        </w:rPr>
      </w:pPr>
    </w:p>
    <w:p w14:paraId="09F11CF2" w14:textId="77777777" w:rsidR="003C0070" w:rsidRDefault="003C0070" w:rsidP="00F133BA">
      <w:pPr>
        <w:rPr>
          <w:lang w:eastAsia="en-GB"/>
        </w:rPr>
      </w:pPr>
    </w:p>
    <w:p w14:paraId="2CDB817E" w14:textId="77777777" w:rsidR="003C0070" w:rsidRDefault="003C0070" w:rsidP="00F133BA">
      <w:pPr>
        <w:rPr>
          <w:lang w:eastAsia="en-GB"/>
        </w:rPr>
      </w:pPr>
    </w:p>
    <w:p w14:paraId="042A9BAF" w14:textId="77777777" w:rsidR="003C0070" w:rsidRDefault="003C0070" w:rsidP="00F133BA">
      <w:pPr>
        <w:rPr>
          <w:lang w:eastAsia="en-GB"/>
        </w:rPr>
      </w:pPr>
    </w:p>
    <w:p w14:paraId="198E5616" w14:textId="77777777" w:rsidR="003C0070" w:rsidRDefault="003C0070" w:rsidP="00F133BA">
      <w:pPr>
        <w:rPr>
          <w:lang w:eastAsia="en-GB"/>
        </w:rPr>
      </w:pPr>
    </w:p>
    <w:p w14:paraId="1A1E40D4" w14:textId="77777777" w:rsidR="003C0070" w:rsidRDefault="003C0070" w:rsidP="00F133BA">
      <w:pPr>
        <w:rPr>
          <w:lang w:eastAsia="en-GB"/>
        </w:rPr>
      </w:pPr>
    </w:p>
    <w:p w14:paraId="283A6B56" w14:textId="77777777" w:rsidR="003C0070" w:rsidRDefault="003C0070" w:rsidP="00F133BA">
      <w:pPr>
        <w:rPr>
          <w:lang w:eastAsia="en-GB"/>
        </w:rPr>
      </w:pPr>
    </w:p>
    <w:p w14:paraId="13FB6227" w14:textId="77777777" w:rsidR="003C0070" w:rsidRDefault="003C0070" w:rsidP="00F133BA">
      <w:pPr>
        <w:rPr>
          <w:lang w:eastAsia="en-GB"/>
        </w:rPr>
      </w:pPr>
    </w:p>
    <w:p w14:paraId="1E6813A9" w14:textId="77777777" w:rsidR="003C0070" w:rsidRDefault="003C0070" w:rsidP="00F133BA">
      <w:pPr>
        <w:rPr>
          <w:lang w:eastAsia="en-GB"/>
        </w:rPr>
      </w:pPr>
    </w:p>
    <w:p w14:paraId="3129A78F" w14:textId="77777777" w:rsidR="003C0070" w:rsidRDefault="003C0070" w:rsidP="00F133BA">
      <w:pPr>
        <w:rPr>
          <w:lang w:eastAsia="en-GB"/>
        </w:rPr>
      </w:pPr>
    </w:p>
    <w:p w14:paraId="162E1357" w14:textId="77777777" w:rsidR="003C0070" w:rsidRDefault="003C0070" w:rsidP="00F133BA">
      <w:pPr>
        <w:rPr>
          <w:lang w:eastAsia="en-GB"/>
        </w:rPr>
      </w:pPr>
    </w:p>
    <w:p w14:paraId="5503C3DC" w14:textId="77777777" w:rsidR="003C0070" w:rsidRDefault="003C0070" w:rsidP="00F133BA">
      <w:pPr>
        <w:rPr>
          <w:lang w:eastAsia="en-GB"/>
        </w:rPr>
      </w:pPr>
    </w:p>
    <w:p w14:paraId="1BF3C42D" w14:textId="77777777" w:rsidR="003C0070" w:rsidRDefault="003C0070" w:rsidP="00F133BA">
      <w:pPr>
        <w:rPr>
          <w:lang w:eastAsia="en-GB"/>
        </w:rPr>
      </w:pPr>
    </w:p>
    <w:p w14:paraId="3C51D282" w14:textId="77777777" w:rsidR="003C0070" w:rsidRPr="00F133BA" w:rsidRDefault="003C0070" w:rsidP="00F133BA">
      <w:pPr>
        <w:rPr>
          <w:lang w:eastAsia="en-GB"/>
        </w:rPr>
      </w:pPr>
    </w:p>
    <w:p w14:paraId="29F8CC1B" w14:textId="766A6FA3" w:rsidR="00596A18" w:rsidRPr="00596A18" w:rsidRDefault="009653CA" w:rsidP="00AB3F8A">
      <w:pPr>
        <w:pStyle w:val="Heading1"/>
        <w:rPr>
          <w:rFonts w:eastAsia="Times New Roman"/>
          <w:lang w:eastAsia="en-GB"/>
        </w:rPr>
      </w:pPr>
      <w:bookmarkStart w:id="40" w:name="_Toc166854004"/>
      <w:r w:rsidRPr="00BE7C79">
        <w:rPr>
          <w:rFonts w:eastAsia="Times New Roman"/>
          <w:lang w:eastAsia="en-GB"/>
        </w:rPr>
        <w:lastRenderedPageBreak/>
        <w:t xml:space="preserve">Chapter 5: Discussion </w:t>
      </w:r>
      <w:r w:rsidR="006369F8" w:rsidRPr="00BE7C79">
        <w:rPr>
          <w:rFonts w:eastAsia="Times New Roman"/>
          <w:lang w:eastAsia="en-GB"/>
        </w:rPr>
        <w:t>&amp;</w:t>
      </w:r>
      <w:r w:rsidRPr="00BE7C79">
        <w:rPr>
          <w:rFonts w:eastAsia="Times New Roman"/>
          <w:lang w:eastAsia="en-GB"/>
        </w:rPr>
        <w:t xml:space="preserve"> </w:t>
      </w:r>
      <w:r w:rsidR="00596A18" w:rsidRPr="00BE7C79">
        <w:rPr>
          <w:rFonts w:eastAsia="Times New Roman"/>
          <w:lang w:eastAsia="en-GB"/>
        </w:rPr>
        <w:t>Conclusion</w:t>
      </w:r>
      <w:bookmarkEnd w:id="40"/>
    </w:p>
    <w:p w14:paraId="499C10C1" w14:textId="351AC4C6" w:rsidR="00C124A2" w:rsidRDefault="009653CA" w:rsidP="009653CA">
      <w:pPr>
        <w:pStyle w:val="Heading2"/>
        <w:jc w:val="left"/>
        <w:rPr>
          <w:rFonts w:eastAsia="Times New Roman"/>
          <w:lang w:eastAsia="en-GB"/>
        </w:rPr>
      </w:pPr>
      <w:bookmarkStart w:id="41" w:name="_Toc166854005"/>
      <w:r>
        <w:rPr>
          <w:rFonts w:eastAsia="Times New Roman"/>
          <w:lang w:eastAsia="en-GB"/>
        </w:rPr>
        <w:t>5.1 Discussion</w:t>
      </w:r>
      <w:bookmarkEnd w:id="41"/>
    </w:p>
    <w:p w14:paraId="1B903BCC" w14:textId="50368087" w:rsidR="00310AD1" w:rsidRPr="00A76C0B" w:rsidRDefault="00DB57FB" w:rsidP="26F64964">
      <w:pPr>
        <w:pStyle w:val="NormalWeb"/>
        <w:spacing w:before="0" w:beforeAutospacing="0" w:after="200" w:afterAutospacing="0" w:line="360" w:lineRule="auto"/>
        <w:jc w:val="both"/>
        <w:rPr>
          <w:rFonts w:ascii="Calibri" w:hAnsi="Calibri" w:cs="Calibri"/>
          <w:sz w:val="22"/>
          <w:szCs w:val="22"/>
          <w:lang w:val="en-US"/>
        </w:rPr>
      </w:pPr>
      <w:r w:rsidRPr="26F64964">
        <w:rPr>
          <w:rFonts w:ascii="Calibri" w:hAnsi="Calibri" w:cs="Calibri"/>
          <w:sz w:val="22"/>
          <w:szCs w:val="22"/>
        </w:rPr>
        <w:t xml:space="preserve">This systematic literature review addresses an important gap by </w:t>
      </w:r>
      <w:r w:rsidR="00C718E3" w:rsidRPr="26F64964">
        <w:rPr>
          <w:rFonts w:ascii="Calibri" w:hAnsi="Calibri" w:cs="Calibri"/>
          <w:sz w:val="22"/>
          <w:szCs w:val="22"/>
        </w:rPr>
        <w:t xml:space="preserve">reviewing </w:t>
      </w:r>
      <w:r w:rsidRPr="26F64964">
        <w:rPr>
          <w:rFonts w:ascii="Calibri" w:hAnsi="Calibri" w:cs="Calibri"/>
          <w:sz w:val="22"/>
          <w:szCs w:val="22"/>
        </w:rPr>
        <w:t xml:space="preserve">the studies </w:t>
      </w:r>
      <w:r w:rsidR="00C43921" w:rsidRPr="26F64964">
        <w:rPr>
          <w:rFonts w:ascii="Calibri" w:hAnsi="Calibri" w:cs="Calibri"/>
          <w:sz w:val="22"/>
          <w:szCs w:val="22"/>
        </w:rPr>
        <w:t xml:space="preserve">elucidating </w:t>
      </w:r>
      <w:r w:rsidR="00761576" w:rsidRPr="26F64964">
        <w:rPr>
          <w:rFonts w:ascii="Calibri" w:hAnsi="Calibri" w:cs="Calibri"/>
          <w:sz w:val="22"/>
          <w:szCs w:val="22"/>
        </w:rPr>
        <w:t>the utilization of</w:t>
      </w:r>
      <w:r w:rsidR="00C43921" w:rsidRPr="26F64964">
        <w:rPr>
          <w:rFonts w:ascii="Calibri" w:hAnsi="Calibri" w:cs="Calibri"/>
          <w:sz w:val="22"/>
          <w:szCs w:val="22"/>
        </w:rPr>
        <w:t xml:space="preserve"> </w:t>
      </w:r>
      <w:r w:rsidR="00093491" w:rsidRPr="26F64964">
        <w:rPr>
          <w:rFonts w:ascii="Calibri" w:hAnsi="Calibri" w:cs="Calibri"/>
          <w:sz w:val="22"/>
          <w:szCs w:val="22"/>
        </w:rPr>
        <w:t>eHealth device</w:t>
      </w:r>
      <w:r w:rsidR="00761576" w:rsidRPr="26F64964">
        <w:rPr>
          <w:rFonts w:ascii="Calibri" w:hAnsi="Calibri" w:cs="Calibri"/>
          <w:sz w:val="22"/>
          <w:szCs w:val="22"/>
        </w:rPr>
        <w:t>s</w:t>
      </w:r>
      <w:r w:rsidR="00093491" w:rsidRPr="26F64964">
        <w:rPr>
          <w:rFonts w:ascii="Calibri" w:hAnsi="Calibri" w:cs="Calibri"/>
          <w:sz w:val="22"/>
          <w:szCs w:val="22"/>
        </w:rPr>
        <w:t xml:space="preserve"> </w:t>
      </w:r>
      <w:r w:rsidR="001B1204" w:rsidRPr="26F64964">
        <w:rPr>
          <w:rFonts w:ascii="Calibri" w:hAnsi="Calibri" w:cs="Calibri"/>
          <w:sz w:val="22"/>
          <w:szCs w:val="22"/>
          <w:lang w:val="en-US"/>
        </w:rPr>
        <w:t xml:space="preserve">in </w:t>
      </w:r>
      <w:r w:rsidR="00761576" w:rsidRPr="26F64964">
        <w:rPr>
          <w:rFonts w:ascii="Calibri" w:hAnsi="Calibri" w:cs="Calibri"/>
          <w:sz w:val="22"/>
          <w:szCs w:val="22"/>
          <w:lang w:val="en-US"/>
        </w:rPr>
        <w:t xml:space="preserve">the context of </w:t>
      </w:r>
      <w:r w:rsidR="001B1204" w:rsidRPr="26F64964">
        <w:rPr>
          <w:rFonts w:ascii="Calibri" w:hAnsi="Calibri" w:cs="Calibri"/>
          <w:sz w:val="22"/>
          <w:szCs w:val="22"/>
          <w:lang w:val="en-US"/>
        </w:rPr>
        <w:t>transplant care.</w:t>
      </w:r>
      <w:r w:rsidR="00B46E92" w:rsidRPr="26F64964">
        <w:rPr>
          <w:rFonts w:ascii="Calibri" w:hAnsi="Calibri" w:cs="Calibri"/>
          <w:sz w:val="22"/>
          <w:szCs w:val="22"/>
          <w:lang w:val="en-US"/>
        </w:rPr>
        <w:t xml:space="preserve"> </w:t>
      </w:r>
      <w:r w:rsidR="00761576" w:rsidRPr="26F64964">
        <w:rPr>
          <w:rFonts w:ascii="Calibri" w:hAnsi="Calibri" w:cs="Calibri"/>
          <w:sz w:val="22"/>
          <w:szCs w:val="22"/>
          <w:lang w:val="en-US"/>
        </w:rPr>
        <w:t xml:space="preserve">This review encompasses </w:t>
      </w:r>
      <w:r w:rsidR="009B3AA0" w:rsidRPr="26F64964">
        <w:rPr>
          <w:rFonts w:ascii="Calibri" w:hAnsi="Calibri" w:cs="Calibri"/>
          <w:sz w:val="22"/>
          <w:szCs w:val="22"/>
          <w:lang w:val="en-US"/>
        </w:rPr>
        <w:t>55 articles</w:t>
      </w:r>
      <w:r w:rsidR="00B05F4B" w:rsidRPr="26F64964">
        <w:rPr>
          <w:rFonts w:ascii="Calibri" w:hAnsi="Calibri" w:cs="Calibri"/>
          <w:sz w:val="22"/>
          <w:szCs w:val="22"/>
          <w:lang w:val="en-US"/>
        </w:rPr>
        <w:t>, which collectively explore diverse facets including</w:t>
      </w:r>
      <w:r w:rsidR="009B3AA0" w:rsidRPr="26F64964">
        <w:rPr>
          <w:rFonts w:ascii="Calibri" w:hAnsi="Calibri" w:cs="Calibri"/>
          <w:sz w:val="22"/>
          <w:szCs w:val="22"/>
          <w:lang w:val="en-US"/>
        </w:rPr>
        <w:t xml:space="preserve"> </w:t>
      </w:r>
      <w:r w:rsidR="00CB50EE" w:rsidRPr="26F64964">
        <w:rPr>
          <w:rFonts w:ascii="Calibri" w:hAnsi="Calibri" w:cs="Calibri"/>
          <w:sz w:val="22"/>
          <w:szCs w:val="22"/>
          <w:lang w:val="en-US"/>
        </w:rPr>
        <w:t xml:space="preserve">the </w:t>
      </w:r>
      <w:r w:rsidR="00C540CC" w:rsidRPr="26F64964">
        <w:rPr>
          <w:rFonts w:ascii="Calibri" w:hAnsi="Calibri" w:cs="Calibri"/>
          <w:sz w:val="22"/>
          <w:szCs w:val="22"/>
          <w:lang w:val="en-US"/>
        </w:rPr>
        <w:t xml:space="preserve">barriers and benefits </w:t>
      </w:r>
      <w:r w:rsidR="00CB50EE" w:rsidRPr="26F64964">
        <w:rPr>
          <w:rFonts w:ascii="Calibri" w:hAnsi="Calibri" w:cs="Calibri"/>
          <w:sz w:val="22"/>
          <w:szCs w:val="22"/>
          <w:lang w:val="en-US"/>
        </w:rPr>
        <w:t xml:space="preserve">associated </w:t>
      </w:r>
      <w:r w:rsidR="00F23E5A" w:rsidRPr="26F64964">
        <w:rPr>
          <w:rFonts w:ascii="Calibri" w:hAnsi="Calibri" w:cs="Calibri"/>
          <w:sz w:val="22"/>
          <w:szCs w:val="22"/>
          <w:lang w:val="en-US"/>
        </w:rPr>
        <w:t xml:space="preserve">with </w:t>
      </w:r>
      <w:r w:rsidR="00F23E5A" w:rsidRPr="26F64964">
        <w:rPr>
          <w:rFonts w:ascii="Calibri" w:hAnsi="Calibri" w:cs="Calibri"/>
          <w:sz w:val="22"/>
          <w:szCs w:val="22"/>
          <w:highlight w:val="white"/>
          <w:lang w:val="en-US"/>
        </w:rPr>
        <w:t>digital</w:t>
      </w:r>
      <w:r w:rsidR="00C540CC" w:rsidRPr="26F64964">
        <w:rPr>
          <w:rFonts w:ascii="Calibri" w:hAnsi="Calibri" w:cs="Calibri"/>
          <w:sz w:val="22"/>
          <w:szCs w:val="22"/>
          <w:highlight w:val="white"/>
          <w:lang w:val="en-US"/>
        </w:rPr>
        <w:t xml:space="preserve"> health tools, </w:t>
      </w:r>
      <w:r w:rsidR="00EA374C" w:rsidRPr="26F64964">
        <w:rPr>
          <w:rFonts w:ascii="Calibri" w:hAnsi="Calibri" w:cs="Calibri"/>
          <w:sz w:val="22"/>
          <w:szCs w:val="22"/>
          <w:highlight w:val="white"/>
          <w:lang w:val="en-US"/>
        </w:rPr>
        <w:t>the</w:t>
      </w:r>
      <w:r w:rsidR="00EA374C" w:rsidRPr="26F64964">
        <w:rPr>
          <w:rFonts w:ascii="Calibri" w:hAnsi="Calibri" w:cs="Calibri"/>
          <w:sz w:val="22"/>
          <w:szCs w:val="22"/>
          <w:lang w:val="en-US"/>
        </w:rPr>
        <w:t xml:space="preserve"> process of developing digital health and different types of users </w:t>
      </w:r>
      <w:r w:rsidR="00D16124" w:rsidRPr="26F64964">
        <w:rPr>
          <w:rFonts w:ascii="Calibri" w:hAnsi="Calibri" w:cs="Calibri"/>
          <w:sz w:val="22"/>
          <w:szCs w:val="22"/>
          <w:lang w:val="en-US"/>
        </w:rPr>
        <w:t>engaging with digital health within the realm of transplant care</w:t>
      </w:r>
      <w:r w:rsidR="00EA374C" w:rsidRPr="26F64964">
        <w:rPr>
          <w:rFonts w:ascii="Calibri" w:hAnsi="Calibri" w:cs="Calibri"/>
          <w:sz w:val="22"/>
          <w:szCs w:val="22"/>
          <w:lang w:val="en-US"/>
        </w:rPr>
        <w:t xml:space="preserve">. </w:t>
      </w:r>
      <w:r w:rsidR="009E60B0" w:rsidRPr="26F64964">
        <w:rPr>
          <w:rFonts w:ascii="Calibri" w:hAnsi="Calibri" w:cs="Calibri"/>
          <w:sz w:val="22"/>
          <w:szCs w:val="22"/>
          <w:lang w:val="en-US"/>
        </w:rPr>
        <w:t xml:space="preserve">Predominantly, existing </w:t>
      </w:r>
      <w:r w:rsidR="005B3E4B" w:rsidRPr="26F64964">
        <w:rPr>
          <w:rFonts w:ascii="Calibri" w:hAnsi="Calibri" w:cs="Calibri"/>
          <w:sz w:val="22"/>
          <w:szCs w:val="22"/>
          <w:lang w:val="en-US"/>
        </w:rPr>
        <w:t xml:space="preserve">literature </w:t>
      </w:r>
      <w:r w:rsidR="009E60B0" w:rsidRPr="26F64964">
        <w:rPr>
          <w:rFonts w:ascii="Calibri" w:hAnsi="Calibri" w:cs="Calibri"/>
          <w:sz w:val="22"/>
          <w:szCs w:val="22"/>
          <w:lang w:val="en-US"/>
        </w:rPr>
        <w:t xml:space="preserve">in </w:t>
      </w:r>
      <w:r w:rsidR="005B3E4B" w:rsidRPr="26F64964">
        <w:rPr>
          <w:rFonts w:ascii="Calibri" w:hAnsi="Calibri" w:cs="Calibri"/>
          <w:sz w:val="22"/>
          <w:szCs w:val="22"/>
          <w:lang w:val="en-US"/>
        </w:rPr>
        <w:t xml:space="preserve">this </w:t>
      </w:r>
      <w:r w:rsidR="009E60B0" w:rsidRPr="26F64964">
        <w:rPr>
          <w:rFonts w:ascii="Calibri" w:hAnsi="Calibri" w:cs="Calibri"/>
          <w:sz w:val="22"/>
          <w:szCs w:val="22"/>
          <w:lang w:val="en-US"/>
        </w:rPr>
        <w:t xml:space="preserve">domain </w:t>
      </w:r>
      <w:r w:rsidR="005B3E4B" w:rsidRPr="26F64964">
        <w:rPr>
          <w:rFonts w:ascii="Calibri" w:hAnsi="Calibri" w:cs="Calibri"/>
          <w:sz w:val="22"/>
          <w:szCs w:val="22"/>
          <w:lang w:val="en-US"/>
        </w:rPr>
        <w:t>focused o</w:t>
      </w:r>
      <w:r w:rsidR="00721B7D" w:rsidRPr="26F64964">
        <w:rPr>
          <w:rFonts w:ascii="Calibri" w:hAnsi="Calibri" w:cs="Calibri"/>
          <w:sz w:val="22"/>
          <w:szCs w:val="22"/>
          <w:lang w:val="en-US"/>
        </w:rPr>
        <w:t xml:space="preserve">n the </w:t>
      </w:r>
      <w:r w:rsidR="004827B6" w:rsidRPr="26F64964">
        <w:rPr>
          <w:rFonts w:ascii="Calibri" w:hAnsi="Calibri" w:cs="Calibri"/>
          <w:sz w:val="22"/>
          <w:szCs w:val="22"/>
          <w:lang w:val="en-US"/>
        </w:rPr>
        <w:t xml:space="preserve">implementation of </w:t>
      </w:r>
      <w:r w:rsidR="002A16D8" w:rsidRPr="26F64964">
        <w:rPr>
          <w:rFonts w:ascii="Calibri" w:hAnsi="Calibri" w:cs="Calibri"/>
          <w:sz w:val="22"/>
          <w:szCs w:val="22"/>
          <w:lang w:val="en-US"/>
        </w:rPr>
        <w:t>eHealth</w:t>
      </w:r>
      <w:r w:rsidR="004827B6" w:rsidRPr="26F64964">
        <w:rPr>
          <w:rFonts w:ascii="Calibri" w:hAnsi="Calibri" w:cs="Calibri"/>
          <w:sz w:val="22"/>
          <w:szCs w:val="22"/>
          <w:lang w:val="en-US"/>
        </w:rPr>
        <w:t xml:space="preserve"> in transplantation</w:t>
      </w:r>
      <w:r w:rsidR="00557CEE" w:rsidRPr="26F64964">
        <w:rPr>
          <w:rFonts w:ascii="Calibri" w:hAnsi="Calibri" w:cs="Calibri"/>
          <w:sz w:val="22"/>
          <w:szCs w:val="22"/>
          <w:lang w:val="en-US"/>
        </w:rPr>
        <w:t xml:space="preserve">; </w:t>
      </w:r>
      <w:r w:rsidR="00981DA3" w:rsidRPr="26F64964">
        <w:rPr>
          <w:rFonts w:ascii="Calibri" w:hAnsi="Calibri" w:cs="Calibri"/>
          <w:sz w:val="22"/>
          <w:szCs w:val="22"/>
          <w:lang w:val="en-US"/>
        </w:rPr>
        <w:t>therefore,</w:t>
      </w:r>
      <w:r w:rsidR="00557CEE" w:rsidRPr="26F64964">
        <w:rPr>
          <w:rFonts w:ascii="Calibri" w:hAnsi="Calibri" w:cs="Calibri"/>
          <w:sz w:val="22"/>
          <w:szCs w:val="22"/>
          <w:lang w:val="en-US"/>
        </w:rPr>
        <w:t xml:space="preserve"> t</w:t>
      </w:r>
      <w:r w:rsidR="00684559" w:rsidRPr="26F64964">
        <w:rPr>
          <w:rFonts w:ascii="Calibri" w:hAnsi="Calibri" w:cs="Calibri"/>
          <w:sz w:val="22"/>
          <w:szCs w:val="22"/>
          <w:lang w:val="en-US"/>
        </w:rPr>
        <w:t xml:space="preserve">his </w:t>
      </w:r>
      <w:r w:rsidR="00A76CC3" w:rsidRPr="26F64964">
        <w:rPr>
          <w:rFonts w:ascii="Calibri" w:hAnsi="Calibri" w:cs="Calibri"/>
          <w:sz w:val="22"/>
          <w:szCs w:val="22"/>
          <w:lang w:val="en-US"/>
        </w:rPr>
        <w:t xml:space="preserve">review addresses a gap by demonstrating the </w:t>
      </w:r>
      <w:r w:rsidR="00553248" w:rsidRPr="26F64964">
        <w:rPr>
          <w:rFonts w:ascii="Calibri" w:hAnsi="Calibri" w:cs="Calibri"/>
          <w:sz w:val="22"/>
          <w:szCs w:val="22"/>
          <w:lang w:val="en-US"/>
        </w:rPr>
        <w:t xml:space="preserve">multifaceted </w:t>
      </w:r>
      <w:r w:rsidR="00272DFE" w:rsidRPr="26F64964">
        <w:rPr>
          <w:rFonts w:ascii="Calibri" w:hAnsi="Calibri" w:cs="Calibri"/>
          <w:sz w:val="22"/>
          <w:szCs w:val="22"/>
          <w:lang w:val="en-US"/>
        </w:rPr>
        <w:t xml:space="preserve">aspects </w:t>
      </w:r>
      <w:r w:rsidR="00015973" w:rsidRPr="26F64964">
        <w:rPr>
          <w:rFonts w:ascii="Calibri" w:hAnsi="Calibri" w:cs="Calibri"/>
          <w:sz w:val="22"/>
          <w:szCs w:val="22"/>
          <w:lang w:val="en-US"/>
        </w:rPr>
        <w:t xml:space="preserve">entailed in the utilization </w:t>
      </w:r>
      <w:r w:rsidR="00A62E16" w:rsidRPr="26F64964">
        <w:rPr>
          <w:rFonts w:ascii="Calibri" w:hAnsi="Calibri" w:cs="Calibri"/>
          <w:sz w:val="22"/>
          <w:szCs w:val="22"/>
          <w:lang w:val="en-US"/>
        </w:rPr>
        <w:t xml:space="preserve">and integration of </w:t>
      </w:r>
      <w:r w:rsidR="002A16D8" w:rsidRPr="26F64964">
        <w:rPr>
          <w:rFonts w:ascii="Calibri" w:hAnsi="Calibri" w:cs="Calibri"/>
          <w:sz w:val="22"/>
          <w:szCs w:val="22"/>
          <w:lang w:val="en-US"/>
        </w:rPr>
        <w:t>eHealth</w:t>
      </w:r>
      <w:r w:rsidR="00A62E16" w:rsidRPr="26F64964">
        <w:rPr>
          <w:rFonts w:ascii="Calibri" w:hAnsi="Calibri" w:cs="Calibri"/>
          <w:sz w:val="22"/>
          <w:szCs w:val="22"/>
          <w:lang w:val="en-US"/>
        </w:rPr>
        <w:t xml:space="preserve"> in transplant care. </w:t>
      </w:r>
      <w:r w:rsidR="00310AD1" w:rsidRPr="26F64964">
        <w:rPr>
          <w:rFonts w:ascii="Calibri" w:hAnsi="Calibri" w:cs="Calibri"/>
          <w:sz w:val="22"/>
          <w:szCs w:val="22"/>
        </w:rPr>
        <w:t xml:space="preserve">This chapter provides </w:t>
      </w:r>
      <w:r w:rsidR="00310AD1" w:rsidRPr="26F64964">
        <w:rPr>
          <w:rFonts w:ascii="Calibri" w:hAnsi="Calibri" w:cs="Calibri"/>
          <w:sz w:val="22"/>
          <w:szCs w:val="22"/>
          <w:highlight w:val="white"/>
        </w:rPr>
        <w:t xml:space="preserve">a </w:t>
      </w:r>
      <w:r w:rsidR="00432C43" w:rsidRPr="26F64964">
        <w:rPr>
          <w:rFonts w:ascii="Calibri" w:hAnsi="Calibri" w:cs="Calibri"/>
          <w:sz w:val="22"/>
          <w:szCs w:val="22"/>
          <w:highlight w:val="white"/>
        </w:rPr>
        <w:t xml:space="preserve">detailed </w:t>
      </w:r>
      <w:r w:rsidR="00873331" w:rsidRPr="26F64964">
        <w:rPr>
          <w:rFonts w:ascii="Calibri" w:hAnsi="Calibri" w:cs="Calibri"/>
          <w:sz w:val="22"/>
          <w:szCs w:val="22"/>
          <w:highlight w:val="white"/>
        </w:rPr>
        <w:t xml:space="preserve">discussion </w:t>
      </w:r>
      <w:r w:rsidR="004A4E39" w:rsidRPr="26F64964">
        <w:rPr>
          <w:rFonts w:ascii="Calibri" w:hAnsi="Calibri" w:cs="Calibri"/>
          <w:sz w:val="22"/>
          <w:szCs w:val="22"/>
          <w:highlight w:val="white"/>
        </w:rPr>
        <w:t xml:space="preserve">of </w:t>
      </w:r>
      <w:r w:rsidR="00310AD1" w:rsidRPr="26F64964">
        <w:rPr>
          <w:rFonts w:ascii="Calibri" w:hAnsi="Calibri" w:cs="Calibri"/>
          <w:sz w:val="22"/>
          <w:szCs w:val="22"/>
          <w:highlight w:val="white"/>
        </w:rPr>
        <w:t>the</w:t>
      </w:r>
      <w:r w:rsidR="00310AD1" w:rsidRPr="26F64964">
        <w:rPr>
          <w:rFonts w:ascii="Calibri" w:hAnsi="Calibri" w:cs="Calibri"/>
          <w:sz w:val="22"/>
          <w:szCs w:val="22"/>
        </w:rPr>
        <w:t xml:space="preserve"> advantages, obstacles and future prospects of </w:t>
      </w:r>
      <w:r w:rsidR="002A16D8" w:rsidRPr="26F64964">
        <w:rPr>
          <w:rFonts w:ascii="Calibri" w:hAnsi="Calibri" w:cs="Calibri"/>
          <w:sz w:val="22"/>
          <w:szCs w:val="22"/>
        </w:rPr>
        <w:t>eHealth</w:t>
      </w:r>
      <w:r w:rsidR="00310AD1" w:rsidRPr="26F64964">
        <w:rPr>
          <w:rFonts w:ascii="Calibri" w:hAnsi="Calibri" w:cs="Calibri"/>
          <w:sz w:val="22"/>
          <w:szCs w:val="22"/>
        </w:rPr>
        <w:t xml:space="preserve"> in transplantation. </w:t>
      </w:r>
      <w:r w:rsidR="00D469F4" w:rsidRPr="26F64964">
        <w:rPr>
          <w:rFonts w:ascii="Calibri" w:hAnsi="Calibri" w:cs="Calibri"/>
          <w:sz w:val="22"/>
          <w:szCs w:val="22"/>
        </w:rPr>
        <w:t>As mentioned in Chapter 4, t</w:t>
      </w:r>
      <w:r w:rsidR="00310AD1" w:rsidRPr="26F64964">
        <w:rPr>
          <w:rFonts w:ascii="Calibri" w:hAnsi="Calibri" w:cs="Calibri"/>
          <w:sz w:val="22"/>
          <w:szCs w:val="22"/>
        </w:rPr>
        <w:t>his study has identified four main themes</w:t>
      </w:r>
      <w:r w:rsidR="00D469F4" w:rsidRPr="26F64964">
        <w:rPr>
          <w:rFonts w:ascii="Calibri" w:hAnsi="Calibri" w:cs="Calibri"/>
          <w:sz w:val="22"/>
          <w:szCs w:val="22"/>
        </w:rPr>
        <w:t xml:space="preserve"> including</w:t>
      </w:r>
      <w:r w:rsidR="00310AD1" w:rsidRPr="26F64964">
        <w:rPr>
          <w:rFonts w:ascii="Calibri" w:hAnsi="Calibri" w:cs="Calibri"/>
          <w:sz w:val="22"/>
          <w:szCs w:val="22"/>
        </w:rPr>
        <w:t xml:space="preserve"> (1) barriers </w:t>
      </w:r>
      <w:r w:rsidR="00964178" w:rsidRPr="26F64964">
        <w:rPr>
          <w:rFonts w:ascii="Calibri" w:hAnsi="Calibri" w:cs="Calibri"/>
          <w:sz w:val="22"/>
          <w:szCs w:val="22"/>
        </w:rPr>
        <w:t xml:space="preserve">to </w:t>
      </w:r>
      <w:r w:rsidR="00310AD1" w:rsidRPr="26F64964">
        <w:rPr>
          <w:rFonts w:ascii="Calibri" w:hAnsi="Calibri" w:cs="Calibri"/>
          <w:sz w:val="22"/>
          <w:szCs w:val="22"/>
        </w:rPr>
        <w:t xml:space="preserve">using digital health devices, (2) benefits of using health devices, (3) </w:t>
      </w:r>
      <w:r w:rsidR="00964178" w:rsidRPr="26F64964">
        <w:rPr>
          <w:rFonts w:ascii="Calibri" w:hAnsi="Calibri" w:cs="Calibri"/>
          <w:sz w:val="22"/>
          <w:szCs w:val="22"/>
        </w:rPr>
        <w:t xml:space="preserve">the </w:t>
      </w:r>
      <w:r w:rsidR="00310AD1" w:rsidRPr="26F64964">
        <w:rPr>
          <w:rFonts w:ascii="Calibri" w:hAnsi="Calibri" w:cs="Calibri"/>
          <w:sz w:val="22"/>
          <w:szCs w:val="22"/>
        </w:rPr>
        <w:t>process of development of digital health,</w:t>
      </w:r>
      <w:r w:rsidR="00D469F4" w:rsidRPr="26F64964">
        <w:rPr>
          <w:rFonts w:ascii="Calibri" w:hAnsi="Calibri" w:cs="Calibri"/>
          <w:sz w:val="22"/>
          <w:szCs w:val="22"/>
        </w:rPr>
        <w:t xml:space="preserve"> and</w:t>
      </w:r>
      <w:r w:rsidR="00310AD1" w:rsidRPr="26F64964">
        <w:rPr>
          <w:rFonts w:ascii="Calibri" w:hAnsi="Calibri" w:cs="Calibri"/>
          <w:sz w:val="22"/>
          <w:szCs w:val="22"/>
        </w:rPr>
        <w:t xml:space="preserve"> (4) users of digital health. </w:t>
      </w:r>
    </w:p>
    <w:p w14:paraId="0752D09D" w14:textId="3825AE25" w:rsidR="00310AD1" w:rsidRDefault="002E623D" w:rsidP="00310AD1">
      <w:pPr>
        <w:pStyle w:val="Heading3"/>
        <w:jc w:val="left"/>
        <w:rPr>
          <w:color w:val="auto"/>
          <w:lang w:val="en-US"/>
        </w:rPr>
      </w:pPr>
      <w:bookmarkStart w:id="42" w:name="_Toc166854006"/>
      <w:r>
        <w:rPr>
          <w:lang w:val="en-US"/>
        </w:rPr>
        <w:t xml:space="preserve">5.1.1 </w:t>
      </w:r>
      <w:r w:rsidR="00EA56C7">
        <w:rPr>
          <w:lang w:val="en-US"/>
        </w:rPr>
        <w:t>Barriers</w:t>
      </w:r>
      <w:r w:rsidR="00FE264C">
        <w:rPr>
          <w:lang w:val="en-US"/>
        </w:rPr>
        <w:t xml:space="preserve"> </w:t>
      </w:r>
      <w:r w:rsidR="00A472EE">
        <w:rPr>
          <w:lang w:val="en-US"/>
        </w:rPr>
        <w:t>of using digital health devices</w:t>
      </w:r>
      <w:bookmarkEnd w:id="42"/>
    </w:p>
    <w:p w14:paraId="44888442" w14:textId="57FE1CBA" w:rsidR="00A46AD9" w:rsidRPr="003D1D45" w:rsidRDefault="00A00297" w:rsidP="003D1D45">
      <w:pPr>
        <w:spacing w:line="360" w:lineRule="auto"/>
        <w:jc w:val="both"/>
        <w:rPr>
          <w:rFonts w:asciiTheme="minorHAnsi" w:eastAsia="Times New Roman" w:hAnsiTheme="minorHAnsi" w:cstheme="minorHAnsi"/>
          <w:lang w:val="en-GB" w:eastAsia="en-GB"/>
        </w:rPr>
      </w:pPr>
      <w:r w:rsidRPr="00D52DD5">
        <w:rPr>
          <w:rFonts w:asciiTheme="minorHAnsi" w:hAnsiTheme="minorHAnsi" w:cstheme="minorHAnsi"/>
          <w:lang w:val="en-US"/>
        </w:rPr>
        <w:t xml:space="preserve">This discussion </w:t>
      </w:r>
      <w:r w:rsidR="008955FC" w:rsidRPr="00D52DD5">
        <w:rPr>
          <w:rFonts w:asciiTheme="minorHAnsi" w:hAnsiTheme="minorHAnsi" w:cstheme="minorHAnsi"/>
          <w:lang w:val="en-US"/>
        </w:rPr>
        <w:t>section addresses</w:t>
      </w:r>
      <w:r w:rsidR="00E2035B" w:rsidRPr="00D52DD5">
        <w:rPr>
          <w:rFonts w:asciiTheme="minorHAnsi" w:hAnsiTheme="minorHAnsi" w:cstheme="minorHAnsi"/>
          <w:lang w:val="en-US"/>
        </w:rPr>
        <w:t xml:space="preserve"> points related </w:t>
      </w:r>
      <w:r w:rsidRPr="00D52DD5">
        <w:rPr>
          <w:rFonts w:asciiTheme="minorHAnsi" w:hAnsiTheme="minorHAnsi" w:cstheme="minorHAnsi"/>
          <w:lang w:val="en-US"/>
        </w:rPr>
        <w:t xml:space="preserve">to </w:t>
      </w:r>
      <w:r w:rsidR="008658DF" w:rsidRPr="00D52DD5">
        <w:rPr>
          <w:rFonts w:asciiTheme="minorHAnsi" w:hAnsiTheme="minorHAnsi" w:cstheme="minorHAnsi"/>
          <w:lang w:val="en-US"/>
        </w:rPr>
        <w:t>th</w:t>
      </w:r>
      <w:r w:rsidR="00A76C0B" w:rsidRPr="00D52DD5">
        <w:rPr>
          <w:rFonts w:asciiTheme="minorHAnsi" w:hAnsiTheme="minorHAnsi" w:cstheme="minorHAnsi"/>
          <w:lang w:val="en-US"/>
        </w:rPr>
        <w:t>e</w:t>
      </w:r>
      <w:r w:rsidR="00A76C0B" w:rsidRPr="00D52DD5">
        <w:rPr>
          <w:rStyle w:val="CommentReference"/>
          <w:rFonts w:asciiTheme="minorHAnsi" w:hAnsiTheme="minorHAnsi" w:cstheme="minorHAnsi"/>
          <w:sz w:val="22"/>
          <w:szCs w:val="22"/>
        </w:rPr>
        <w:t xml:space="preserve"> r</w:t>
      </w:r>
      <w:r w:rsidR="00964178">
        <w:rPr>
          <w:rStyle w:val="CommentReference"/>
          <w:rFonts w:asciiTheme="minorHAnsi" w:hAnsiTheme="minorHAnsi" w:cstheme="minorHAnsi"/>
          <w:sz w:val="22"/>
          <w:szCs w:val="22"/>
        </w:rPr>
        <w:t>e</w:t>
      </w:r>
      <w:r w:rsidR="008658DF" w:rsidRPr="00D52DD5">
        <w:rPr>
          <w:rFonts w:asciiTheme="minorHAnsi" w:hAnsiTheme="minorHAnsi" w:cstheme="minorHAnsi"/>
          <w:lang w:val="en-US"/>
        </w:rPr>
        <w:t>search question</w:t>
      </w:r>
      <w:r w:rsidR="00011ECC" w:rsidRPr="00D52DD5">
        <w:rPr>
          <w:rFonts w:asciiTheme="minorHAnsi" w:hAnsiTheme="minorHAnsi" w:cstheme="minorHAnsi"/>
          <w:lang w:val="en-US"/>
        </w:rPr>
        <w:t>:</w:t>
      </w:r>
      <w:r w:rsidR="00473D46" w:rsidRPr="00D52DD5">
        <w:rPr>
          <w:rFonts w:asciiTheme="minorHAnsi" w:hAnsiTheme="minorHAnsi" w:cstheme="minorHAnsi"/>
          <w:lang w:val="en-US"/>
        </w:rPr>
        <w:t xml:space="preserve"> </w:t>
      </w:r>
      <w:r w:rsidR="008658DF" w:rsidRPr="00D52DD5">
        <w:rPr>
          <w:rFonts w:asciiTheme="minorHAnsi" w:hAnsiTheme="minorHAnsi" w:cstheme="minorHAnsi"/>
          <w:lang w:val="en-US"/>
        </w:rPr>
        <w:t>“</w:t>
      </w:r>
      <w:r w:rsidR="00473D46" w:rsidRPr="00D52DD5">
        <w:rPr>
          <w:rFonts w:asciiTheme="minorHAnsi" w:eastAsia="Times New Roman" w:hAnsiTheme="minorHAnsi" w:cstheme="minorHAnsi"/>
          <w:lang w:val="en-GB" w:eastAsia="en-GB"/>
        </w:rPr>
        <w:t>What are the predominant barriers hindering widespread adoption of digital health tools among different user groups (e.g., patients, healthcare providers)?”</w:t>
      </w:r>
      <w:r w:rsidR="00274E29">
        <w:rPr>
          <w:rFonts w:asciiTheme="minorHAnsi" w:eastAsia="Times New Roman" w:hAnsiTheme="minorHAnsi" w:cstheme="minorHAnsi"/>
          <w:lang w:val="en-GB" w:eastAsia="en-GB"/>
        </w:rPr>
        <w:t xml:space="preserve">. </w:t>
      </w:r>
    </w:p>
    <w:p w14:paraId="0F19BFCD" w14:textId="75A2DC2E" w:rsidR="00310AD1" w:rsidRDefault="00310AD1" w:rsidP="00310AD1">
      <w:pPr>
        <w:pStyle w:val="NormalWeb"/>
        <w:spacing w:before="0" w:beforeAutospacing="0" w:after="0" w:afterAutospacing="0" w:line="360" w:lineRule="auto"/>
        <w:jc w:val="both"/>
        <w:rPr>
          <w:rFonts w:ascii="Calibri" w:hAnsi="Calibri" w:cs="Calibri"/>
          <w:sz w:val="22"/>
          <w:szCs w:val="22"/>
          <w:lang w:val="en-US"/>
        </w:rPr>
      </w:pPr>
      <w:r>
        <w:rPr>
          <w:rFonts w:ascii="Calibri" w:hAnsi="Calibri" w:cs="Calibri"/>
          <w:sz w:val="22"/>
          <w:szCs w:val="22"/>
          <w:lang w:val="en-US"/>
        </w:rPr>
        <w:t>In terms of barriers to using digital health devices, this study identified three categories of barriers</w:t>
      </w:r>
      <w:r w:rsidR="00724CE4">
        <w:rPr>
          <w:rFonts w:ascii="Calibri" w:hAnsi="Calibri" w:cs="Calibri"/>
          <w:sz w:val="22"/>
          <w:szCs w:val="22"/>
          <w:lang w:val="en-US"/>
        </w:rPr>
        <w:t xml:space="preserve"> including</w:t>
      </w:r>
      <w:r>
        <w:rPr>
          <w:rFonts w:ascii="Calibri" w:hAnsi="Calibri" w:cs="Calibri"/>
          <w:sz w:val="22"/>
          <w:szCs w:val="22"/>
          <w:lang w:val="en-US"/>
        </w:rPr>
        <w:t xml:space="preserve"> knowledge and </w:t>
      </w:r>
      <w:r w:rsidRPr="00D33C9F">
        <w:rPr>
          <w:rFonts w:ascii="Calibri" w:hAnsi="Calibri" w:cs="Calibri"/>
          <w:sz w:val="22"/>
          <w:szCs w:val="22"/>
          <w:lang w:val="en-US"/>
        </w:rPr>
        <w:t>access barriers, usability and implementation challenges</w:t>
      </w:r>
      <w:r w:rsidR="00724CE4" w:rsidRPr="00D33C9F">
        <w:rPr>
          <w:rFonts w:ascii="Calibri" w:hAnsi="Calibri" w:cs="Calibri"/>
          <w:sz w:val="22"/>
          <w:szCs w:val="22"/>
          <w:lang w:val="en-US"/>
        </w:rPr>
        <w:t>,</w:t>
      </w:r>
      <w:r w:rsidRPr="00D33C9F">
        <w:rPr>
          <w:rFonts w:ascii="Calibri" w:hAnsi="Calibri" w:cs="Calibri"/>
          <w:sz w:val="22"/>
          <w:szCs w:val="22"/>
          <w:lang w:val="en-US"/>
        </w:rPr>
        <w:t xml:space="preserve"> and user experience and trust issues</w:t>
      </w:r>
      <w:r w:rsidR="00274E29" w:rsidRPr="00D33C9F">
        <w:rPr>
          <w:rFonts w:ascii="Calibri" w:hAnsi="Calibri" w:cs="Calibri"/>
          <w:sz w:val="22"/>
          <w:szCs w:val="22"/>
          <w:lang w:val="en-US"/>
        </w:rPr>
        <w:t xml:space="preserve"> (refers to </w:t>
      </w:r>
      <w:r w:rsidR="00A20D58" w:rsidRPr="00D33C9F">
        <w:rPr>
          <w:rFonts w:ascii="Calibri" w:hAnsi="Calibri" w:cs="Calibri"/>
          <w:sz w:val="22"/>
          <w:szCs w:val="22"/>
          <w:lang w:val="en-US"/>
        </w:rPr>
        <w:t>expected outcome 2.a and 2.b)</w:t>
      </w:r>
      <w:r w:rsidRPr="00D33C9F">
        <w:rPr>
          <w:rFonts w:ascii="Calibri" w:hAnsi="Calibri" w:cs="Calibri"/>
          <w:sz w:val="22"/>
          <w:szCs w:val="22"/>
          <w:lang w:val="en-US"/>
        </w:rPr>
        <w:t xml:space="preserve">. These </w:t>
      </w:r>
      <w:r>
        <w:rPr>
          <w:rFonts w:ascii="Calibri" w:hAnsi="Calibri" w:cs="Calibri"/>
          <w:sz w:val="22"/>
          <w:szCs w:val="22"/>
          <w:lang w:val="en-US"/>
        </w:rPr>
        <w:t xml:space="preserve">three categories indicate interconnectedness and highlight a chain reaction, where problems within one category will induce problems in another. </w:t>
      </w:r>
    </w:p>
    <w:p w14:paraId="69DFC7C1" w14:textId="1C731E38" w:rsidR="00310AD1" w:rsidRDefault="00310AD1" w:rsidP="00310AD1">
      <w:pPr>
        <w:pStyle w:val="NormalWeb"/>
        <w:spacing w:before="0" w:beforeAutospacing="0" w:after="0" w:afterAutospacing="0" w:line="360" w:lineRule="auto"/>
        <w:jc w:val="both"/>
        <w:rPr>
          <w:rFonts w:ascii="Calibri" w:hAnsi="Calibri" w:cs="Calibri"/>
          <w:sz w:val="22"/>
          <w:szCs w:val="22"/>
          <w:lang w:val="en-US"/>
        </w:rPr>
      </w:pPr>
    </w:p>
    <w:p w14:paraId="452F6B55" w14:textId="6590F63A" w:rsidR="00310AD1" w:rsidRDefault="00310AD1" w:rsidP="00310AD1">
      <w:pPr>
        <w:pStyle w:val="NormalWeb"/>
        <w:spacing w:before="0" w:beforeAutospacing="0" w:after="0" w:afterAutospacing="0" w:line="360" w:lineRule="auto"/>
        <w:jc w:val="both"/>
        <w:rPr>
          <w:rFonts w:ascii="Calibri" w:hAnsi="Calibri" w:cs="Calibri"/>
          <w:sz w:val="22"/>
          <w:szCs w:val="22"/>
          <w:lang w:val="en-US"/>
        </w:rPr>
      </w:pPr>
      <w:r>
        <w:rPr>
          <w:rFonts w:ascii="Calibri" w:hAnsi="Calibri" w:cs="Calibri"/>
          <w:sz w:val="22"/>
          <w:szCs w:val="22"/>
          <w:lang w:val="en-US"/>
        </w:rPr>
        <w:t>In the case of knowledge and access barriers, poor IT literacy can exacerbate usability challenges. If users need more understanding or training on how to use devices/software, usability challenges become more prominent. Limited access to adequate resources, such as appropriate internet connection, can hinder the successful use and integration of digital tools. Difficulties in using technology directly impact user experience. Complex interfaces or functionalities often result in poor user experiences, which can trigger trust issues. Negative user experiences can reinforce knowledge barriers. If someone has a bad experience with technology, they might be less inclined to invest time learning about it or exploring its capabilities.</w:t>
      </w:r>
      <w:r w:rsidR="009435B5">
        <w:rPr>
          <w:rFonts w:ascii="Calibri" w:hAnsi="Calibri" w:cs="Calibri"/>
          <w:sz w:val="22"/>
          <w:szCs w:val="22"/>
          <w:lang w:val="en-US"/>
        </w:rPr>
        <w:t xml:space="preserve"> </w:t>
      </w:r>
      <w:r>
        <w:rPr>
          <w:rFonts w:ascii="Calibri" w:hAnsi="Calibri" w:cs="Calibri"/>
          <w:sz w:val="22"/>
          <w:szCs w:val="22"/>
          <w:lang w:val="en-US"/>
        </w:rPr>
        <w:t xml:space="preserve">Concerns about trust </w:t>
      </w:r>
      <w:r>
        <w:rPr>
          <w:rFonts w:ascii="Calibri" w:hAnsi="Calibri" w:cs="Calibri"/>
          <w:sz w:val="22"/>
          <w:szCs w:val="22"/>
          <w:lang w:val="en-US"/>
        </w:rPr>
        <w:lastRenderedPageBreak/>
        <w:t>and security</w:t>
      </w:r>
      <w:r w:rsidR="00E436A6">
        <w:rPr>
          <w:rFonts w:ascii="Calibri" w:hAnsi="Calibri" w:cs="Calibri"/>
          <w:sz w:val="22"/>
          <w:szCs w:val="22"/>
          <w:lang w:val="en-US"/>
        </w:rPr>
        <w:t>,</w:t>
      </w:r>
      <w:r>
        <w:rPr>
          <w:rFonts w:ascii="Calibri" w:hAnsi="Calibri" w:cs="Calibri"/>
          <w:sz w:val="22"/>
          <w:szCs w:val="22"/>
          <w:lang w:val="en-US"/>
        </w:rPr>
        <w:t xml:space="preserve"> limit access. Users might refrain from using specific devices or platforms due to trust issues, affecting their access to technology.</w:t>
      </w:r>
    </w:p>
    <w:p w14:paraId="55AF26AF" w14:textId="77777777" w:rsidR="00A20D58" w:rsidRDefault="00A20D58" w:rsidP="00310AD1">
      <w:pPr>
        <w:pStyle w:val="NormalWeb"/>
        <w:spacing w:before="0" w:beforeAutospacing="0" w:after="0" w:afterAutospacing="0" w:line="360" w:lineRule="auto"/>
        <w:jc w:val="both"/>
        <w:rPr>
          <w:rFonts w:ascii="Calibri" w:hAnsi="Calibri" w:cs="Calibri"/>
          <w:sz w:val="22"/>
          <w:szCs w:val="22"/>
          <w:lang w:val="en-US"/>
        </w:rPr>
      </w:pPr>
    </w:p>
    <w:p w14:paraId="32E8DEE8" w14:textId="0C73930D" w:rsidR="008E333F" w:rsidRDefault="00310AD1" w:rsidP="00310AD1">
      <w:pPr>
        <w:pStyle w:val="NormalWeb"/>
        <w:spacing w:before="0" w:beforeAutospacing="0" w:after="0" w:afterAutospacing="0" w:line="360" w:lineRule="auto"/>
        <w:jc w:val="both"/>
        <w:rPr>
          <w:rFonts w:ascii="Calibri" w:hAnsi="Calibri" w:cs="Calibri"/>
          <w:sz w:val="22"/>
          <w:szCs w:val="22"/>
          <w:lang w:val="en-US"/>
        </w:rPr>
      </w:pPr>
      <w:r>
        <w:rPr>
          <w:rFonts w:ascii="Calibri" w:hAnsi="Calibri" w:cs="Calibri"/>
          <w:sz w:val="22"/>
          <w:szCs w:val="22"/>
          <w:lang w:val="en-US"/>
        </w:rPr>
        <w:t>Addressing one category of barriers involves considering and mitigating aspects from the other categories. For instance, improving user experience might involve simplifying usability, addressing knowledge gaps through education or training, and fostering trust by enhancing security measures. Ultimately, overcoming barriers to digital devices requires a holistic approach that considers the interconnected nature of these challenges and seeks comprehensive solutions to improve technology adoption and usage.</w:t>
      </w:r>
    </w:p>
    <w:p w14:paraId="09C8C917" w14:textId="2CD5C07B" w:rsidR="00310AD1" w:rsidRDefault="002E623D" w:rsidP="00310AD1">
      <w:pPr>
        <w:pStyle w:val="Heading3"/>
        <w:jc w:val="left"/>
        <w:rPr>
          <w:lang w:val="en-US"/>
        </w:rPr>
      </w:pPr>
      <w:bookmarkStart w:id="43" w:name="_Toc166854007"/>
      <w:r>
        <w:rPr>
          <w:lang w:val="en-US"/>
        </w:rPr>
        <w:t xml:space="preserve">5.1.2 </w:t>
      </w:r>
      <w:r w:rsidR="00094022">
        <w:rPr>
          <w:lang w:val="en-US"/>
        </w:rPr>
        <w:t>B</w:t>
      </w:r>
      <w:r w:rsidR="00EA56C7">
        <w:rPr>
          <w:lang w:val="en-US"/>
        </w:rPr>
        <w:t>enefits</w:t>
      </w:r>
      <w:r w:rsidR="00360FD4">
        <w:rPr>
          <w:lang w:val="en-US"/>
        </w:rPr>
        <w:t xml:space="preserve"> of using digital health devices</w:t>
      </w:r>
      <w:bookmarkEnd w:id="43"/>
    </w:p>
    <w:p w14:paraId="2657C080" w14:textId="7520C7F5" w:rsidR="00360FD4" w:rsidRPr="0022646B" w:rsidRDefault="00764B07" w:rsidP="00B55CBC">
      <w:pPr>
        <w:spacing w:line="240" w:lineRule="auto"/>
        <w:jc w:val="both"/>
        <w:rPr>
          <w:rFonts w:ascii="Calibri" w:eastAsia="Times New Roman" w:hAnsi="Calibri" w:cs="Calibri"/>
          <w:lang w:val="en-GB" w:eastAsia="en-GB"/>
        </w:rPr>
      </w:pPr>
      <w:r w:rsidRPr="26F64964">
        <w:rPr>
          <w:rFonts w:ascii="Calibri" w:hAnsi="Calibri" w:cs="Calibri"/>
          <w:lang w:val="en-US"/>
        </w:rPr>
        <w:t xml:space="preserve">In this section, we </w:t>
      </w:r>
      <w:r w:rsidR="005704F8" w:rsidRPr="26F64964">
        <w:rPr>
          <w:rFonts w:ascii="Calibri" w:hAnsi="Calibri" w:cs="Calibri"/>
          <w:lang w:val="en-US"/>
        </w:rPr>
        <w:t xml:space="preserve">discuss </w:t>
      </w:r>
      <w:r w:rsidR="005704F8" w:rsidRPr="26F64964">
        <w:rPr>
          <w:rFonts w:ascii="Calibri" w:hAnsi="Calibri" w:cs="Calibri"/>
          <w:highlight w:val="white"/>
          <w:lang w:val="en-US"/>
        </w:rPr>
        <w:t xml:space="preserve">the answers </w:t>
      </w:r>
      <w:r w:rsidR="00964178" w:rsidRPr="26F64964">
        <w:rPr>
          <w:rFonts w:ascii="Calibri" w:hAnsi="Calibri" w:cs="Calibri"/>
          <w:highlight w:val="white"/>
          <w:lang w:val="en-US"/>
        </w:rPr>
        <w:t xml:space="preserve">to </w:t>
      </w:r>
      <w:r w:rsidR="005704F8" w:rsidRPr="26F64964">
        <w:rPr>
          <w:rFonts w:ascii="Calibri" w:hAnsi="Calibri" w:cs="Calibri"/>
          <w:highlight w:val="white"/>
          <w:lang w:val="en-US"/>
        </w:rPr>
        <w:t xml:space="preserve">the </w:t>
      </w:r>
      <w:r w:rsidR="00360FD4" w:rsidRPr="26F64964">
        <w:rPr>
          <w:rFonts w:ascii="Calibri" w:hAnsi="Calibri" w:cs="Calibri"/>
          <w:highlight w:val="white"/>
          <w:lang w:val="en-US"/>
        </w:rPr>
        <w:t>research question</w:t>
      </w:r>
      <w:r w:rsidR="005704F8" w:rsidRPr="0022646B">
        <w:rPr>
          <w:rFonts w:ascii="Calibri" w:hAnsi="Calibri" w:cs="Calibri"/>
          <w:highlight w:val="white"/>
          <w:lang w:val="en-US"/>
        </w:rPr>
        <w:t>:</w:t>
      </w:r>
      <w:r w:rsidR="00360FD4" w:rsidRPr="0022646B">
        <w:rPr>
          <w:rFonts w:ascii="Calibri" w:hAnsi="Calibri" w:cs="Calibri"/>
          <w:highlight w:val="white"/>
          <w:lang w:val="en-US"/>
        </w:rPr>
        <w:t xml:space="preserve"> </w:t>
      </w:r>
      <w:r w:rsidR="0057285B" w:rsidRPr="0022646B">
        <w:rPr>
          <w:rFonts w:ascii="Calibri" w:hAnsi="Calibri" w:cs="Calibri"/>
          <w:lang w:val="en-US"/>
        </w:rPr>
        <w:t>“How do digital health tools support or inhibit health outcomes among transplant patients?”</w:t>
      </w:r>
    </w:p>
    <w:p w14:paraId="51B6FAAA" w14:textId="318374C8" w:rsidR="003D1D45" w:rsidRPr="00D33C9F" w:rsidRDefault="003D1D45" w:rsidP="00310AD1">
      <w:pPr>
        <w:pStyle w:val="NormalWeb"/>
        <w:spacing w:before="0" w:beforeAutospacing="0" w:after="0" w:afterAutospacing="0" w:line="360" w:lineRule="auto"/>
        <w:jc w:val="both"/>
        <w:rPr>
          <w:rFonts w:ascii="Calibri" w:hAnsi="Calibri" w:cs="Calibri"/>
          <w:sz w:val="22"/>
          <w:szCs w:val="22"/>
          <w:lang w:val="en-US"/>
        </w:rPr>
      </w:pPr>
      <w:r w:rsidRPr="00D33C9F">
        <w:rPr>
          <w:rFonts w:ascii="Calibri" w:hAnsi="Calibri" w:cs="Calibri"/>
          <w:sz w:val="22"/>
          <w:szCs w:val="22"/>
          <w:lang w:val="en-US"/>
        </w:rPr>
        <w:t xml:space="preserve">Based on the findings we identified eight main eHealth tools used in transplant pre-post care including: Telehealth, </w:t>
      </w:r>
      <w:proofErr w:type="spellStart"/>
      <w:r w:rsidRPr="00D33C9F">
        <w:rPr>
          <w:rFonts w:ascii="Calibri" w:hAnsi="Calibri" w:cs="Calibri"/>
          <w:sz w:val="22"/>
          <w:szCs w:val="22"/>
          <w:lang w:val="en-US"/>
        </w:rPr>
        <w:t>Mhealth</w:t>
      </w:r>
      <w:proofErr w:type="spellEnd"/>
      <w:r w:rsidRPr="00D33C9F">
        <w:rPr>
          <w:rFonts w:ascii="Calibri" w:hAnsi="Calibri" w:cs="Calibri"/>
          <w:sz w:val="22"/>
          <w:szCs w:val="22"/>
          <w:lang w:val="en-US"/>
        </w:rPr>
        <w:t xml:space="preserve">, Electronic App/Devices, Emerging Technologies (e.g., AI, Wearables), </w:t>
      </w:r>
      <w:proofErr w:type="spellStart"/>
      <w:r w:rsidRPr="00D33C9F">
        <w:rPr>
          <w:rFonts w:ascii="Calibri" w:hAnsi="Calibri" w:cs="Calibri"/>
          <w:sz w:val="22"/>
          <w:szCs w:val="22"/>
          <w:lang w:val="en-US"/>
        </w:rPr>
        <w:t>Telemedicne</w:t>
      </w:r>
      <w:proofErr w:type="spellEnd"/>
      <w:r w:rsidRPr="00D33C9F">
        <w:rPr>
          <w:rFonts w:ascii="Calibri" w:hAnsi="Calibri" w:cs="Calibri"/>
          <w:sz w:val="22"/>
          <w:szCs w:val="22"/>
          <w:lang w:val="en-US"/>
        </w:rPr>
        <w:t xml:space="preserve">, Web-based Portals, Others (Health information technology and Interactive health technology) (refers to the research question 1 – expected outcome 1.a). </w:t>
      </w:r>
    </w:p>
    <w:p w14:paraId="4D807A23" w14:textId="77777777" w:rsidR="003D1D45" w:rsidRPr="00D33C9F" w:rsidRDefault="003D1D45" w:rsidP="00310AD1">
      <w:pPr>
        <w:pStyle w:val="NormalWeb"/>
        <w:spacing w:before="0" w:beforeAutospacing="0" w:after="0" w:afterAutospacing="0" w:line="360" w:lineRule="auto"/>
        <w:jc w:val="both"/>
        <w:rPr>
          <w:rFonts w:ascii="Calibri" w:hAnsi="Calibri" w:cs="Calibri"/>
          <w:sz w:val="22"/>
          <w:szCs w:val="22"/>
          <w:lang w:val="en-US"/>
        </w:rPr>
      </w:pPr>
    </w:p>
    <w:p w14:paraId="35A7752B" w14:textId="1303A714" w:rsidR="00310AD1" w:rsidRDefault="00310AD1" w:rsidP="00310AD1">
      <w:pPr>
        <w:pStyle w:val="NormalWeb"/>
        <w:spacing w:before="0" w:beforeAutospacing="0" w:after="0" w:afterAutospacing="0" w:line="360" w:lineRule="auto"/>
        <w:jc w:val="both"/>
        <w:rPr>
          <w:rFonts w:ascii="Calibri" w:hAnsi="Calibri" w:cs="Calibri"/>
          <w:sz w:val="22"/>
          <w:szCs w:val="22"/>
          <w:lang w:val="en-GB"/>
        </w:rPr>
      </w:pPr>
      <w:r w:rsidRPr="00D33C9F">
        <w:rPr>
          <w:rFonts w:ascii="Calibri" w:hAnsi="Calibri" w:cs="Calibri"/>
          <w:sz w:val="22"/>
          <w:szCs w:val="22"/>
          <w:lang w:val="en-US"/>
        </w:rPr>
        <w:t>This study identified four categories of benefits associated with using health devices</w:t>
      </w:r>
      <w:r w:rsidR="000C76D7" w:rsidRPr="00D33C9F">
        <w:rPr>
          <w:rFonts w:ascii="Calibri" w:hAnsi="Calibri" w:cs="Calibri"/>
          <w:sz w:val="22"/>
          <w:szCs w:val="22"/>
          <w:lang w:val="en-US"/>
        </w:rPr>
        <w:t xml:space="preserve"> for transplantation pre and post care</w:t>
      </w:r>
      <w:r w:rsidR="00A65FF4" w:rsidRPr="00D33C9F">
        <w:rPr>
          <w:rFonts w:ascii="Calibri" w:hAnsi="Calibri" w:cs="Calibri"/>
          <w:sz w:val="22"/>
          <w:szCs w:val="22"/>
          <w:lang w:val="en-US"/>
        </w:rPr>
        <w:t xml:space="preserve"> including</w:t>
      </w:r>
      <w:r w:rsidRPr="00D33C9F">
        <w:rPr>
          <w:rFonts w:ascii="Calibri" w:hAnsi="Calibri" w:cs="Calibri"/>
          <w:sz w:val="22"/>
          <w:szCs w:val="22"/>
          <w:lang w:val="en-US"/>
        </w:rPr>
        <w:t xml:space="preserve"> </w:t>
      </w:r>
      <w:r w:rsidR="008421C6" w:rsidRPr="00D33C9F">
        <w:rPr>
          <w:rFonts w:ascii="Calibri" w:hAnsi="Calibri" w:cs="Calibri"/>
          <w:sz w:val="22"/>
          <w:szCs w:val="22"/>
          <w:lang w:val="en-US"/>
        </w:rPr>
        <w:t>improvement in</w:t>
      </w:r>
      <w:r w:rsidRPr="00D33C9F">
        <w:rPr>
          <w:rFonts w:ascii="Calibri" w:hAnsi="Calibri" w:cs="Calibri"/>
          <w:sz w:val="22"/>
          <w:szCs w:val="22"/>
          <w:lang w:val="en-US"/>
        </w:rPr>
        <w:t xml:space="preserve"> patient care and engagements, convenience and accessibility, empowerment and safety</w:t>
      </w:r>
      <w:r w:rsidR="008421C6" w:rsidRPr="00D33C9F">
        <w:rPr>
          <w:rFonts w:ascii="Calibri" w:hAnsi="Calibri" w:cs="Calibri"/>
          <w:sz w:val="22"/>
          <w:szCs w:val="22"/>
          <w:lang w:val="en-US"/>
        </w:rPr>
        <w:t>,</w:t>
      </w:r>
      <w:r w:rsidRPr="00D33C9F">
        <w:rPr>
          <w:rFonts w:ascii="Calibri" w:hAnsi="Calibri" w:cs="Calibri"/>
          <w:sz w:val="22"/>
          <w:szCs w:val="22"/>
          <w:lang w:val="en-US"/>
        </w:rPr>
        <w:t xml:space="preserve"> and cost-efficiency and </w:t>
      </w:r>
      <w:r w:rsidR="003D1D45" w:rsidRPr="00D33C9F">
        <w:rPr>
          <w:rFonts w:ascii="Calibri" w:hAnsi="Calibri" w:cs="Calibri"/>
          <w:sz w:val="22"/>
          <w:szCs w:val="22"/>
          <w:lang w:val="en-US"/>
        </w:rPr>
        <w:t>timesaving (refers to expected outcome 1.c)</w:t>
      </w:r>
      <w:r w:rsidRPr="00D33C9F">
        <w:rPr>
          <w:rFonts w:ascii="Calibri" w:hAnsi="Calibri" w:cs="Calibri"/>
          <w:sz w:val="22"/>
          <w:szCs w:val="22"/>
          <w:lang w:val="en-US"/>
        </w:rPr>
        <w:t xml:space="preserve">. </w:t>
      </w:r>
      <w:r w:rsidRPr="00D33C9F">
        <w:rPr>
          <w:rFonts w:ascii="Calibri" w:hAnsi="Calibri" w:cs="Calibri"/>
          <w:sz w:val="22"/>
          <w:szCs w:val="22"/>
          <w:lang w:val="en-GB"/>
        </w:rPr>
        <w:t xml:space="preserve">These four categories indicate interconnectedness and highlight areas that influence and generate impact </w:t>
      </w:r>
      <w:r>
        <w:rPr>
          <w:rFonts w:ascii="Calibri" w:hAnsi="Calibri" w:cs="Calibri"/>
          <w:sz w:val="22"/>
          <w:szCs w:val="22"/>
          <w:lang w:val="en-GB"/>
        </w:rPr>
        <w:t>in one another. </w:t>
      </w:r>
    </w:p>
    <w:p w14:paraId="6080F79E" w14:textId="77777777" w:rsidR="00D52DD5" w:rsidRPr="00D52DD5" w:rsidRDefault="00D52DD5" w:rsidP="00310AD1">
      <w:pPr>
        <w:pStyle w:val="NormalWeb"/>
        <w:spacing w:before="0" w:beforeAutospacing="0" w:after="0" w:afterAutospacing="0" w:line="360" w:lineRule="auto"/>
        <w:jc w:val="both"/>
        <w:rPr>
          <w:rFonts w:ascii="Calibri" w:hAnsi="Calibri" w:cs="Calibri"/>
          <w:sz w:val="22"/>
          <w:szCs w:val="22"/>
          <w:lang w:val="en-GB"/>
        </w:rPr>
      </w:pPr>
    </w:p>
    <w:p w14:paraId="5445926A" w14:textId="6425009F" w:rsidR="00310AD1" w:rsidRDefault="00310AD1" w:rsidP="26F64964">
      <w:pPr>
        <w:pStyle w:val="NormalWeb"/>
        <w:spacing w:before="0" w:beforeAutospacing="0" w:after="0" w:afterAutospacing="0" w:line="360" w:lineRule="auto"/>
        <w:jc w:val="both"/>
        <w:rPr>
          <w:rFonts w:ascii="Calibri" w:hAnsi="Calibri" w:cs="Calibri"/>
          <w:color w:val="0E101A"/>
          <w:sz w:val="22"/>
          <w:szCs w:val="22"/>
          <w:lang w:val="en-GB"/>
        </w:rPr>
      </w:pPr>
      <w:r w:rsidRPr="26F64964">
        <w:rPr>
          <w:rFonts w:ascii="Calibri" w:hAnsi="Calibri" w:cs="Calibri"/>
          <w:color w:val="0E101A"/>
          <w:sz w:val="22"/>
          <w:szCs w:val="22"/>
          <w:lang w:val="en-GB"/>
        </w:rPr>
        <w:t xml:space="preserve">Empowered patients are </w:t>
      </w:r>
      <w:r w:rsidRPr="26F64964">
        <w:rPr>
          <w:rFonts w:ascii="Calibri" w:hAnsi="Calibri" w:cs="Calibri"/>
          <w:color w:val="0E101A"/>
          <w:sz w:val="22"/>
          <w:szCs w:val="22"/>
          <w:highlight w:val="white"/>
          <w:lang w:val="en-GB"/>
        </w:rPr>
        <w:t>more engaged in their care, leading to better adherence to</w:t>
      </w:r>
      <w:r w:rsidRPr="26F64964">
        <w:rPr>
          <w:rFonts w:ascii="Calibri" w:hAnsi="Calibri" w:cs="Calibri"/>
          <w:color w:val="0E101A"/>
          <w:sz w:val="22"/>
          <w:szCs w:val="22"/>
          <w:lang w:val="en-GB"/>
        </w:rPr>
        <w:t xml:space="preserve"> </w:t>
      </w:r>
      <w:r w:rsidRPr="26F64964">
        <w:rPr>
          <w:rFonts w:ascii="Calibri" w:hAnsi="Calibri" w:cs="Calibri"/>
          <w:color w:val="0E101A"/>
          <w:sz w:val="22"/>
          <w:szCs w:val="22"/>
          <w:highlight w:val="white"/>
          <w:lang w:val="en-GB"/>
        </w:rPr>
        <w:t>treatment plans and improved outcomes</w:t>
      </w:r>
      <w:r w:rsidRPr="26F64964">
        <w:rPr>
          <w:rFonts w:ascii="Calibri" w:hAnsi="Calibri" w:cs="Calibri"/>
          <w:color w:val="0E101A"/>
          <w:sz w:val="22"/>
          <w:szCs w:val="22"/>
          <w:lang w:val="en-GB"/>
        </w:rPr>
        <w:t xml:space="preserve">. When patients feel empowered with a suitable health device, they </w:t>
      </w:r>
      <w:r w:rsidR="00964178" w:rsidRPr="26F64964">
        <w:rPr>
          <w:rFonts w:ascii="Calibri" w:hAnsi="Calibri" w:cs="Calibri"/>
          <w:color w:val="0E101A"/>
          <w:sz w:val="22"/>
          <w:szCs w:val="22"/>
          <w:lang w:val="en-GB"/>
        </w:rPr>
        <w:t xml:space="preserve">will </w:t>
      </w:r>
      <w:r w:rsidRPr="26F64964">
        <w:rPr>
          <w:rFonts w:ascii="Calibri" w:hAnsi="Calibri" w:cs="Calibri"/>
          <w:color w:val="0E101A"/>
          <w:sz w:val="22"/>
          <w:szCs w:val="22"/>
          <w:lang w:val="en-GB"/>
        </w:rPr>
        <w:t xml:space="preserve">take a more proactive approach to their health.  Remote monitoring and accessibility reduce the need for in-person visits, lowering healthcare costs and saving time for patients and transplant </w:t>
      </w:r>
      <w:r w:rsidR="009435B5" w:rsidRPr="26F64964">
        <w:rPr>
          <w:rFonts w:ascii="Calibri" w:hAnsi="Calibri" w:cs="Calibri"/>
          <w:color w:val="0E101A"/>
          <w:sz w:val="22"/>
          <w:szCs w:val="22"/>
          <w:lang w:val="en-GB"/>
        </w:rPr>
        <w:t>providers. Feeling</w:t>
      </w:r>
      <w:r w:rsidRPr="26F64964">
        <w:rPr>
          <w:rFonts w:ascii="Calibri" w:hAnsi="Calibri" w:cs="Calibri"/>
          <w:color w:val="0E101A"/>
          <w:sz w:val="22"/>
          <w:szCs w:val="22"/>
          <w:lang w:val="en-GB"/>
        </w:rPr>
        <w:t xml:space="preserve"> empowered and safe using health devices increases the willingness of individuals to adopt and use them. This, in turn, improves accessibility to healthcare services, especially for those who might face barriers to traditional healthcare access. As mentioned in the findings, some individuals find face-to-face clinic visits confronting and somewhat uncomfortable. The use of telehealth helps with giving patients safety and comfort in accessing health care services.</w:t>
      </w:r>
      <w:r w:rsidR="009435B5" w:rsidRPr="26F64964">
        <w:rPr>
          <w:rFonts w:ascii="Calibri" w:hAnsi="Calibri" w:cs="Calibri"/>
          <w:color w:val="0E101A"/>
          <w:sz w:val="22"/>
          <w:szCs w:val="22"/>
          <w:lang w:val="en-GB"/>
        </w:rPr>
        <w:t xml:space="preserve"> </w:t>
      </w:r>
      <w:r w:rsidRPr="26F64964">
        <w:rPr>
          <w:rFonts w:ascii="Calibri" w:hAnsi="Calibri" w:cs="Calibri"/>
          <w:color w:val="0E101A"/>
          <w:sz w:val="22"/>
          <w:szCs w:val="22"/>
          <w:lang w:val="en-GB"/>
        </w:rPr>
        <w:t xml:space="preserve">When health tools streamline processes for transplant providers, it positively impacts patient care. </w:t>
      </w:r>
      <w:r w:rsidR="002F1B78" w:rsidRPr="26F64964">
        <w:rPr>
          <w:rFonts w:ascii="Calibri" w:hAnsi="Calibri" w:cs="Calibri"/>
          <w:color w:val="0E101A"/>
          <w:sz w:val="22"/>
          <w:szCs w:val="22"/>
          <w:lang w:val="en-GB"/>
        </w:rPr>
        <w:t>Moreover, p</w:t>
      </w:r>
      <w:r w:rsidRPr="26F64964">
        <w:rPr>
          <w:rFonts w:ascii="Calibri" w:hAnsi="Calibri" w:cs="Calibri"/>
          <w:color w:val="0E101A"/>
          <w:sz w:val="22"/>
          <w:szCs w:val="22"/>
          <w:lang w:val="en-GB"/>
        </w:rPr>
        <w:t>atients benefit from more focused and timely care. </w:t>
      </w:r>
    </w:p>
    <w:p w14:paraId="6230FBFE" w14:textId="77777777" w:rsidR="00D52DD5" w:rsidRPr="00D52DD5" w:rsidRDefault="00D52DD5" w:rsidP="00310AD1">
      <w:pPr>
        <w:pStyle w:val="NormalWeb"/>
        <w:spacing w:before="0" w:beforeAutospacing="0" w:after="0" w:afterAutospacing="0" w:line="360" w:lineRule="auto"/>
        <w:jc w:val="both"/>
        <w:rPr>
          <w:rFonts w:ascii="Calibri" w:hAnsi="Calibri" w:cs="Calibri"/>
          <w:color w:val="0E101A"/>
          <w:sz w:val="22"/>
          <w:szCs w:val="22"/>
          <w:lang w:val="en-GB"/>
        </w:rPr>
      </w:pPr>
    </w:p>
    <w:p w14:paraId="12947943" w14:textId="57614970" w:rsidR="00D52DD5" w:rsidRDefault="00310AD1" w:rsidP="00310AD1">
      <w:pPr>
        <w:pStyle w:val="NormalWeb"/>
        <w:spacing w:before="0" w:beforeAutospacing="0" w:after="0" w:afterAutospacing="0" w:line="360" w:lineRule="auto"/>
        <w:jc w:val="both"/>
        <w:rPr>
          <w:rFonts w:ascii="Calibri" w:hAnsi="Calibri" w:cs="Calibri"/>
          <w:color w:val="0E101A"/>
          <w:sz w:val="22"/>
          <w:szCs w:val="22"/>
          <w:lang w:val="en-GB"/>
        </w:rPr>
      </w:pPr>
      <w:r>
        <w:rPr>
          <w:rFonts w:ascii="Calibri" w:hAnsi="Calibri" w:cs="Calibri"/>
          <w:color w:val="0E101A"/>
          <w:sz w:val="22"/>
          <w:szCs w:val="22"/>
          <w:lang w:val="en-GB"/>
        </w:rPr>
        <w:lastRenderedPageBreak/>
        <w:t>Understanding these interconnected benefits helps healthcare systems, device developers, and providers create strategies and solutions that encompass multiple advantages, resulting in a more comprehensive and impactful healthcare approach that benefits patients and healthcare systems.</w:t>
      </w:r>
    </w:p>
    <w:p w14:paraId="461B0133" w14:textId="591B9862" w:rsidR="00762F84" w:rsidRDefault="002E623D" w:rsidP="0048398F">
      <w:pPr>
        <w:pStyle w:val="Heading3"/>
        <w:jc w:val="left"/>
        <w:rPr>
          <w:lang w:val="en-GB"/>
        </w:rPr>
      </w:pPr>
      <w:bookmarkStart w:id="44" w:name="_Toc166854008"/>
      <w:r>
        <w:rPr>
          <w:lang w:val="en-GB"/>
        </w:rPr>
        <w:t xml:space="preserve">5.1.3 </w:t>
      </w:r>
      <w:r w:rsidR="00094022">
        <w:rPr>
          <w:lang w:val="en-GB"/>
        </w:rPr>
        <w:t>E</w:t>
      </w:r>
      <w:r w:rsidR="0048398F">
        <w:rPr>
          <w:lang w:val="en-GB"/>
        </w:rPr>
        <w:t xml:space="preserve">fficacy of specific </w:t>
      </w:r>
      <w:r w:rsidR="005F322D">
        <w:rPr>
          <w:lang w:val="en-GB"/>
        </w:rPr>
        <w:t>e</w:t>
      </w:r>
      <w:r w:rsidR="0048398F">
        <w:rPr>
          <w:lang w:val="en-GB"/>
        </w:rPr>
        <w:t>health tools</w:t>
      </w:r>
      <w:bookmarkEnd w:id="44"/>
    </w:p>
    <w:p w14:paraId="4E6F0974" w14:textId="3657BAEA" w:rsidR="00513FEB" w:rsidRPr="00D33C9F" w:rsidRDefault="00B55CBC" w:rsidP="00513FEB">
      <w:pPr>
        <w:spacing w:line="360" w:lineRule="auto"/>
        <w:jc w:val="both"/>
        <w:rPr>
          <w:rFonts w:asciiTheme="minorHAnsi" w:eastAsia="Times New Roman" w:hAnsiTheme="minorHAnsi" w:cstheme="minorHAnsi"/>
          <w:lang w:val="en-GB" w:eastAsia="en-GB"/>
        </w:rPr>
      </w:pPr>
      <w:r w:rsidRPr="00D52DD5">
        <w:rPr>
          <w:rFonts w:asciiTheme="minorHAnsi" w:hAnsiTheme="minorHAnsi" w:cstheme="minorHAnsi"/>
          <w:lang w:val="en-US"/>
        </w:rPr>
        <w:t xml:space="preserve">This discussion is </w:t>
      </w:r>
      <w:r w:rsidR="00632558">
        <w:rPr>
          <w:rFonts w:asciiTheme="minorHAnsi" w:hAnsiTheme="minorHAnsi" w:cstheme="minorHAnsi"/>
          <w:lang w:val="en-US"/>
        </w:rPr>
        <w:t xml:space="preserve">also </w:t>
      </w:r>
      <w:r w:rsidRPr="00D52DD5">
        <w:rPr>
          <w:rFonts w:asciiTheme="minorHAnsi" w:hAnsiTheme="minorHAnsi" w:cstheme="minorHAnsi"/>
          <w:lang w:val="en-US"/>
        </w:rPr>
        <w:t>related to the research question</w:t>
      </w:r>
      <w:r w:rsidR="005704F8" w:rsidRPr="00D52DD5">
        <w:rPr>
          <w:rFonts w:asciiTheme="minorHAnsi" w:hAnsiTheme="minorHAnsi" w:cstheme="minorHAnsi"/>
          <w:lang w:val="en-US"/>
        </w:rPr>
        <w:t>:</w:t>
      </w:r>
      <w:r w:rsidRPr="00D52DD5">
        <w:rPr>
          <w:rFonts w:asciiTheme="minorHAnsi" w:hAnsiTheme="minorHAnsi" w:cstheme="minorHAnsi"/>
          <w:lang w:val="en-US"/>
        </w:rPr>
        <w:t xml:space="preserve"> </w:t>
      </w:r>
      <w:r w:rsidR="003D1D45">
        <w:rPr>
          <w:rFonts w:asciiTheme="minorHAnsi" w:hAnsiTheme="minorHAnsi" w:cstheme="minorHAnsi"/>
          <w:lang w:val="en-US"/>
        </w:rPr>
        <w:t>“</w:t>
      </w:r>
      <w:r w:rsidR="00AA7C7B" w:rsidRPr="0022646B">
        <w:rPr>
          <w:rFonts w:asciiTheme="minorHAnsi" w:hAnsiTheme="minorHAnsi" w:cstheme="minorHAnsi"/>
          <w:lang w:val="en-US"/>
        </w:rPr>
        <w:t xml:space="preserve">How do digital health tools support or </w:t>
      </w:r>
      <w:r w:rsidR="00AA7C7B" w:rsidRPr="00D33C9F">
        <w:rPr>
          <w:rFonts w:asciiTheme="minorHAnsi" w:hAnsiTheme="minorHAnsi" w:cstheme="minorHAnsi"/>
          <w:lang w:val="en-US"/>
        </w:rPr>
        <w:t>inhibit health outcomes among transplant patients?</w:t>
      </w:r>
      <w:r w:rsidR="003D1D45" w:rsidRPr="00D33C9F">
        <w:rPr>
          <w:rFonts w:asciiTheme="minorHAnsi" w:hAnsiTheme="minorHAnsi" w:cstheme="minorHAnsi"/>
          <w:lang w:val="en-US"/>
        </w:rPr>
        <w:t>”</w:t>
      </w:r>
    </w:p>
    <w:p w14:paraId="424ECDCE" w14:textId="798154EB" w:rsidR="00862FF0" w:rsidRPr="003D1D45" w:rsidRDefault="003D1D45" w:rsidP="00513FEB">
      <w:pPr>
        <w:spacing w:line="360" w:lineRule="auto"/>
        <w:jc w:val="both"/>
        <w:rPr>
          <w:rFonts w:ascii="Calibri" w:hAnsi="Calibri" w:cs="Calibri"/>
          <w:color w:val="7030A0"/>
          <w:lang w:val="en-US"/>
        </w:rPr>
      </w:pPr>
      <w:r w:rsidRPr="00D33C9F">
        <w:rPr>
          <w:rFonts w:ascii="Calibri" w:hAnsi="Calibri" w:cs="Calibri"/>
          <w:lang w:val="en-US"/>
        </w:rPr>
        <w:t xml:space="preserve">This section will also the impact of digital health tools on various health outcomes (Research question 1, expected outcome 1.b).  </w:t>
      </w:r>
      <w:r w:rsidR="00753EBE" w:rsidRPr="00D33C9F">
        <w:rPr>
          <w:rFonts w:ascii="Calibri" w:hAnsi="Calibri" w:cs="Calibri"/>
          <w:lang w:val="en-US"/>
        </w:rPr>
        <w:t xml:space="preserve">Regarding </w:t>
      </w:r>
      <w:r w:rsidRPr="00D33C9F">
        <w:rPr>
          <w:rFonts w:ascii="Calibri" w:hAnsi="Calibri" w:cs="Calibri"/>
          <w:lang w:val="en-US"/>
        </w:rPr>
        <w:t xml:space="preserve">the impact </w:t>
      </w:r>
      <w:r w:rsidR="00753EBE" w:rsidRPr="00D33C9F">
        <w:rPr>
          <w:rFonts w:ascii="Calibri" w:hAnsi="Calibri" w:cs="Calibri"/>
          <w:lang w:val="en-US"/>
        </w:rPr>
        <w:t xml:space="preserve">of different eHealth devices, multiple studies have demonstrated measurable and positive impacts </w:t>
      </w:r>
      <w:r w:rsidR="00753EBE">
        <w:rPr>
          <w:rFonts w:ascii="Calibri" w:hAnsi="Calibri" w:cs="Calibri"/>
          <w:lang w:val="en-US"/>
        </w:rPr>
        <w:t xml:space="preserve">on individuals' health. This study identified </w:t>
      </w:r>
      <w:r w:rsidR="003A7582">
        <w:rPr>
          <w:rFonts w:ascii="Calibri" w:hAnsi="Calibri" w:cs="Calibri"/>
          <w:lang w:val="en-US"/>
        </w:rPr>
        <w:t xml:space="preserve">seven </w:t>
      </w:r>
      <w:r w:rsidR="00753EBE">
        <w:rPr>
          <w:rFonts w:ascii="Calibri" w:hAnsi="Calibri" w:cs="Calibri"/>
          <w:lang w:val="en-US"/>
        </w:rPr>
        <w:t xml:space="preserve">types of digital health tools used within transplantation care as summarized in </w:t>
      </w:r>
      <w:r w:rsidR="00753EBE" w:rsidRPr="005D1A27">
        <w:rPr>
          <w:rFonts w:ascii="Calibri" w:hAnsi="Calibri" w:cs="Calibri"/>
          <w:lang w:val="en-US"/>
        </w:rPr>
        <w:t xml:space="preserve">table </w:t>
      </w:r>
      <w:r w:rsidR="009F4989">
        <w:rPr>
          <w:rFonts w:ascii="Calibri" w:hAnsi="Calibri" w:cs="Calibri"/>
          <w:lang w:val="en-US"/>
        </w:rPr>
        <w:t>2</w:t>
      </w:r>
      <w:r w:rsidR="003A7582">
        <w:rPr>
          <w:rFonts w:ascii="Calibri" w:hAnsi="Calibri" w:cs="Calibri"/>
          <w:lang w:val="en-US"/>
        </w:rPr>
        <w:t>.</w:t>
      </w:r>
      <w:r w:rsidR="005D1A27">
        <w:rPr>
          <w:rFonts w:ascii="Calibri" w:hAnsi="Calibri" w:cs="Calibri"/>
          <w:lang w:val="en-US"/>
        </w:rPr>
        <w:t xml:space="preserve"> </w:t>
      </w:r>
      <w:r w:rsidR="00F32CE5">
        <w:rPr>
          <w:rFonts w:ascii="Calibri" w:hAnsi="Calibri" w:cs="Calibri"/>
          <w:lang w:val="en-US"/>
        </w:rPr>
        <w:t xml:space="preserve">Out of 55 studies, </w:t>
      </w:r>
      <w:r w:rsidR="00753EBE">
        <w:rPr>
          <w:rFonts w:ascii="Calibri" w:hAnsi="Calibri" w:cs="Calibri"/>
          <w:lang w:val="en-US"/>
        </w:rPr>
        <w:t xml:space="preserve">17 studies investigated telehealth, 22 studies investigated </w:t>
      </w:r>
      <w:r w:rsidR="00077BDA">
        <w:rPr>
          <w:rFonts w:ascii="Calibri" w:hAnsi="Calibri" w:cs="Calibri"/>
          <w:lang w:val="en-US"/>
        </w:rPr>
        <w:t>mH</w:t>
      </w:r>
      <w:r w:rsidR="00753EBE">
        <w:rPr>
          <w:rFonts w:ascii="Calibri" w:hAnsi="Calibri" w:cs="Calibri"/>
          <w:lang w:val="en-US"/>
        </w:rPr>
        <w:t xml:space="preserve">ealth, </w:t>
      </w:r>
      <w:r w:rsidR="00602D02">
        <w:rPr>
          <w:rFonts w:ascii="Calibri" w:hAnsi="Calibri" w:cs="Calibri"/>
          <w:lang w:val="en-US"/>
        </w:rPr>
        <w:t xml:space="preserve">seven </w:t>
      </w:r>
      <w:r w:rsidR="00753EBE">
        <w:rPr>
          <w:rFonts w:ascii="Calibri" w:hAnsi="Calibri" w:cs="Calibri"/>
          <w:lang w:val="en-US"/>
        </w:rPr>
        <w:t>studies looked at electronic app</w:t>
      </w:r>
      <w:r w:rsidR="00602D02">
        <w:rPr>
          <w:rFonts w:ascii="Calibri" w:hAnsi="Calibri" w:cs="Calibri"/>
          <w:lang w:val="en-US"/>
        </w:rPr>
        <w:t>s</w:t>
      </w:r>
      <w:r w:rsidR="00753EBE">
        <w:rPr>
          <w:rFonts w:ascii="Calibri" w:hAnsi="Calibri" w:cs="Calibri"/>
          <w:lang w:val="en-US"/>
        </w:rPr>
        <w:t xml:space="preserve">/devices (e.g., digital health home spirometry, electronic mental health screening), </w:t>
      </w:r>
      <w:r w:rsidR="00602D02">
        <w:rPr>
          <w:rFonts w:ascii="Calibri" w:hAnsi="Calibri" w:cs="Calibri"/>
          <w:lang w:val="en-US"/>
        </w:rPr>
        <w:t xml:space="preserve">two </w:t>
      </w:r>
      <w:r w:rsidR="00753EBE">
        <w:rPr>
          <w:rFonts w:ascii="Calibri" w:hAnsi="Calibri" w:cs="Calibri"/>
          <w:lang w:val="en-US"/>
        </w:rPr>
        <w:t xml:space="preserve">studies used emerging technologies (e.g.., AI, wearables), </w:t>
      </w:r>
      <w:r w:rsidR="00602D02">
        <w:rPr>
          <w:rFonts w:ascii="Calibri" w:hAnsi="Calibri" w:cs="Calibri"/>
          <w:lang w:val="en-US"/>
        </w:rPr>
        <w:t xml:space="preserve">two </w:t>
      </w:r>
      <w:r w:rsidR="00753EBE">
        <w:rPr>
          <w:rFonts w:ascii="Calibri" w:hAnsi="Calibri" w:cs="Calibri"/>
          <w:lang w:val="en-US"/>
        </w:rPr>
        <w:t xml:space="preserve">studies looked at telemedicine, </w:t>
      </w:r>
      <w:r w:rsidR="00602D02">
        <w:rPr>
          <w:rFonts w:ascii="Calibri" w:hAnsi="Calibri" w:cs="Calibri"/>
          <w:lang w:val="en-US"/>
        </w:rPr>
        <w:t xml:space="preserve">three </w:t>
      </w:r>
      <w:r w:rsidR="00753EBE">
        <w:rPr>
          <w:rFonts w:ascii="Calibri" w:hAnsi="Calibri" w:cs="Calibri"/>
          <w:lang w:val="en-US"/>
        </w:rPr>
        <w:t xml:space="preserve">studies used web-based portals and </w:t>
      </w:r>
      <w:r w:rsidR="00602D02">
        <w:rPr>
          <w:rFonts w:ascii="Calibri" w:hAnsi="Calibri" w:cs="Calibri"/>
          <w:lang w:val="en-US"/>
        </w:rPr>
        <w:t xml:space="preserve">two </w:t>
      </w:r>
      <w:r w:rsidR="00753EBE">
        <w:rPr>
          <w:rFonts w:ascii="Calibri" w:hAnsi="Calibri" w:cs="Calibri"/>
          <w:lang w:val="en-US"/>
        </w:rPr>
        <w:t xml:space="preserve">studies used other forms of tech (e.g., health information technology and interactive health technology). </w:t>
      </w:r>
    </w:p>
    <w:p w14:paraId="118DBE16" w14:textId="4350A283" w:rsidR="0048398F" w:rsidRPr="00753EBE" w:rsidRDefault="00602D02" w:rsidP="26F64964">
      <w:pPr>
        <w:pStyle w:val="NormalWeb"/>
        <w:spacing w:before="0" w:beforeAutospacing="0" w:after="0" w:afterAutospacing="0" w:line="360" w:lineRule="auto"/>
        <w:jc w:val="both"/>
        <w:rPr>
          <w:rFonts w:ascii="Calibri" w:hAnsi="Calibri" w:cs="Calibri"/>
          <w:sz w:val="22"/>
          <w:szCs w:val="22"/>
          <w:lang w:val="en-GB"/>
        </w:rPr>
      </w:pPr>
      <w:r w:rsidRPr="26F64964">
        <w:rPr>
          <w:rFonts w:ascii="Calibri" w:hAnsi="Calibri" w:cs="Calibri"/>
          <w:sz w:val="22"/>
          <w:szCs w:val="22"/>
          <w:lang w:val="en-US"/>
        </w:rPr>
        <w:t xml:space="preserve">The majority </w:t>
      </w:r>
      <w:r w:rsidR="00753EBE" w:rsidRPr="26F64964">
        <w:rPr>
          <w:rFonts w:ascii="Calibri" w:hAnsi="Calibri" w:cs="Calibri"/>
          <w:sz w:val="22"/>
          <w:szCs w:val="22"/>
          <w:lang w:val="en-US"/>
        </w:rPr>
        <w:t>of the studies that utilized telehealth (15/17), revealed the positive impact telehealth had on patients, such as reduced time and costs as well as improved access to care (</w:t>
      </w:r>
      <w:r w:rsidR="00753EBE" w:rsidRPr="6A640EE8">
        <w:rPr>
          <w:rFonts w:ascii="Calibri" w:hAnsi="Calibri" w:cs="Calibri"/>
          <w:sz w:val="22"/>
          <w:szCs w:val="22"/>
          <w:highlight w:val="white"/>
          <w:lang w:val="en-GB"/>
        </w:rPr>
        <w:t>Barnett et al., 2021</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Chang et al., 2021</w:t>
      </w:r>
      <w:r w:rsidR="00753EBE" w:rsidRPr="6A640EE8">
        <w:rPr>
          <w:rFonts w:ascii="Calibri" w:hAnsi="Calibri" w:cs="Calibri"/>
          <w:sz w:val="22"/>
          <w:szCs w:val="22"/>
          <w:lang w:val="en-GB"/>
        </w:rPr>
        <w:t xml:space="preserve">; </w:t>
      </w:r>
      <w:proofErr w:type="spellStart"/>
      <w:r w:rsidR="00753EBE" w:rsidRPr="6A640EE8">
        <w:rPr>
          <w:rFonts w:ascii="Calibri" w:hAnsi="Calibri" w:cs="Calibri"/>
          <w:sz w:val="22"/>
          <w:szCs w:val="22"/>
          <w:highlight w:val="white"/>
          <w:lang w:val="en-GB"/>
        </w:rPr>
        <w:t>Deboni</w:t>
      </w:r>
      <w:proofErr w:type="spellEnd"/>
      <w:r w:rsidR="00753EBE" w:rsidRPr="6A640EE8">
        <w:rPr>
          <w:rFonts w:ascii="Calibri" w:hAnsi="Calibri" w:cs="Calibri"/>
          <w:sz w:val="22"/>
          <w:szCs w:val="22"/>
          <w:highlight w:val="white"/>
          <w:lang w:val="en-GB"/>
        </w:rPr>
        <w:t xml:space="preserve"> et al., 2020</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Delman et al., 2021</w:t>
      </w:r>
      <w:r w:rsidR="00753EBE" w:rsidRPr="26F64964">
        <w:rPr>
          <w:rFonts w:ascii="Calibri" w:hAnsi="Calibri" w:cs="Calibri"/>
          <w:sz w:val="22"/>
          <w:szCs w:val="22"/>
          <w:lang w:val="en-GB"/>
        </w:rPr>
        <w:t xml:space="preserve">; Forbes et al., 2018; </w:t>
      </w:r>
      <w:r w:rsidR="00753EBE" w:rsidRPr="6A640EE8">
        <w:rPr>
          <w:rFonts w:ascii="Calibri" w:hAnsi="Calibri" w:cs="Calibri"/>
          <w:sz w:val="22"/>
          <w:szCs w:val="22"/>
          <w:highlight w:val="white"/>
          <w:lang w:val="en-GB"/>
        </w:rPr>
        <w:t>Gunn et al., 2021</w:t>
      </w:r>
      <w:r w:rsidR="00753EBE" w:rsidRPr="6A640EE8">
        <w:rPr>
          <w:rFonts w:ascii="Calibri" w:hAnsi="Calibri" w:cs="Calibri"/>
          <w:sz w:val="22"/>
          <w:szCs w:val="22"/>
          <w:lang w:val="en-GB"/>
        </w:rPr>
        <w:t xml:space="preserve">; </w:t>
      </w:r>
      <w:proofErr w:type="spellStart"/>
      <w:r w:rsidR="00753EBE" w:rsidRPr="6A640EE8">
        <w:rPr>
          <w:rFonts w:ascii="Calibri" w:hAnsi="Calibri" w:cs="Calibri"/>
          <w:sz w:val="22"/>
          <w:szCs w:val="22"/>
          <w:highlight w:val="white"/>
          <w:lang w:val="en-GB"/>
        </w:rPr>
        <w:t>Hatzikiriakidis</w:t>
      </w:r>
      <w:proofErr w:type="spellEnd"/>
      <w:r w:rsidR="00753EBE" w:rsidRPr="6A640EE8">
        <w:rPr>
          <w:rFonts w:ascii="Calibri" w:hAnsi="Calibri" w:cs="Calibri"/>
          <w:sz w:val="22"/>
          <w:szCs w:val="22"/>
          <w:highlight w:val="white"/>
          <w:lang w:val="en-GB"/>
        </w:rPr>
        <w:t xml:space="preserve"> et al., 2022</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Hickman et al., 2021</w:t>
      </w:r>
      <w:r w:rsidR="00753EBE" w:rsidRPr="6A640EE8">
        <w:rPr>
          <w:rFonts w:ascii="Calibri" w:hAnsi="Calibri" w:cs="Calibri"/>
          <w:sz w:val="22"/>
          <w:szCs w:val="22"/>
          <w:lang w:val="en-GB"/>
        </w:rPr>
        <w:t xml:space="preserve">; </w:t>
      </w:r>
      <w:proofErr w:type="spellStart"/>
      <w:r w:rsidR="00753EBE" w:rsidRPr="6A640EE8">
        <w:rPr>
          <w:rFonts w:ascii="Calibri" w:hAnsi="Calibri" w:cs="Calibri"/>
          <w:sz w:val="22"/>
          <w:szCs w:val="22"/>
          <w:highlight w:val="white"/>
          <w:lang w:val="en-GB"/>
        </w:rPr>
        <w:t>Huuskes</w:t>
      </w:r>
      <w:proofErr w:type="spellEnd"/>
      <w:r w:rsidR="00753EBE" w:rsidRPr="6A640EE8">
        <w:rPr>
          <w:rFonts w:ascii="Calibri" w:hAnsi="Calibri" w:cs="Calibri"/>
          <w:sz w:val="22"/>
          <w:szCs w:val="22"/>
          <w:highlight w:val="white"/>
          <w:lang w:val="en-GB"/>
        </w:rPr>
        <w:t xml:space="preserve"> et al., 2021</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John et al., 2020</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Keating et al., 2020</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Kelly et al., 2019</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Khalil et al., 2022</w:t>
      </w:r>
      <w:r w:rsidR="00753EBE" w:rsidRPr="6A640EE8">
        <w:rPr>
          <w:rFonts w:ascii="Calibri" w:hAnsi="Calibri" w:cs="Calibri"/>
          <w:sz w:val="22"/>
          <w:szCs w:val="22"/>
          <w:lang w:val="en-GB"/>
        </w:rPr>
        <w:t xml:space="preserve">; </w:t>
      </w:r>
      <w:proofErr w:type="spellStart"/>
      <w:r w:rsidR="00753EBE" w:rsidRPr="6A640EE8">
        <w:rPr>
          <w:rFonts w:ascii="Calibri" w:hAnsi="Calibri" w:cs="Calibri"/>
          <w:sz w:val="22"/>
          <w:szCs w:val="22"/>
          <w:highlight w:val="white"/>
          <w:lang w:val="en-GB"/>
        </w:rPr>
        <w:t>Mussetti</w:t>
      </w:r>
      <w:proofErr w:type="spellEnd"/>
      <w:r w:rsidR="00753EBE" w:rsidRPr="6A640EE8">
        <w:rPr>
          <w:rFonts w:ascii="Calibri" w:hAnsi="Calibri" w:cs="Calibri"/>
          <w:sz w:val="22"/>
          <w:szCs w:val="22"/>
          <w:highlight w:val="white"/>
          <w:lang w:val="en-GB"/>
        </w:rPr>
        <w:t xml:space="preserve"> et al., 2021</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Sidhu et al., 2019</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Thiessen et al., 2020</w:t>
      </w:r>
      <w:r w:rsidR="00753EBE" w:rsidRPr="6A640EE8">
        <w:rPr>
          <w:rFonts w:ascii="Calibri" w:hAnsi="Calibri" w:cs="Calibri"/>
          <w:sz w:val="22"/>
          <w:szCs w:val="22"/>
          <w:lang w:val="en-GB"/>
        </w:rPr>
        <w:t xml:space="preserve">; </w:t>
      </w:r>
      <w:r w:rsidR="00753EBE" w:rsidRPr="6A640EE8">
        <w:rPr>
          <w:rFonts w:ascii="Calibri" w:hAnsi="Calibri" w:cs="Calibri"/>
          <w:sz w:val="22"/>
          <w:szCs w:val="22"/>
          <w:highlight w:val="white"/>
          <w:lang w:val="en-GB"/>
        </w:rPr>
        <w:t>Xu-Stettner et al., 2023</w:t>
      </w:r>
      <w:r w:rsidR="00753EBE" w:rsidRPr="26F64964">
        <w:rPr>
          <w:rFonts w:ascii="Calibri" w:hAnsi="Calibri" w:cs="Calibri"/>
          <w:sz w:val="22"/>
          <w:szCs w:val="22"/>
          <w:lang w:val="en-GB"/>
        </w:rPr>
        <w:t xml:space="preserve">). </w:t>
      </w:r>
      <w:r w:rsidR="008007D2" w:rsidRPr="26F64964">
        <w:rPr>
          <w:rFonts w:ascii="Calibri" w:hAnsi="Calibri" w:cs="Calibri"/>
          <w:sz w:val="22"/>
          <w:szCs w:val="22"/>
          <w:lang w:val="en-GB"/>
        </w:rPr>
        <w:t>Moreover, t</w:t>
      </w:r>
      <w:r w:rsidR="008007D2" w:rsidRPr="26F64964">
        <w:rPr>
          <w:rFonts w:ascii="Calibri" w:hAnsi="Calibri" w:cs="Calibri"/>
          <w:sz w:val="22"/>
          <w:szCs w:val="22"/>
          <w:lang w:val="en-US"/>
        </w:rPr>
        <w:t xml:space="preserve">he use of telemedicine also demonstrated positive outcomes for patients, which was highlighted by one study with improving access to pharmacy care and improving </w:t>
      </w:r>
      <w:r w:rsidRPr="26F64964">
        <w:rPr>
          <w:rFonts w:ascii="Calibri" w:hAnsi="Calibri" w:cs="Calibri"/>
          <w:sz w:val="22"/>
          <w:szCs w:val="22"/>
          <w:lang w:val="en-US"/>
        </w:rPr>
        <w:t xml:space="preserve">the </w:t>
      </w:r>
      <w:r w:rsidR="008007D2" w:rsidRPr="26F64964">
        <w:rPr>
          <w:rFonts w:ascii="Calibri" w:hAnsi="Calibri" w:cs="Calibri"/>
          <w:sz w:val="22"/>
          <w:szCs w:val="22"/>
          <w:lang w:val="en-US"/>
        </w:rPr>
        <w:t>accuracy of medication list</w:t>
      </w:r>
      <w:r w:rsidRPr="26F64964">
        <w:rPr>
          <w:rFonts w:ascii="Calibri" w:hAnsi="Calibri" w:cs="Calibri"/>
          <w:sz w:val="22"/>
          <w:szCs w:val="22"/>
          <w:lang w:val="en-US"/>
        </w:rPr>
        <w:t>s</w:t>
      </w:r>
      <w:r w:rsidR="008007D2" w:rsidRPr="26F64964">
        <w:rPr>
          <w:rFonts w:ascii="Calibri" w:hAnsi="Calibri" w:cs="Calibri"/>
          <w:sz w:val="22"/>
          <w:szCs w:val="22"/>
          <w:lang w:val="en-US"/>
        </w:rPr>
        <w:t xml:space="preserve"> (</w:t>
      </w:r>
      <w:r w:rsidR="008007D2" w:rsidRPr="6A640EE8">
        <w:rPr>
          <w:rFonts w:ascii="Calibri" w:hAnsi="Calibri" w:cs="Calibri"/>
          <w:sz w:val="22"/>
          <w:szCs w:val="22"/>
          <w:highlight w:val="white"/>
          <w:lang w:val="en-US"/>
        </w:rPr>
        <w:t>Park et al., 2021</w:t>
      </w:r>
      <w:r w:rsidR="008007D2" w:rsidRPr="26F64964">
        <w:rPr>
          <w:rFonts w:ascii="Calibri" w:hAnsi="Calibri" w:cs="Calibri"/>
          <w:sz w:val="22"/>
          <w:szCs w:val="22"/>
          <w:highlight w:val="white"/>
          <w:lang w:val="en-US"/>
        </w:rPr>
        <w:t>).</w:t>
      </w:r>
      <w:r w:rsidR="00507F39" w:rsidRPr="26F64964">
        <w:rPr>
          <w:rFonts w:ascii="Calibri" w:hAnsi="Calibri" w:cs="Calibri"/>
          <w:sz w:val="22"/>
          <w:szCs w:val="22"/>
          <w:highlight w:val="white"/>
          <w:lang w:val="en-US"/>
        </w:rPr>
        <w:t xml:space="preserve"> </w:t>
      </w:r>
      <w:r w:rsidRPr="26F64964">
        <w:rPr>
          <w:rFonts w:ascii="Calibri" w:hAnsi="Calibri" w:cs="Calibri"/>
          <w:sz w:val="22"/>
          <w:szCs w:val="22"/>
          <w:highlight w:val="white"/>
          <w:lang w:val="en-US"/>
        </w:rPr>
        <w:t>The</w:t>
      </w:r>
      <w:r w:rsidRPr="26F64964">
        <w:rPr>
          <w:rFonts w:ascii="Calibri" w:hAnsi="Calibri" w:cs="Calibri"/>
          <w:sz w:val="22"/>
          <w:szCs w:val="22"/>
          <w:lang w:val="en-US"/>
        </w:rPr>
        <w:t xml:space="preserve"> majority </w:t>
      </w:r>
      <w:r w:rsidR="00753EBE" w:rsidRPr="26F64964">
        <w:rPr>
          <w:rFonts w:ascii="Calibri" w:hAnsi="Calibri" w:cs="Calibri"/>
          <w:sz w:val="22"/>
          <w:szCs w:val="22"/>
          <w:lang w:val="en-US"/>
        </w:rPr>
        <w:t xml:space="preserve">of the studies that implemented mHealth (20/22), identified the positive impact mHealth had on patients </w:t>
      </w:r>
      <w:r w:rsidRPr="26F64964">
        <w:rPr>
          <w:rFonts w:ascii="Calibri" w:hAnsi="Calibri" w:cs="Calibri"/>
          <w:sz w:val="22"/>
          <w:szCs w:val="22"/>
          <w:lang w:val="en-US"/>
        </w:rPr>
        <w:t>post-</w:t>
      </w:r>
      <w:r w:rsidR="00753EBE" w:rsidRPr="26F64964">
        <w:rPr>
          <w:rFonts w:ascii="Calibri" w:hAnsi="Calibri" w:cs="Calibri"/>
          <w:sz w:val="22"/>
          <w:szCs w:val="22"/>
          <w:lang w:val="en-US"/>
        </w:rPr>
        <w:t>transplantation, with reduced complications</w:t>
      </w:r>
      <w:r w:rsidR="00507F39" w:rsidRPr="26F64964">
        <w:rPr>
          <w:rFonts w:ascii="Calibri" w:hAnsi="Calibri" w:cs="Calibri"/>
          <w:sz w:val="22"/>
          <w:szCs w:val="22"/>
          <w:lang w:val="en-US"/>
        </w:rPr>
        <w:t xml:space="preserve"> and </w:t>
      </w:r>
      <w:r w:rsidR="00753EBE" w:rsidRPr="26F64964">
        <w:rPr>
          <w:rFonts w:ascii="Calibri" w:hAnsi="Calibri" w:cs="Calibri"/>
          <w:sz w:val="22"/>
          <w:szCs w:val="22"/>
          <w:lang w:val="en-US"/>
        </w:rPr>
        <w:t>hospitalizations (</w:t>
      </w:r>
      <w:r w:rsidR="00753EBE" w:rsidRPr="6A640EE8">
        <w:rPr>
          <w:rFonts w:ascii="Calibri" w:hAnsi="Calibri" w:cs="Calibri"/>
          <w:sz w:val="22"/>
          <w:szCs w:val="22"/>
          <w:highlight w:val="white"/>
        </w:rPr>
        <w:t>Adib et al., 2022</w:t>
      </w:r>
      <w:r w:rsidR="00753EBE" w:rsidRPr="26F64964">
        <w:rPr>
          <w:rFonts w:ascii="Calibri" w:hAnsi="Calibri" w:cs="Calibri"/>
          <w:sz w:val="22"/>
          <w:szCs w:val="22"/>
        </w:rPr>
        <w:t xml:space="preserve">; Eno et al., 2018; </w:t>
      </w:r>
      <w:r w:rsidR="00753EBE" w:rsidRPr="6A640EE8">
        <w:rPr>
          <w:rFonts w:ascii="Calibri" w:hAnsi="Calibri" w:cs="Calibri"/>
          <w:sz w:val="22"/>
          <w:szCs w:val="22"/>
          <w:highlight w:val="white"/>
        </w:rPr>
        <w:t>Eno et al., 2019</w:t>
      </w:r>
      <w:r w:rsidR="00753EBE" w:rsidRPr="6A640EE8">
        <w:rPr>
          <w:rFonts w:ascii="Calibri" w:hAnsi="Calibri" w:cs="Calibri"/>
          <w:sz w:val="22"/>
          <w:szCs w:val="22"/>
        </w:rPr>
        <w:t xml:space="preserve">; </w:t>
      </w:r>
      <w:r w:rsidR="00753EBE" w:rsidRPr="6A640EE8">
        <w:rPr>
          <w:rFonts w:ascii="Calibri" w:hAnsi="Calibri" w:cs="Calibri"/>
          <w:sz w:val="22"/>
          <w:szCs w:val="22"/>
          <w:highlight w:val="white"/>
        </w:rPr>
        <w:t>Erez et al., 2023</w:t>
      </w:r>
      <w:r w:rsidR="00753EBE" w:rsidRPr="26F64964">
        <w:rPr>
          <w:rFonts w:ascii="Calibri" w:hAnsi="Calibri" w:cs="Calibri"/>
          <w:sz w:val="22"/>
          <w:szCs w:val="22"/>
        </w:rPr>
        <w:t xml:space="preserve">; Fleming et al., 2021; Gomis-Pastor et al., 2023; Gomis-Pastor et al., 2021; Gonzales et al., 2022; Gomis-Pastor et al., 2020; Killian et al., 2022; Killian et al., 2023; </w:t>
      </w:r>
      <w:proofErr w:type="spellStart"/>
      <w:r w:rsidR="00753EBE" w:rsidRPr="6A640EE8">
        <w:rPr>
          <w:rFonts w:ascii="Calibri" w:hAnsi="Calibri" w:cs="Calibri"/>
          <w:sz w:val="22"/>
          <w:szCs w:val="22"/>
          <w:highlight w:val="white"/>
        </w:rPr>
        <w:t>Lerret</w:t>
      </w:r>
      <w:proofErr w:type="spellEnd"/>
      <w:r w:rsidR="00753EBE" w:rsidRPr="6A640EE8">
        <w:rPr>
          <w:rFonts w:ascii="Calibri" w:hAnsi="Calibri" w:cs="Calibri"/>
          <w:sz w:val="22"/>
          <w:szCs w:val="22"/>
          <w:highlight w:val="white"/>
        </w:rPr>
        <w:t xml:space="preserve"> et al., 2022</w:t>
      </w:r>
      <w:r w:rsidR="00753EBE" w:rsidRPr="26F64964">
        <w:rPr>
          <w:rFonts w:ascii="Calibri" w:hAnsi="Calibri" w:cs="Calibri"/>
          <w:sz w:val="22"/>
          <w:szCs w:val="22"/>
        </w:rPr>
        <w:t xml:space="preserve">; Mathur et al., 2021; O'Brien et al., 2020; O'Brien et al., 2022; </w:t>
      </w:r>
      <w:r w:rsidR="00753EBE" w:rsidRPr="6A640EE8">
        <w:rPr>
          <w:rFonts w:ascii="Calibri" w:hAnsi="Calibri" w:cs="Calibri"/>
          <w:sz w:val="22"/>
          <w:szCs w:val="22"/>
          <w:highlight w:val="white"/>
        </w:rPr>
        <w:t>O'Brien et al., 2018</w:t>
      </w:r>
      <w:r w:rsidR="00753EBE" w:rsidRPr="6A640EE8">
        <w:rPr>
          <w:rFonts w:ascii="Calibri" w:hAnsi="Calibri" w:cs="Calibri"/>
          <w:sz w:val="22"/>
          <w:szCs w:val="22"/>
        </w:rPr>
        <w:t xml:space="preserve">; </w:t>
      </w:r>
      <w:r w:rsidR="00753EBE" w:rsidRPr="6A640EE8">
        <w:rPr>
          <w:rFonts w:ascii="Calibri" w:hAnsi="Calibri" w:cs="Calibri"/>
          <w:sz w:val="22"/>
          <w:szCs w:val="22"/>
          <w:highlight w:val="white"/>
        </w:rPr>
        <w:t>Oliveira et al., 2023</w:t>
      </w:r>
      <w:r w:rsidR="00753EBE" w:rsidRPr="26F64964">
        <w:rPr>
          <w:rFonts w:ascii="Calibri" w:hAnsi="Calibri" w:cs="Calibri"/>
          <w:sz w:val="22"/>
          <w:szCs w:val="22"/>
        </w:rPr>
        <w:t xml:space="preserve">); </w:t>
      </w:r>
      <w:proofErr w:type="spellStart"/>
      <w:r w:rsidR="00753EBE" w:rsidRPr="26F64964">
        <w:rPr>
          <w:rFonts w:ascii="Calibri" w:hAnsi="Calibri" w:cs="Calibri"/>
          <w:sz w:val="22"/>
          <w:szCs w:val="22"/>
        </w:rPr>
        <w:t>Pollockm</w:t>
      </w:r>
      <w:proofErr w:type="spellEnd"/>
      <w:r w:rsidR="00753EBE" w:rsidRPr="26F64964">
        <w:rPr>
          <w:rFonts w:ascii="Calibri" w:hAnsi="Calibri" w:cs="Calibri"/>
          <w:sz w:val="22"/>
          <w:szCs w:val="22"/>
        </w:rPr>
        <w:t xml:space="preserve"> et al., 2023; Reber et al., 2018; Sayegh et al., 2022; </w:t>
      </w:r>
      <w:r w:rsidR="00753EBE" w:rsidRPr="6A640EE8">
        <w:rPr>
          <w:rFonts w:ascii="Calibri" w:hAnsi="Calibri" w:cs="Calibri"/>
          <w:sz w:val="22"/>
          <w:szCs w:val="22"/>
          <w:highlight w:val="white"/>
        </w:rPr>
        <w:t>Skeens et al., 2022</w:t>
      </w:r>
      <w:r w:rsidR="00753EBE" w:rsidRPr="6A640EE8">
        <w:rPr>
          <w:rFonts w:ascii="Calibri" w:hAnsi="Calibri" w:cs="Calibri"/>
          <w:sz w:val="22"/>
          <w:szCs w:val="22"/>
        </w:rPr>
        <w:t xml:space="preserve">; </w:t>
      </w:r>
      <w:r w:rsidR="00753EBE" w:rsidRPr="6A640EE8">
        <w:rPr>
          <w:rFonts w:ascii="Calibri" w:hAnsi="Calibri" w:cs="Calibri"/>
          <w:sz w:val="22"/>
          <w:szCs w:val="22"/>
          <w:highlight w:val="white"/>
        </w:rPr>
        <w:t>Vaughn et al., 2020</w:t>
      </w:r>
      <w:r w:rsidR="00753EBE" w:rsidRPr="26F64964">
        <w:rPr>
          <w:rFonts w:ascii="Calibri" w:hAnsi="Calibri" w:cs="Calibri"/>
          <w:sz w:val="22"/>
          <w:szCs w:val="22"/>
        </w:rPr>
        <w:t xml:space="preserve">). </w:t>
      </w:r>
      <w:proofErr w:type="gramStart"/>
      <w:r w:rsidRPr="26F64964">
        <w:rPr>
          <w:rFonts w:ascii="Calibri" w:hAnsi="Calibri" w:cs="Calibri"/>
          <w:sz w:val="22"/>
          <w:szCs w:val="22"/>
          <w:lang w:val="en-US"/>
        </w:rPr>
        <w:t xml:space="preserve">The majority </w:t>
      </w:r>
      <w:r w:rsidR="00753EBE" w:rsidRPr="26F64964">
        <w:rPr>
          <w:rFonts w:ascii="Calibri" w:hAnsi="Calibri" w:cs="Calibri"/>
          <w:sz w:val="22"/>
          <w:szCs w:val="22"/>
          <w:lang w:val="en-US"/>
        </w:rPr>
        <w:t>of</w:t>
      </w:r>
      <w:proofErr w:type="gramEnd"/>
      <w:r w:rsidR="00753EBE" w:rsidRPr="26F64964">
        <w:rPr>
          <w:rFonts w:ascii="Calibri" w:hAnsi="Calibri" w:cs="Calibri"/>
          <w:sz w:val="22"/>
          <w:szCs w:val="22"/>
          <w:lang w:val="en-US"/>
        </w:rPr>
        <w:t xml:space="preserve"> the studies that used electronic app</w:t>
      </w:r>
      <w:r w:rsidRPr="26F64964">
        <w:rPr>
          <w:rFonts w:ascii="Calibri" w:hAnsi="Calibri" w:cs="Calibri"/>
          <w:sz w:val="22"/>
          <w:szCs w:val="22"/>
          <w:lang w:val="en-US"/>
        </w:rPr>
        <w:t>s</w:t>
      </w:r>
      <w:r w:rsidR="00753EBE" w:rsidRPr="26F64964">
        <w:rPr>
          <w:rFonts w:ascii="Calibri" w:hAnsi="Calibri" w:cs="Calibri"/>
          <w:sz w:val="22"/>
          <w:szCs w:val="22"/>
          <w:lang w:val="en-US"/>
        </w:rPr>
        <w:t>/devices (5/7), demonstrated positive improvement in patient outcome</w:t>
      </w:r>
      <w:r w:rsidRPr="26F64964">
        <w:rPr>
          <w:rFonts w:ascii="Calibri" w:hAnsi="Calibri" w:cs="Calibri"/>
          <w:sz w:val="22"/>
          <w:szCs w:val="22"/>
          <w:lang w:val="en-US"/>
        </w:rPr>
        <w:t>s</w:t>
      </w:r>
      <w:r w:rsidR="00753EBE" w:rsidRPr="26F64964">
        <w:rPr>
          <w:rFonts w:ascii="Calibri" w:hAnsi="Calibri" w:cs="Calibri"/>
          <w:sz w:val="22"/>
          <w:szCs w:val="22"/>
          <w:lang w:val="en-US"/>
        </w:rPr>
        <w:t xml:space="preserve"> such as reduced infections and improvement </w:t>
      </w:r>
      <w:r w:rsidRPr="26F64964">
        <w:rPr>
          <w:rFonts w:ascii="Calibri" w:hAnsi="Calibri" w:cs="Calibri"/>
          <w:sz w:val="22"/>
          <w:szCs w:val="22"/>
          <w:lang w:val="en-US"/>
        </w:rPr>
        <w:t xml:space="preserve">in </w:t>
      </w:r>
      <w:r w:rsidR="009B6EEB" w:rsidRPr="26F64964">
        <w:rPr>
          <w:rFonts w:ascii="Calibri" w:hAnsi="Calibri" w:cs="Calibri"/>
          <w:sz w:val="22"/>
          <w:szCs w:val="22"/>
          <w:lang w:val="en-US"/>
        </w:rPr>
        <w:t>self-management</w:t>
      </w:r>
      <w:r w:rsidR="00753EBE" w:rsidRPr="26F64964">
        <w:rPr>
          <w:rFonts w:ascii="Calibri" w:hAnsi="Calibri" w:cs="Calibri"/>
          <w:sz w:val="22"/>
          <w:szCs w:val="22"/>
          <w:lang w:val="en-US"/>
        </w:rPr>
        <w:t xml:space="preserve"> of symptoms (</w:t>
      </w:r>
      <w:r w:rsidR="00753EBE" w:rsidRPr="6A640EE8">
        <w:rPr>
          <w:rFonts w:ascii="Calibri" w:hAnsi="Calibri" w:cs="Calibri"/>
          <w:sz w:val="22"/>
          <w:szCs w:val="22"/>
          <w:highlight w:val="white"/>
        </w:rPr>
        <w:t>Anton et al., 2021</w:t>
      </w:r>
      <w:r w:rsidR="00753EBE" w:rsidRPr="26F64964">
        <w:rPr>
          <w:rFonts w:ascii="Calibri" w:hAnsi="Calibri" w:cs="Calibri"/>
          <w:sz w:val="22"/>
          <w:szCs w:val="22"/>
        </w:rPr>
        <w:t xml:space="preserve">; Handler et al., 2023; </w:t>
      </w:r>
      <w:r w:rsidR="00753EBE" w:rsidRPr="6A640EE8">
        <w:rPr>
          <w:rFonts w:ascii="Calibri" w:hAnsi="Calibri" w:cs="Calibri"/>
          <w:sz w:val="22"/>
          <w:szCs w:val="22"/>
          <w:highlight w:val="white"/>
        </w:rPr>
        <w:t>Hensler et al., 2018</w:t>
      </w:r>
      <w:r w:rsidR="00753EBE" w:rsidRPr="6A640EE8">
        <w:rPr>
          <w:rFonts w:ascii="Calibri" w:hAnsi="Calibri" w:cs="Calibri"/>
          <w:sz w:val="22"/>
          <w:szCs w:val="22"/>
        </w:rPr>
        <w:t xml:space="preserve">; </w:t>
      </w:r>
      <w:r w:rsidR="00753EBE" w:rsidRPr="6A640EE8">
        <w:rPr>
          <w:rFonts w:ascii="Calibri" w:hAnsi="Calibri" w:cs="Calibri"/>
          <w:sz w:val="22"/>
          <w:szCs w:val="22"/>
          <w:highlight w:val="white"/>
        </w:rPr>
        <w:t xml:space="preserve">Hoz et </w:t>
      </w:r>
      <w:r w:rsidR="00753EBE" w:rsidRPr="6A640EE8">
        <w:rPr>
          <w:rFonts w:ascii="Calibri" w:hAnsi="Calibri" w:cs="Calibri"/>
          <w:sz w:val="22"/>
          <w:szCs w:val="22"/>
          <w:highlight w:val="white"/>
        </w:rPr>
        <w:lastRenderedPageBreak/>
        <w:t>al., 2021</w:t>
      </w:r>
      <w:r w:rsidR="00753EBE" w:rsidRPr="6A640EE8">
        <w:rPr>
          <w:rFonts w:ascii="Calibri" w:hAnsi="Calibri" w:cs="Calibri"/>
          <w:sz w:val="22"/>
          <w:szCs w:val="22"/>
        </w:rPr>
        <w:t xml:space="preserve">; </w:t>
      </w:r>
      <w:r w:rsidR="00753EBE" w:rsidRPr="6A640EE8">
        <w:rPr>
          <w:rFonts w:ascii="Calibri" w:hAnsi="Calibri" w:cs="Calibri"/>
          <w:sz w:val="22"/>
          <w:szCs w:val="22"/>
          <w:highlight w:val="white"/>
        </w:rPr>
        <w:t>Odisho et al., 2023</w:t>
      </w:r>
      <w:r w:rsidR="00753EBE" w:rsidRPr="26F64964">
        <w:rPr>
          <w:rFonts w:ascii="Calibri" w:hAnsi="Calibri" w:cs="Calibri"/>
          <w:sz w:val="22"/>
          <w:szCs w:val="22"/>
        </w:rPr>
        <w:t>). In relation to the use of emerging technology such as AI and wearables, only two studies were identified and both demonstrated positive outcomes for patients such as helping with clinician decision making and encouraging physical activity to improve overall health (</w:t>
      </w:r>
      <w:proofErr w:type="spellStart"/>
      <w:r w:rsidR="00753EBE" w:rsidRPr="6A640EE8">
        <w:rPr>
          <w:rFonts w:ascii="Calibri" w:hAnsi="Calibri" w:cs="Calibri"/>
          <w:sz w:val="22"/>
          <w:szCs w:val="22"/>
          <w:highlight w:val="white"/>
        </w:rPr>
        <w:t>Divard</w:t>
      </w:r>
      <w:proofErr w:type="spellEnd"/>
      <w:r w:rsidR="00753EBE" w:rsidRPr="6A640EE8">
        <w:rPr>
          <w:rFonts w:ascii="Calibri" w:hAnsi="Calibri" w:cs="Calibri"/>
          <w:sz w:val="22"/>
          <w:szCs w:val="22"/>
          <w:highlight w:val="white"/>
        </w:rPr>
        <w:t xml:space="preserve"> et al., 2022</w:t>
      </w:r>
      <w:r w:rsidR="00753EBE" w:rsidRPr="6A640EE8">
        <w:rPr>
          <w:rFonts w:ascii="Calibri" w:hAnsi="Calibri" w:cs="Calibri"/>
          <w:sz w:val="22"/>
          <w:szCs w:val="22"/>
        </w:rPr>
        <w:t xml:space="preserve">; </w:t>
      </w:r>
      <w:r w:rsidR="00753EBE" w:rsidRPr="6A640EE8">
        <w:rPr>
          <w:rFonts w:ascii="Calibri" w:hAnsi="Calibri" w:cs="Calibri"/>
          <w:sz w:val="22"/>
          <w:szCs w:val="22"/>
          <w:highlight w:val="white"/>
        </w:rPr>
        <w:t>Duarte-Rojo et al., 2022</w:t>
      </w:r>
      <w:r w:rsidR="00753EBE" w:rsidRPr="26F64964">
        <w:rPr>
          <w:rFonts w:ascii="Calibri" w:hAnsi="Calibri" w:cs="Calibri"/>
          <w:sz w:val="22"/>
          <w:szCs w:val="22"/>
          <w:highlight w:val="white"/>
        </w:rPr>
        <w:t xml:space="preserve">). </w:t>
      </w:r>
      <w:r w:rsidR="00862FF0" w:rsidRPr="26F64964">
        <w:rPr>
          <w:rFonts w:ascii="Calibri" w:hAnsi="Calibri" w:cs="Calibri"/>
          <w:sz w:val="22"/>
          <w:szCs w:val="22"/>
          <w:highlight w:val="white"/>
        </w:rPr>
        <w:t>This highlights the</w:t>
      </w:r>
      <w:r w:rsidR="00862FF0" w:rsidRPr="26F64964">
        <w:rPr>
          <w:rFonts w:ascii="Calibri" w:hAnsi="Calibri" w:cs="Calibri"/>
          <w:sz w:val="22"/>
          <w:szCs w:val="22"/>
        </w:rPr>
        <w:t xml:space="preserve"> gap </w:t>
      </w:r>
      <w:r w:rsidRPr="26F64964">
        <w:rPr>
          <w:rFonts w:ascii="Calibri" w:hAnsi="Calibri" w:cs="Calibri"/>
          <w:sz w:val="22"/>
          <w:szCs w:val="22"/>
        </w:rPr>
        <w:t xml:space="preserve">in </w:t>
      </w:r>
      <w:r w:rsidR="00862FF0" w:rsidRPr="26F64964">
        <w:rPr>
          <w:rFonts w:ascii="Calibri" w:hAnsi="Calibri" w:cs="Calibri"/>
          <w:sz w:val="22"/>
          <w:szCs w:val="22"/>
        </w:rPr>
        <w:t xml:space="preserve">studies on the role of emerging technologies in transplantation care. </w:t>
      </w:r>
    </w:p>
    <w:p w14:paraId="7DEE2DEF" w14:textId="47C44451" w:rsidR="00310AD1" w:rsidRDefault="002E623D" w:rsidP="00310AD1">
      <w:pPr>
        <w:pStyle w:val="Heading3"/>
        <w:jc w:val="left"/>
        <w:rPr>
          <w:lang w:val="en-US"/>
        </w:rPr>
      </w:pPr>
      <w:bookmarkStart w:id="45" w:name="_Toc166854009"/>
      <w:r>
        <w:rPr>
          <w:lang w:val="en-US"/>
        </w:rPr>
        <w:t xml:space="preserve">5.1.4 </w:t>
      </w:r>
      <w:r w:rsidR="00094022">
        <w:rPr>
          <w:lang w:val="en-US"/>
        </w:rPr>
        <w:t>D</w:t>
      </w:r>
      <w:r w:rsidR="00C3394B">
        <w:rPr>
          <w:lang w:val="en-US"/>
        </w:rPr>
        <w:t xml:space="preserve">eveloping </w:t>
      </w:r>
      <w:r w:rsidR="00F31826">
        <w:rPr>
          <w:lang w:val="en-US"/>
        </w:rPr>
        <w:t xml:space="preserve">process of </w:t>
      </w:r>
      <w:r w:rsidR="00C3394B">
        <w:rPr>
          <w:lang w:val="en-US"/>
        </w:rPr>
        <w:t>ehealth devices</w:t>
      </w:r>
      <w:bookmarkEnd w:id="45"/>
    </w:p>
    <w:p w14:paraId="5A0F0AC1" w14:textId="5442AD8F" w:rsidR="00A357B8" w:rsidRPr="003F5FC1" w:rsidRDefault="00A357B8" w:rsidP="00CF4C7C">
      <w:pPr>
        <w:spacing w:line="360" w:lineRule="auto"/>
        <w:jc w:val="both"/>
        <w:rPr>
          <w:rFonts w:ascii="Calibri" w:eastAsia="Times New Roman" w:hAnsi="Calibri" w:cs="Calibri"/>
          <w:lang w:val="en-GB" w:eastAsia="en-GB"/>
        </w:rPr>
      </w:pPr>
      <w:r w:rsidRPr="26F64964">
        <w:rPr>
          <w:rFonts w:asciiTheme="minorHAnsi" w:hAnsiTheme="minorHAnsi" w:cstheme="minorBidi"/>
          <w:highlight w:val="white"/>
          <w:lang w:val="en-US"/>
        </w:rPr>
        <w:t xml:space="preserve">This </w:t>
      </w:r>
      <w:r w:rsidR="00EE7FAD" w:rsidRPr="26F64964">
        <w:rPr>
          <w:rFonts w:asciiTheme="minorHAnsi" w:hAnsiTheme="minorHAnsi" w:cstheme="minorBidi"/>
          <w:highlight w:val="white"/>
          <w:lang w:val="en-US"/>
        </w:rPr>
        <w:t xml:space="preserve">section of the </w:t>
      </w:r>
      <w:r w:rsidRPr="26F64964">
        <w:rPr>
          <w:rFonts w:asciiTheme="minorHAnsi" w:hAnsiTheme="minorHAnsi" w:cstheme="minorBidi"/>
          <w:highlight w:val="white"/>
          <w:lang w:val="en-US"/>
        </w:rPr>
        <w:t>discussion</w:t>
      </w:r>
      <w:r w:rsidRPr="26F64964">
        <w:rPr>
          <w:rFonts w:asciiTheme="minorHAnsi" w:hAnsiTheme="minorHAnsi" w:cstheme="minorBidi"/>
          <w:lang w:val="en-US"/>
        </w:rPr>
        <w:t xml:space="preserve"> </w:t>
      </w:r>
      <w:r w:rsidR="00F46946" w:rsidRPr="26F64964">
        <w:rPr>
          <w:rFonts w:asciiTheme="minorHAnsi" w:hAnsiTheme="minorHAnsi" w:cstheme="minorBidi"/>
          <w:lang w:val="en-US"/>
        </w:rPr>
        <w:t>provides answers</w:t>
      </w:r>
      <w:r w:rsidRPr="26F64964">
        <w:rPr>
          <w:rFonts w:asciiTheme="minorHAnsi" w:hAnsiTheme="minorHAnsi" w:cstheme="minorBidi"/>
          <w:lang w:val="en-US"/>
        </w:rPr>
        <w:t xml:space="preserve"> </w:t>
      </w:r>
      <w:r w:rsidRPr="26F64964">
        <w:rPr>
          <w:rFonts w:asciiTheme="minorHAnsi" w:hAnsiTheme="minorHAnsi" w:cstheme="minorBidi"/>
          <w:highlight w:val="white"/>
          <w:lang w:val="en-US"/>
        </w:rPr>
        <w:t>to the</w:t>
      </w:r>
      <w:r w:rsidR="003F5FC1" w:rsidRPr="26F64964">
        <w:rPr>
          <w:rFonts w:asciiTheme="minorHAnsi" w:hAnsiTheme="minorHAnsi" w:cstheme="minorBidi"/>
          <w:highlight w:val="white"/>
          <w:lang w:val="en-US"/>
        </w:rPr>
        <w:t xml:space="preserve"> </w:t>
      </w:r>
      <w:r w:rsidRPr="26F64964">
        <w:rPr>
          <w:rFonts w:asciiTheme="minorHAnsi" w:hAnsiTheme="minorHAnsi" w:cstheme="minorBidi"/>
          <w:highlight w:val="white"/>
          <w:lang w:val="en-US"/>
        </w:rPr>
        <w:t>research question</w:t>
      </w:r>
      <w:r w:rsidRPr="0022646B">
        <w:rPr>
          <w:rFonts w:asciiTheme="minorHAnsi" w:hAnsiTheme="minorHAnsi" w:cstheme="minorBidi"/>
          <w:highlight w:val="white"/>
          <w:lang w:val="en-US"/>
        </w:rPr>
        <w:t xml:space="preserve">, </w:t>
      </w:r>
      <w:r w:rsidR="00CF4C7C" w:rsidRPr="0022646B">
        <w:rPr>
          <w:rFonts w:asciiTheme="minorHAnsi" w:hAnsiTheme="minorHAnsi" w:cstheme="minorBidi"/>
          <w:highlight w:val="white"/>
          <w:lang w:val="en-US"/>
        </w:rPr>
        <w:t>“</w:t>
      </w:r>
      <w:r w:rsidR="00A35536" w:rsidRPr="0022646B">
        <w:rPr>
          <w:rFonts w:ascii="Calibri" w:eastAsia="Times New Roman" w:hAnsi="Calibri" w:cs="Calibri"/>
          <w:lang w:val="en-GB" w:eastAsia="en-GB"/>
        </w:rPr>
        <w:t>What are the key considerations for the development of eHealth interventions for transplant patients?”</w:t>
      </w:r>
    </w:p>
    <w:p w14:paraId="75B6283A" w14:textId="7079DE84" w:rsidR="00AB60AB" w:rsidRPr="00D33C9F" w:rsidRDefault="009C6AD6" w:rsidP="26F64964">
      <w:pPr>
        <w:pStyle w:val="NormalWeb"/>
        <w:spacing w:before="0" w:beforeAutospacing="0" w:after="0" w:afterAutospacing="0" w:line="360" w:lineRule="auto"/>
        <w:jc w:val="both"/>
        <w:rPr>
          <w:rFonts w:ascii="Calibri" w:hAnsi="Calibri" w:cs="Calibri"/>
          <w:sz w:val="22"/>
          <w:szCs w:val="22"/>
          <w:lang w:val="en-US"/>
        </w:rPr>
      </w:pPr>
      <w:r w:rsidRPr="00D33C9F">
        <w:rPr>
          <w:rFonts w:ascii="Calibri" w:hAnsi="Calibri" w:cs="Calibri"/>
          <w:sz w:val="22"/>
          <w:szCs w:val="22"/>
          <w:lang w:val="en-US"/>
        </w:rPr>
        <w:t xml:space="preserve">This study identified two crucial factors in developing </w:t>
      </w:r>
      <w:r w:rsidR="00602D02" w:rsidRPr="00D33C9F">
        <w:rPr>
          <w:rFonts w:ascii="Calibri" w:hAnsi="Calibri" w:cs="Calibri"/>
          <w:sz w:val="22"/>
          <w:szCs w:val="22"/>
          <w:lang w:val="en-US"/>
        </w:rPr>
        <w:t xml:space="preserve">the </w:t>
      </w:r>
      <w:r w:rsidR="00690FF5" w:rsidRPr="00D33C9F">
        <w:rPr>
          <w:rFonts w:ascii="Calibri" w:hAnsi="Calibri" w:cs="Calibri"/>
          <w:sz w:val="22"/>
          <w:szCs w:val="22"/>
          <w:lang w:val="en-US"/>
        </w:rPr>
        <w:t xml:space="preserve">process of </w:t>
      </w:r>
      <w:r w:rsidRPr="00D33C9F">
        <w:rPr>
          <w:rFonts w:ascii="Calibri" w:hAnsi="Calibri" w:cs="Calibri"/>
          <w:sz w:val="22"/>
          <w:szCs w:val="22"/>
          <w:lang w:val="en-US"/>
        </w:rPr>
        <w:t>digital health</w:t>
      </w:r>
      <w:r w:rsidR="00690FF5" w:rsidRPr="00D33C9F">
        <w:rPr>
          <w:rFonts w:ascii="Calibri" w:hAnsi="Calibri" w:cs="Calibri"/>
          <w:sz w:val="22"/>
          <w:szCs w:val="22"/>
          <w:lang w:val="en-US"/>
        </w:rPr>
        <w:t xml:space="preserve"> including</w:t>
      </w:r>
      <w:r w:rsidRPr="00D33C9F">
        <w:rPr>
          <w:rFonts w:ascii="Calibri" w:hAnsi="Calibri" w:cs="Calibri"/>
          <w:sz w:val="22"/>
          <w:szCs w:val="22"/>
          <w:lang w:val="en-US"/>
        </w:rPr>
        <w:t xml:space="preserve"> patient-centered and preparation and readiness</w:t>
      </w:r>
      <w:r w:rsidR="00A20D58" w:rsidRPr="00D33C9F">
        <w:rPr>
          <w:rFonts w:ascii="Calibri" w:hAnsi="Calibri" w:cs="Calibri"/>
          <w:sz w:val="22"/>
          <w:szCs w:val="22"/>
          <w:lang w:val="en-US"/>
        </w:rPr>
        <w:t xml:space="preserve"> (refers to expected outcome 3.a)</w:t>
      </w:r>
      <w:r w:rsidRPr="00D33C9F">
        <w:rPr>
          <w:rFonts w:ascii="Calibri" w:hAnsi="Calibri" w:cs="Calibri"/>
          <w:sz w:val="22"/>
          <w:szCs w:val="22"/>
          <w:lang w:val="en-US"/>
        </w:rPr>
        <w:t xml:space="preserve">. Both factors are deeply interdependent, as a patient-centered approach requires the preparation and readiness of patients and </w:t>
      </w:r>
      <w:r w:rsidR="00602D02" w:rsidRPr="00D33C9F">
        <w:rPr>
          <w:rFonts w:ascii="Calibri" w:hAnsi="Calibri" w:cs="Calibri"/>
          <w:sz w:val="22"/>
          <w:szCs w:val="22"/>
          <w:lang w:val="en-US"/>
        </w:rPr>
        <w:t xml:space="preserve">vice versa </w:t>
      </w:r>
      <w:r w:rsidR="00602D02" w:rsidRPr="00D33C9F">
        <w:rPr>
          <w:rFonts w:ascii="Calibri" w:hAnsi="Calibri" w:cs="Calibri"/>
          <w:sz w:val="22"/>
          <w:szCs w:val="22"/>
          <w:highlight w:val="white"/>
          <w:lang w:val="en-US"/>
        </w:rPr>
        <w:t>for a patient</w:t>
      </w:r>
      <w:r w:rsidRPr="00D33C9F">
        <w:rPr>
          <w:rFonts w:ascii="Calibri" w:hAnsi="Calibri" w:cs="Calibri"/>
          <w:sz w:val="22"/>
          <w:szCs w:val="22"/>
          <w:lang w:val="en-US"/>
        </w:rPr>
        <w:t>.</w:t>
      </w:r>
      <w:r w:rsidR="00E70D47" w:rsidRPr="00D33C9F">
        <w:rPr>
          <w:rFonts w:ascii="Calibri" w:hAnsi="Calibri" w:cs="Calibri"/>
          <w:sz w:val="22"/>
          <w:szCs w:val="22"/>
          <w:lang w:val="en-US"/>
        </w:rPr>
        <w:t xml:space="preserve"> </w:t>
      </w:r>
      <w:r w:rsidRPr="00D33C9F">
        <w:rPr>
          <w:rFonts w:ascii="Calibri" w:hAnsi="Calibri" w:cs="Calibri"/>
          <w:sz w:val="22"/>
          <w:szCs w:val="22"/>
          <w:lang w:val="en-US"/>
        </w:rPr>
        <w:t>A patient-centered approach in development influences the preparation phase by emphasizing the need to prepare health devices and transplant providers, clinicians, and pharmacists to meet patient needs</w:t>
      </w:r>
      <w:r w:rsidR="00A20D58" w:rsidRPr="00D33C9F">
        <w:rPr>
          <w:rFonts w:ascii="Calibri" w:hAnsi="Calibri" w:cs="Calibri"/>
          <w:sz w:val="22"/>
          <w:szCs w:val="22"/>
          <w:lang w:val="en-US"/>
        </w:rPr>
        <w:t xml:space="preserve"> (refers to expected outcome 3.b)</w:t>
      </w:r>
      <w:r w:rsidRPr="00D33C9F">
        <w:rPr>
          <w:rFonts w:ascii="Calibri" w:hAnsi="Calibri" w:cs="Calibri"/>
          <w:sz w:val="22"/>
          <w:szCs w:val="22"/>
          <w:lang w:val="en-US"/>
        </w:rPr>
        <w:t>. Developers must ensure that health devices are equipped to support patient needs. Patients' preparation and readiness depend on whether the digital tools meet their requirements and expectations.</w:t>
      </w:r>
      <w:r w:rsidR="00E70D47" w:rsidRPr="00D33C9F">
        <w:rPr>
          <w:rFonts w:ascii="Calibri" w:hAnsi="Calibri" w:cs="Calibri"/>
          <w:sz w:val="22"/>
          <w:szCs w:val="22"/>
          <w:lang w:val="en-US"/>
        </w:rPr>
        <w:t xml:space="preserve"> </w:t>
      </w:r>
      <w:r w:rsidR="008B4F93" w:rsidRPr="00D33C9F">
        <w:rPr>
          <w:rFonts w:ascii="Calibri" w:hAnsi="Calibri" w:cs="Calibri"/>
          <w:sz w:val="22"/>
          <w:szCs w:val="22"/>
          <w:lang w:val="en-US"/>
        </w:rPr>
        <w:t>Therefore, a</w:t>
      </w:r>
      <w:r w:rsidR="00E70D47" w:rsidRPr="00D33C9F">
        <w:rPr>
          <w:rFonts w:ascii="Calibri" w:hAnsi="Calibri" w:cs="Calibri"/>
          <w:sz w:val="22"/>
          <w:szCs w:val="22"/>
          <w:lang w:val="en-US"/>
        </w:rPr>
        <w:t xml:space="preserve"> lack of focus on any of these aspects would limit the</w:t>
      </w:r>
      <w:r w:rsidR="007429BB" w:rsidRPr="00D33C9F">
        <w:rPr>
          <w:rFonts w:ascii="Calibri" w:hAnsi="Calibri" w:cs="Calibri"/>
          <w:sz w:val="22"/>
          <w:szCs w:val="22"/>
          <w:lang w:val="en-US"/>
        </w:rPr>
        <w:t xml:space="preserve"> </w:t>
      </w:r>
      <w:r w:rsidR="00D82A44" w:rsidRPr="00D33C9F">
        <w:rPr>
          <w:rFonts w:ascii="Calibri" w:hAnsi="Calibri" w:cs="Calibri"/>
          <w:sz w:val="22"/>
          <w:szCs w:val="22"/>
          <w:lang w:val="en-US"/>
        </w:rPr>
        <w:t>effectiveness</w:t>
      </w:r>
      <w:r w:rsidR="007429BB" w:rsidRPr="00D33C9F">
        <w:rPr>
          <w:rFonts w:ascii="Calibri" w:hAnsi="Calibri" w:cs="Calibri"/>
          <w:sz w:val="22"/>
          <w:szCs w:val="22"/>
          <w:lang w:val="en-US"/>
        </w:rPr>
        <w:t xml:space="preserve"> of e</w:t>
      </w:r>
      <w:r w:rsidR="00F46946" w:rsidRPr="00D33C9F">
        <w:rPr>
          <w:rFonts w:ascii="Calibri" w:hAnsi="Calibri" w:cs="Calibri"/>
          <w:sz w:val="22"/>
          <w:szCs w:val="22"/>
          <w:lang w:val="en-US"/>
        </w:rPr>
        <w:t>H</w:t>
      </w:r>
      <w:r w:rsidR="007429BB" w:rsidRPr="00D33C9F">
        <w:rPr>
          <w:rFonts w:ascii="Calibri" w:hAnsi="Calibri" w:cs="Calibri"/>
          <w:sz w:val="22"/>
          <w:szCs w:val="22"/>
          <w:lang w:val="en-US"/>
        </w:rPr>
        <w:t>ealth devices</w:t>
      </w:r>
      <w:r w:rsidR="0082522E" w:rsidRPr="00D33C9F">
        <w:rPr>
          <w:rFonts w:ascii="Calibri" w:hAnsi="Calibri" w:cs="Calibri"/>
          <w:sz w:val="22"/>
          <w:szCs w:val="22"/>
          <w:lang w:val="en-US"/>
        </w:rPr>
        <w:t xml:space="preserve">. </w:t>
      </w:r>
    </w:p>
    <w:p w14:paraId="53B22261" w14:textId="26B55078" w:rsidR="00B16F55" w:rsidRPr="00B16F55" w:rsidRDefault="002E623D" w:rsidP="00B16F55">
      <w:pPr>
        <w:pStyle w:val="Heading3"/>
        <w:jc w:val="left"/>
        <w:rPr>
          <w:lang w:val="en-US"/>
        </w:rPr>
      </w:pPr>
      <w:bookmarkStart w:id="46" w:name="_Toc166854010"/>
      <w:r>
        <w:rPr>
          <w:lang w:val="en-US"/>
        </w:rPr>
        <w:t xml:space="preserve">5.1.5 </w:t>
      </w:r>
      <w:r w:rsidR="00094022">
        <w:rPr>
          <w:lang w:val="en-US"/>
        </w:rPr>
        <w:t>D</w:t>
      </w:r>
      <w:r w:rsidR="00B938FB">
        <w:rPr>
          <w:lang w:val="en-US"/>
        </w:rPr>
        <w:t xml:space="preserve">ifferent groups of </w:t>
      </w:r>
      <w:r w:rsidR="005F322D">
        <w:rPr>
          <w:lang w:val="en-US"/>
        </w:rPr>
        <w:t>e</w:t>
      </w:r>
      <w:r w:rsidR="00B938FB">
        <w:rPr>
          <w:lang w:val="en-US"/>
        </w:rPr>
        <w:t>health device users</w:t>
      </w:r>
      <w:bookmarkEnd w:id="46"/>
    </w:p>
    <w:p w14:paraId="0B9E5B1B" w14:textId="0E298E78" w:rsidR="008509D6" w:rsidRPr="00222CDB" w:rsidRDefault="00CF4C7C" w:rsidP="008509D6">
      <w:pPr>
        <w:spacing w:line="360" w:lineRule="auto"/>
        <w:jc w:val="both"/>
        <w:rPr>
          <w:rFonts w:asciiTheme="minorHAnsi" w:eastAsia="Times New Roman" w:hAnsiTheme="minorHAnsi" w:cstheme="minorHAnsi"/>
          <w:lang w:val="en-GB" w:eastAsia="en-GB"/>
        </w:rPr>
      </w:pPr>
      <w:r w:rsidRPr="00222CDB">
        <w:rPr>
          <w:rFonts w:asciiTheme="minorHAnsi" w:hAnsiTheme="minorHAnsi" w:cstheme="minorHAnsi"/>
          <w:lang w:val="en-US"/>
        </w:rPr>
        <w:t>This discussion is related to the research question</w:t>
      </w:r>
      <w:r w:rsidR="008B4F93" w:rsidRPr="00222CDB">
        <w:rPr>
          <w:rFonts w:asciiTheme="minorHAnsi" w:hAnsiTheme="minorHAnsi" w:cstheme="minorHAnsi"/>
          <w:lang w:val="en-US"/>
        </w:rPr>
        <w:t>:</w:t>
      </w:r>
      <w:r w:rsidRPr="00222CDB">
        <w:rPr>
          <w:rFonts w:asciiTheme="minorHAnsi" w:hAnsiTheme="minorHAnsi" w:cstheme="minorHAnsi"/>
          <w:lang w:val="en-US"/>
        </w:rPr>
        <w:t xml:space="preserve"> </w:t>
      </w:r>
      <w:r w:rsidRPr="0022646B">
        <w:rPr>
          <w:rFonts w:asciiTheme="minorHAnsi" w:hAnsiTheme="minorHAnsi" w:cstheme="minorHAnsi"/>
          <w:lang w:val="en-US"/>
        </w:rPr>
        <w:t>“</w:t>
      </w:r>
      <w:r w:rsidR="004736E7" w:rsidRPr="0022646B">
        <w:rPr>
          <w:rFonts w:asciiTheme="minorHAnsi" w:eastAsia="Times New Roman" w:hAnsiTheme="minorHAnsi" w:cstheme="minorHAnsi"/>
          <w:lang w:val="en-GB" w:eastAsia="en-GB"/>
        </w:rPr>
        <w:t>Who</w:t>
      </w:r>
      <w:r w:rsidR="008509D6" w:rsidRPr="0022646B">
        <w:rPr>
          <w:rFonts w:asciiTheme="minorHAnsi" w:eastAsia="Times New Roman" w:hAnsiTheme="minorHAnsi" w:cstheme="minorHAnsi"/>
          <w:lang w:val="en-GB" w:eastAsia="en-GB"/>
        </w:rPr>
        <w:t xml:space="preserve"> are the different groups of users </w:t>
      </w:r>
      <w:r w:rsidR="00602D02" w:rsidRPr="0022646B">
        <w:rPr>
          <w:rFonts w:asciiTheme="minorHAnsi" w:eastAsia="Times New Roman" w:hAnsiTheme="minorHAnsi" w:cstheme="minorHAnsi"/>
          <w:lang w:val="en-GB" w:eastAsia="en-GB"/>
        </w:rPr>
        <w:t xml:space="preserve">of </w:t>
      </w:r>
      <w:r w:rsidR="008509D6" w:rsidRPr="0022646B">
        <w:rPr>
          <w:rFonts w:asciiTheme="minorHAnsi" w:eastAsia="Times New Roman" w:hAnsiTheme="minorHAnsi" w:cstheme="minorHAnsi"/>
          <w:lang w:val="en-GB" w:eastAsia="en-GB"/>
        </w:rPr>
        <w:t>eHealth devices?”</w:t>
      </w:r>
    </w:p>
    <w:p w14:paraId="3FB43B85" w14:textId="172D5329" w:rsidR="009C6AD6" w:rsidRPr="008509D6" w:rsidRDefault="009C6AD6" w:rsidP="008509D6">
      <w:pPr>
        <w:spacing w:line="360" w:lineRule="auto"/>
        <w:jc w:val="both"/>
        <w:rPr>
          <w:rFonts w:asciiTheme="minorHAnsi" w:eastAsia="Times New Roman" w:hAnsiTheme="minorHAnsi" w:cstheme="minorHAnsi"/>
          <w:color w:val="7030A0"/>
          <w:lang w:val="en-GB" w:eastAsia="en-GB"/>
        </w:rPr>
      </w:pPr>
      <w:r w:rsidRPr="009C6AD6">
        <w:rPr>
          <w:rFonts w:asciiTheme="minorHAnsi" w:hAnsiTheme="minorHAnsi" w:cstheme="minorHAnsi"/>
          <w:lang w:val="en-US"/>
        </w:rPr>
        <w:t xml:space="preserve">This study identified two </w:t>
      </w:r>
      <w:r w:rsidR="00B44112">
        <w:rPr>
          <w:rFonts w:asciiTheme="minorHAnsi" w:hAnsiTheme="minorHAnsi" w:cstheme="minorHAnsi"/>
          <w:lang w:val="en-US"/>
        </w:rPr>
        <w:t xml:space="preserve">main </w:t>
      </w:r>
      <w:r w:rsidRPr="009C6AD6">
        <w:rPr>
          <w:rFonts w:asciiTheme="minorHAnsi" w:hAnsiTheme="minorHAnsi" w:cstheme="minorHAnsi"/>
          <w:lang w:val="en-US"/>
        </w:rPr>
        <w:t xml:space="preserve">groups of </w:t>
      </w:r>
      <w:r w:rsidR="00B44112">
        <w:rPr>
          <w:rFonts w:asciiTheme="minorHAnsi" w:hAnsiTheme="minorHAnsi" w:cstheme="minorHAnsi"/>
          <w:lang w:val="en-US"/>
        </w:rPr>
        <w:t xml:space="preserve">eHealth </w:t>
      </w:r>
      <w:r w:rsidRPr="009C6AD6">
        <w:rPr>
          <w:rFonts w:asciiTheme="minorHAnsi" w:hAnsiTheme="minorHAnsi" w:cstheme="minorHAnsi"/>
          <w:lang w:val="en-US"/>
        </w:rPr>
        <w:t>users: (1) patients, caregivers</w:t>
      </w:r>
      <w:r w:rsidR="00B44112">
        <w:rPr>
          <w:rFonts w:asciiTheme="minorHAnsi" w:hAnsiTheme="minorHAnsi" w:cstheme="minorHAnsi"/>
          <w:lang w:val="en-US"/>
        </w:rPr>
        <w:t>,</w:t>
      </w:r>
      <w:r w:rsidRPr="009C6AD6">
        <w:rPr>
          <w:rFonts w:asciiTheme="minorHAnsi" w:hAnsiTheme="minorHAnsi" w:cstheme="minorHAnsi"/>
          <w:lang w:val="en-US"/>
        </w:rPr>
        <w:t xml:space="preserve"> and families, (2) transplant providers, clinicians</w:t>
      </w:r>
      <w:r w:rsidR="00B44112">
        <w:rPr>
          <w:rFonts w:asciiTheme="minorHAnsi" w:hAnsiTheme="minorHAnsi" w:cstheme="minorHAnsi"/>
          <w:lang w:val="en-US"/>
        </w:rPr>
        <w:t>,</w:t>
      </w:r>
      <w:r w:rsidRPr="009C6AD6">
        <w:rPr>
          <w:rFonts w:asciiTheme="minorHAnsi" w:hAnsiTheme="minorHAnsi" w:cstheme="minorHAnsi"/>
          <w:lang w:val="en-US"/>
        </w:rPr>
        <w:t xml:space="preserve"> and </w:t>
      </w:r>
      <w:r w:rsidRPr="00D33C9F">
        <w:rPr>
          <w:rFonts w:asciiTheme="minorHAnsi" w:hAnsiTheme="minorHAnsi" w:cstheme="minorHAnsi"/>
          <w:lang w:val="en-US"/>
        </w:rPr>
        <w:t>pharmacists</w:t>
      </w:r>
      <w:r w:rsidR="00A20D58" w:rsidRPr="00D33C9F">
        <w:rPr>
          <w:rFonts w:asciiTheme="minorHAnsi" w:hAnsiTheme="minorHAnsi" w:cstheme="minorHAnsi"/>
          <w:lang w:val="en-US"/>
        </w:rPr>
        <w:t xml:space="preserve"> (refers to expected outcome 4.a)</w:t>
      </w:r>
      <w:r w:rsidRPr="00D33C9F">
        <w:rPr>
          <w:rFonts w:asciiTheme="minorHAnsi" w:hAnsiTheme="minorHAnsi" w:cstheme="minorHAnsi"/>
          <w:lang w:val="en-US"/>
        </w:rPr>
        <w:t xml:space="preserve">. The findings </w:t>
      </w:r>
      <w:r w:rsidRPr="009C6AD6">
        <w:rPr>
          <w:rFonts w:asciiTheme="minorHAnsi" w:hAnsiTheme="minorHAnsi" w:cstheme="minorHAnsi"/>
          <w:lang w:val="en-US"/>
        </w:rPr>
        <w:t xml:space="preserve">indicate that both </w:t>
      </w:r>
      <w:r w:rsidR="00B44112">
        <w:rPr>
          <w:rFonts w:asciiTheme="minorHAnsi" w:hAnsiTheme="minorHAnsi" w:cstheme="minorHAnsi"/>
          <w:lang w:val="en-US"/>
        </w:rPr>
        <w:t>group</w:t>
      </w:r>
      <w:r w:rsidR="00602D02">
        <w:rPr>
          <w:rFonts w:asciiTheme="minorHAnsi" w:hAnsiTheme="minorHAnsi" w:cstheme="minorHAnsi"/>
          <w:lang w:val="en-US"/>
        </w:rPr>
        <w:t>s</w:t>
      </w:r>
      <w:r w:rsidR="00B44112">
        <w:rPr>
          <w:rFonts w:asciiTheme="minorHAnsi" w:hAnsiTheme="minorHAnsi" w:cstheme="minorHAnsi"/>
          <w:lang w:val="en-US"/>
        </w:rPr>
        <w:t xml:space="preserve"> of </w:t>
      </w:r>
      <w:r w:rsidRPr="009C6AD6">
        <w:rPr>
          <w:rFonts w:asciiTheme="minorHAnsi" w:hAnsiTheme="minorHAnsi" w:cstheme="minorHAnsi"/>
          <w:lang w:val="en-US"/>
        </w:rPr>
        <w:t xml:space="preserve">users are connected through the shared goal of providing and receiving health care services for transplant purposes. </w:t>
      </w:r>
    </w:p>
    <w:p w14:paraId="1432BE53" w14:textId="7334C7B1" w:rsidR="008F2866" w:rsidRPr="000538EB" w:rsidRDefault="009C6AD6" w:rsidP="26F64964">
      <w:pPr>
        <w:pStyle w:val="NormalWeb"/>
        <w:spacing w:before="0" w:beforeAutospacing="0" w:after="0" w:afterAutospacing="0" w:line="360" w:lineRule="auto"/>
        <w:jc w:val="both"/>
        <w:rPr>
          <w:rFonts w:asciiTheme="minorHAnsi" w:hAnsiTheme="minorHAnsi" w:cstheme="minorBidi"/>
          <w:sz w:val="22"/>
          <w:szCs w:val="22"/>
          <w:lang w:val="en-US"/>
        </w:rPr>
      </w:pPr>
      <w:r w:rsidRPr="26F64964">
        <w:rPr>
          <w:rFonts w:asciiTheme="minorHAnsi" w:hAnsiTheme="minorHAnsi" w:cstheme="minorBidi"/>
          <w:sz w:val="22"/>
          <w:szCs w:val="22"/>
          <w:lang w:val="en-US"/>
        </w:rPr>
        <w:t xml:space="preserve">Health devices facilitate the seamless </w:t>
      </w:r>
      <w:r w:rsidRPr="26F64964">
        <w:rPr>
          <w:rFonts w:asciiTheme="minorHAnsi" w:hAnsiTheme="minorHAnsi" w:cstheme="minorBidi"/>
          <w:sz w:val="22"/>
          <w:szCs w:val="22"/>
          <w:highlight w:val="white"/>
          <w:lang w:val="en-US"/>
        </w:rPr>
        <w:t>exchange of information between</w:t>
      </w:r>
      <w:r w:rsidRPr="26F64964">
        <w:rPr>
          <w:rFonts w:asciiTheme="minorHAnsi" w:hAnsiTheme="minorHAnsi" w:cstheme="minorBidi"/>
          <w:sz w:val="22"/>
          <w:szCs w:val="22"/>
          <w:lang w:val="en-US"/>
        </w:rPr>
        <w:t xml:space="preserve"> patients/families and healthcare providers. Patients can provide real-time health status and symptoms data, enabling healthcare providers to make informed decisions. By using shared platforms, both parties can coordinate care more effectively. For instance, patients can schedule appointments, track medications, and share relevant data with healthcare providers, leading to more personalized and timely care. Health tools </w:t>
      </w:r>
      <w:r w:rsidRPr="26F64964">
        <w:rPr>
          <w:rFonts w:asciiTheme="minorHAnsi" w:hAnsiTheme="minorHAnsi" w:cstheme="minorBidi"/>
          <w:sz w:val="22"/>
          <w:szCs w:val="22"/>
          <w:highlight w:val="white"/>
          <w:lang w:val="en-US"/>
        </w:rPr>
        <w:t>empower patients by providing them with resources to</w:t>
      </w:r>
      <w:r w:rsidRPr="26F64964">
        <w:rPr>
          <w:rFonts w:asciiTheme="minorHAnsi" w:hAnsiTheme="minorHAnsi" w:cstheme="minorBidi"/>
          <w:sz w:val="22"/>
          <w:szCs w:val="22"/>
          <w:lang w:val="en-US"/>
        </w:rPr>
        <w:t xml:space="preserve"> participate actively in their care. Meanwhile, healthcare providers can use these tools to engage patients in </w:t>
      </w:r>
      <w:r w:rsidRPr="26F64964">
        <w:rPr>
          <w:rFonts w:asciiTheme="minorHAnsi" w:hAnsiTheme="minorHAnsi" w:cstheme="minorBidi"/>
          <w:sz w:val="22"/>
          <w:szCs w:val="22"/>
          <w:lang w:val="en-US"/>
        </w:rPr>
        <w:lastRenderedPageBreak/>
        <w:t>self-management</w:t>
      </w:r>
      <w:r w:rsidR="00240EC6"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lang w:val="en-US"/>
        </w:rPr>
        <w:t>monitor their progress remotely</w:t>
      </w:r>
      <w:r w:rsidR="00240EC6" w:rsidRPr="26F64964">
        <w:rPr>
          <w:rFonts w:asciiTheme="minorHAnsi" w:hAnsiTheme="minorHAnsi" w:cstheme="minorBidi"/>
          <w:sz w:val="22"/>
          <w:szCs w:val="22"/>
          <w:lang w:val="en-US"/>
        </w:rPr>
        <w:t xml:space="preserve"> and help </w:t>
      </w:r>
      <w:r w:rsidR="009F74FB" w:rsidRPr="26F64964">
        <w:rPr>
          <w:rFonts w:asciiTheme="minorHAnsi" w:hAnsiTheme="minorHAnsi" w:cstheme="minorBidi"/>
          <w:sz w:val="22"/>
          <w:szCs w:val="22"/>
          <w:lang w:val="en-US"/>
        </w:rPr>
        <w:t xml:space="preserve">the healthcare providers </w:t>
      </w:r>
      <w:r w:rsidR="00C80AB8" w:rsidRPr="26F64964">
        <w:rPr>
          <w:rFonts w:asciiTheme="minorHAnsi" w:hAnsiTheme="minorHAnsi" w:cstheme="minorBidi"/>
          <w:sz w:val="22"/>
          <w:szCs w:val="22"/>
          <w:lang w:val="en-US"/>
        </w:rPr>
        <w:t xml:space="preserve">to inform their </w:t>
      </w:r>
      <w:r w:rsidR="00240EC6" w:rsidRPr="26F64964">
        <w:rPr>
          <w:rFonts w:asciiTheme="minorHAnsi" w:hAnsiTheme="minorHAnsi" w:cstheme="minorBidi"/>
          <w:sz w:val="22"/>
          <w:szCs w:val="22"/>
          <w:lang w:val="en-US"/>
        </w:rPr>
        <w:t>decision</w:t>
      </w:r>
      <w:r w:rsidR="00C80AB8" w:rsidRPr="26F64964">
        <w:rPr>
          <w:rFonts w:asciiTheme="minorHAnsi" w:hAnsiTheme="minorHAnsi" w:cstheme="minorBidi"/>
          <w:sz w:val="22"/>
          <w:szCs w:val="22"/>
          <w:lang w:val="en-US"/>
        </w:rPr>
        <w:t>s</w:t>
      </w:r>
      <w:r w:rsidR="00240EC6" w:rsidRPr="26F64964">
        <w:rPr>
          <w:rFonts w:asciiTheme="minorHAnsi" w:hAnsiTheme="minorHAnsi" w:cstheme="minorBidi"/>
          <w:sz w:val="22"/>
          <w:szCs w:val="22"/>
          <w:lang w:val="en-US"/>
        </w:rPr>
        <w:t xml:space="preserve"> </w:t>
      </w:r>
      <w:r w:rsidR="00EA4612" w:rsidRPr="26F64964">
        <w:rPr>
          <w:rFonts w:asciiTheme="minorHAnsi" w:hAnsiTheme="minorHAnsi" w:cstheme="minorBidi"/>
          <w:sz w:val="22"/>
          <w:szCs w:val="22"/>
          <w:lang w:val="en-US"/>
        </w:rPr>
        <w:t>regarding</w:t>
      </w:r>
      <w:r w:rsidR="00845CDA" w:rsidRPr="26F64964">
        <w:rPr>
          <w:rFonts w:asciiTheme="minorHAnsi" w:hAnsiTheme="minorHAnsi" w:cstheme="minorBidi"/>
          <w:sz w:val="22"/>
          <w:szCs w:val="22"/>
          <w:lang w:val="en-US"/>
        </w:rPr>
        <w:t xml:space="preserve"> patient health. </w:t>
      </w:r>
      <w:r w:rsidR="001B0D0A" w:rsidRPr="26F64964">
        <w:rPr>
          <w:rFonts w:asciiTheme="minorHAnsi" w:hAnsiTheme="minorHAnsi" w:cstheme="minorBidi"/>
          <w:sz w:val="22"/>
          <w:szCs w:val="22"/>
          <w:lang w:val="en-US"/>
        </w:rPr>
        <w:t>Integrating</w:t>
      </w:r>
      <w:r w:rsidRPr="26F64964">
        <w:rPr>
          <w:rFonts w:asciiTheme="minorHAnsi" w:hAnsiTheme="minorHAnsi" w:cstheme="minorBidi"/>
          <w:sz w:val="22"/>
          <w:szCs w:val="22"/>
          <w:lang w:val="en-US"/>
        </w:rPr>
        <w:t xml:space="preserve"> digital health tools for patient</w:t>
      </w:r>
      <w:r w:rsidR="00845CDA" w:rsidRPr="26F64964">
        <w:rPr>
          <w:rFonts w:asciiTheme="minorHAnsi" w:hAnsiTheme="minorHAnsi" w:cstheme="minorBidi"/>
          <w:sz w:val="22"/>
          <w:szCs w:val="22"/>
          <w:lang w:val="en-US"/>
        </w:rPr>
        <w:t xml:space="preserve"> </w:t>
      </w:r>
      <w:r w:rsidRPr="26F64964">
        <w:rPr>
          <w:rFonts w:asciiTheme="minorHAnsi" w:hAnsiTheme="minorHAnsi" w:cstheme="minorBidi"/>
          <w:sz w:val="22"/>
          <w:szCs w:val="22"/>
          <w:lang w:val="en-US"/>
        </w:rPr>
        <w:t>and provider-centric purposes fosters a holistic approach to transplant care, enhancing communication, efficiency, and overall patient outcomes.</w:t>
      </w:r>
      <w:r w:rsidR="00BE5C39" w:rsidRPr="26F64964">
        <w:rPr>
          <w:rFonts w:asciiTheme="minorHAnsi" w:hAnsiTheme="minorHAnsi" w:cstheme="minorBidi"/>
          <w:sz w:val="22"/>
          <w:szCs w:val="22"/>
          <w:lang w:val="en-US"/>
        </w:rPr>
        <w:t xml:space="preserve"> As well as help</w:t>
      </w:r>
      <w:r w:rsidR="007260E6" w:rsidRPr="26F64964">
        <w:rPr>
          <w:rFonts w:asciiTheme="minorHAnsi" w:hAnsiTheme="minorHAnsi" w:cstheme="minorBidi"/>
          <w:sz w:val="22"/>
          <w:szCs w:val="22"/>
          <w:lang w:val="en-US"/>
        </w:rPr>
        <w:t xml:space="preserve">ing </w:t>
      </w:r>
      <w:r w:rsidR="00C32BDA" w:rsidRPr="26F64964">
        <w:rPr>
          <w:rFonts w:asciiTheme="minorHAnsi" w:hAnsiTheme="minorHAnsi" w:cstheme="minorBidi"/>
          <w:sz w:val="22"/>
          <w:szCs w:val="22"/>
          <w:lang w:val="en-US"/>
        </w:rPr>
        <w:t xml:space="preserve">healthcare providers with </w:t>
      </w:r>
      <w:r w:rsidR="006B0755" w:rsidRPr="26F64964">
        <w:rPr>
          <w:rFonts w:asciiTheme="minorHAnsi" w:hAnsiTheme="minorHAnsi" w:cstheme="minorBidi"/>
          <w:sz w:val="22"/>
          <w:szCs w:val="22"/>
          <w:lang w:val="en-US"/>
        </w:rPr>
        <w:t xml:space="preserve">decision making, such as </w:t>
      </w:r>
      <w:r w:rsidR="00230592" w:rsidRPr="26F64964">
        <w:rPr>
          <w:rFonts w:asciiTheme="minorHAnsi" w:hAnsiTheme="minorHAnsi" w:cstheme="minorBidi"/>
          <w:sz w:val="22"/>
          <w:szCs w:val="22"/>
          <w:lang w:val="en-US"/>
        </w:rPr>
        <w:t xml:space="preserve">altering medication dosages, treatment plans and interventions based on the </w:t>
      </w:r>
      <w:r w:rsidR="00E443A1" w:rsidRPr="26F64964">
        <w:rPr>
          <w:rFonts w:asciiTheme="minorHAnsi" w:hAnsiTheme="minorHAnsi" w:cstheme="minorBidi"/>
          <w:sz w:val="22"/>
          <w:szCs w:val="22"/>
          <w:lang w:val="en-US"/>
        </w:rPr>
        <w:t>data provided by patients through healt</w:t>
      </w:r>
      <w:r w:rsidR="00301E25" w:rsidRPr="26F64964">
        <w:rPr>
          <w:rFonts w:asciiTheme="minorHAnsi" w:hAnsiTheme="minorHAnsi" w:cstheme="minorBidi"/>
          <w:sz w:val="22"/>
          <w:szCs w:val="22"/>
          <w:lang w:val="en-US"/>
        </w:rPr>
        <w:t xml:space="preserve">h </w:t>
      </w:r>
      <w:r w:rsidR="00E443A1" w:rsidRPr="26F64964">
        <w:rPr>
          <w:rFonts w:asciiTheme="minorHAnsi" w:hAnsiTheme="minorHAnsi" w:cstheme="minorBidi"/>
          <w:sz w:val="22"/>
          <w:szCs w:val="22"/>
          <w:lang w:val="en-US"/>
        </w:rPr>
        <w:t>devices.</w:t>
      </w:r>
    </w:p>
    <w:p w14:paraId="686D2DD0" w14:textId="727C82E0" w:rsidR="000966F4" w:rsidRDefault="002E623D" w:rsidP="000966F4">
      <w:pPr>
        <w:pStyle w:val="Heading3"/>
        <w:jc w:val="left"/>
        <w:rPr>
          <w:rFonts w:eastAsia="Times New Roman"/>
          <w:lang w:eastAsia="en-GB"/>
        </w:rPr>
      </w:pPr>
      <w:bookmarkStart w:id="47" w:name="_Toc166854011"/>
      <w:r>
        <w:rPr>
          <w:rFonts w:eastAsia="Times New Roman"/>
          <w:lang w:eastAsia="en-GB"/>
        </w:rPr>
        <w:t xml:space="preserve">5.1.6 </w:t>
      </w:r>
      <w:r w:rsidR="00094022">
        <w:rPr>
          <w:rFonts w:eastAsia="Times New Roman"/>
          <w:lang w:eastAsia="en-GB"/>
        </w:rPr>
        <w:t>F</w:t>
      </w:r>
      <w:r w:rsidR="000966F4">
        <w:rPr>
          <w:rFonts w:eastAsia="Times New Roman"/>
          <w:lang w:eastAsia="en-GB"/>
        </w:rPr>
        <w:t xml:space="preserve">uture Prospects of </w:t>
      </w:r>
      <w:r w:rsidR="005F322D">
        <w:rPr>
          <w:rFonts w:eastAsia="Times New Roman"/>
          <w:lang w:eastAsia="en-GB"/>
        </w:rPr>
        <w:t>e</w:t>
      </w:r>
      <w:r w:rsidR="000966F4">
        <w:rPr>
          <w:rFonts w:eastAsia="Times New Roman"/>
          <w:lang w:eastAsia="en-GB"/>
        </w:rPr>
        <w:t>health in transplantation</w:t>
      </w:r>
      <w:r w:rsidR="00E80572">
        <w:rPr>
          <w:rFonts w:eastAsia="Times New Roman"/>
          <w:lang w:eastAsia="en-GB"/>
        </w:rPr>
        <w:t xml:space="preserve"> &amp; Future research</w:t>
      </w:r>
      <w:bookmarkEnd w:id="47"/>
    </w:p>
    <w:p w14:paraId="1C66FAC9" w14:textId="63E6D7BC" w:rsidR="00352508" w:rsidRPr="00D33C9F" w:rsidRDefault="00E50214" w:rsidP="26F64964">
      <w:pPr>
        <w:spacing w:line="360" w:lineRule="auto"/>
        <w:jc w:val="both"/>
        <w:rPr>
          <w:rFonts w:asciiTheme="minorHAnsi" w:eastAsia="Times New Roman" w:hAnsiTheme="minorHAnsi" w:cstheme="minorBidi"/>
          <w:lang w:eastAsia="en-GB"/>
        </w:rPr>
      </w:pPr>
      <w:r w:rsidRPr="26F64964">
        <w:rPr>
          <w:rFonts w:asciiTheme="minorHAnsi" w:eastAsia="Times New Roman" w:hAnsiTheme="minorHAnsi" w:cstheme="minorBidi"/>
          <w:color w:val="212121"/>
          <w:lang w:eastAsia="en-GB"/>
        </w:rPr>
        <w:t xml:space="preserve">Studies have proven the capabilities and positive impact of eHealth within transplantation care. With continuous advancements in technology, there is room for more positive impact within transplantation. </w:t>
      </w:r>
      <w:r w:rsidR="00EB18B8" w:rsidRPr="26F64964">
        <w:rPr>
          <w:rFonts w:asciiTheme="minorHAnsi" w:eastAsia="Times New Roman" w:hAnsiTheme="minorHAnsi" w:cstheme="minorBidi"/>
          <w:color w:val="212121"/>
          <w:lang w:eastAsia="en-GB"/>
        </w:rPr>
        <w:t xml:space="preserve">Such as the </w:t>
      </w:r>
      <w:r w:rsidR="009A2CD5" w:rsidRPr="26F64964">
        <w:rPr>
          <w:rFonts w:asciiTheme="minorHAnsi" w:eastAsia="Times New Roman" w:hAnsiTheme="minorHAnsi" w:cstheme="minorBidi"/>
          <w:color w:val="212121"/>
          <w:lang w:eastAsia="en-GB"/>
        </w:rPr>
        <w:t xml:space="preserve">adoption of emerging technologies </w:t>
      </w:r>
      <w:r w:rsidR="00EB7310" w:rsidRPr="26F64964">
        <w:rPr>
          <w:rFonts w:asciiTheme="minorHAnsi" w:eastAsia="Times New Roman" w:hAnsiTheme="minorHAnsi" w:cstheme="minorBidi"/>
          <w:color w:val="212121"/>
          <w:lang w:eastAsia="en-GB"/>
        </w:rPr>
        <w:t xml:space="preserve">within transplantation care </w:t>
      </w:r>
      <w:r w:rsidR="009A2CD5" w:rsidRPr="26F64964">
        <w:rPr>
          <w:rFonts w:asciiTheme="minorHAnsi" w:eastAsia="Times New Roman" w:hAnsiTheme="minorHAnsi" w:cstheme="minorBidi"/>
          <w:color w:val="212121"/>
          <w:lang w:eastAsia="en-GB"/>
        </w:rPr>
        <w:t xml:space="preserve">like </w:t>
      </w:r>
      <w:r w:rsidR="009A2CD5" w:rsidRPr="26F64964">
        <w:rPr>
          <w:rFonts w:asciiTheme="minorHAnsi" w:eastAsia="Times New Roman" w:hAnsiTheme="minorHAnsi" w:cstheme="minorBidi"/>
          <w:color w:val="212121"/>
          <w:highlight w:val="white"/>
          <w:lang w:eastAsia="en-GB"/>
        </w:rPr>
        <w:t>AI, virtual reality</w:t>
      </w:r>
      <w:r w:rsidR="00883C1C" w:rsidRPr="26F64964">
        <w:rPr>
          <w:rFonts w:asciiTheme="minorHAnsi" w:eastAsia="Times New Roman" w:hAnsiTheme="minorHAnsi" w:cstheme="minorBidi"/>
          <w:color w:val="212121"/>
          <w:highlight w:val="white"/>
          <w:lang w:eastAsia="en-GB"/>
        </w:rPr>
        <w:t xml:space="preserve"> (VR</w:t>
      </w:r>
      <w:r w:rsidR="00883C1C" w:rsidRPr="26F64964">
        <w:rPr>
          <w:rFonts w:asciiTheme="minorHAnsi" w:eastAsia="Times New Roman" w:hAnsiTheme="minorHAnsi" w:cstheme="minorBidi"/>
          <w:color w:val="212121"/>
          <w:lang w:eastAsia="en-GB"/>
        </w:rPr>
        <w:t>)</w:t>
      </w:r>
      <w:r w:rsidR="009A2CD5" w:rsidRPr="26F64964">
        <w:rPr>
          <w:rFonts w:asciiTheme="minorHAnsi" w:eastAsia="Times New Roman" w:hAnsiTheme="minorHAnsi" w:cstheme="minorBidi"/>
          <w:color w:val="212121"/>
          <w:lang w:eastAsia="en-GB"/>
        </w:rPr>
        <w:t xml:space="preserve"> and augmented </w:t>
      </w:r>
      <w:r w:rsidR="009A2CD5" w:rsidRPr="26F64964">
        <w:rPr>
          <w:rFonts w:asciiTheme="minorHAnsi" w:eastAsia="Times New Roman" w:hAnsiTheme="minorHAnsi" w:cstheme="minorBidi"/>
          <w:color w:val="212121"/>
          <w:highlight w:val="white"/>
          <w:lang w:eastAsia="en-GB"/>
        </w:rPr>
        <w:t>reality</w:t>
      </w:r>
      <w:r w:rsidR="00883C1C" w:rsidRPr="26F64964">
        <w:rPr>
          <w:rFonts w:asciiTheme="minorHAnsi" w:eastAsia="Times New Roman" w:hAnsiTheme="minorHAnsi" w:cstheme="minorBidi"/>
          <w:color w:val="212121"/>
          <w:highlight w:val="white"/>
          <w:lang w:eastAsia="en-GB"/>
        </w:rPr>
        <w:t xml:space="preserve"> (AR)</w:t>
      </w:r>
      <w:r w:rsidR="009A2CD5" w:rsidRPr="26F64964">
        <w:rPr>
          <w:rFonts w:asciiTheme="minorHAnsi" w:eastAsia="Times New Roman" w:hAnsiTheme="minorHAnsi" w:cstheme="minorBidi"/>
          <w:color w:val="212121"/>
          <w:highlight w:val="white"/>
          <w:lang w:eastAsia="en-GB"/>
        </w:rPr>
        <w:t xml:space="preserve">, </w:t>
      </w:r>
      <w:r w:rsidR="000F00BE" w:rsidRPr="26F64964">
        <w:rPr>
          <w:rFonts w:asciiTheme="minorHAnsi" w:eastAsia="Times New Roman" w:hAnsiTheme="minorHAnsi" w:cstheme="minorBidi"/>
          <w:color w:val="212121"/>
          <w:highlight w:val="white"/>
          <w:lang w:eastAsia="en-GB"/>
        </w:rPr>
        <w:t xml:space="preserve">wearables, </w:t>
      </w:r>
      <w:r w:rsidR="007936A3" w:rsidRPr="26F64964">
        <w:rPr>
          <w:rFonts w:asciiTheme="minorHAnsi" w:eastAsia="Times New Roman" w:hAnsiTheme="minorHAnsi" w:cstheme="minorBidi"/>
          <w:color w:val="212121"/>
          <w:highlight w:val="white"/>
          <w:lang w:eastAsia="en-GB"/>
        </w:rPr>
        <w:t>blockchain</w:t>
      </w:r>
      <w:r w:rsidR="007936A3" w:rsidRPr="26F64964">
        <w:rPr>
          <w:rFonts w:asciiTheme="minorHAnsi" w:eastAsia="Times New Roman" w:hAnsiTheme="minorHAnsi" w:cstheme="minorBidi"/>
          <w:color w:val="212121"/>
          <w:lang w:eastAsia="en-GB"/>
        </w:rPr>
        <w:t xml:space="preserve"> technology</w:t>
      </w:r>
      <w:r w:rsidR="00334022" w:rsidRPr="26F64964">
        <w:rPr>
          <w:rFonts w:asciiTheme="minorHAnsi" w:eastAsia="Times New Roman" w:hAnsiTheme="minorHAnsi" w:cstheme="minorBidi"/>
          <w:color w:val="212121"/>
          <w:lang w:eastAsia="en-GB"/>
        </w:rPr>
        <w:t xml:space="preserve"> and</w:t>
      </w:r>
      <w:r w:rsidR="007936A3" w:rsidRPr="26F64964">
        <w:rPr>
          <w:rFonts w:asciiTheme="minorHAnsi" w:eastAsia="Times New Roman" w:hAnsiTheme="minorHAnsi" w:cstheme="minorBidi"/>
          <w:color w:val="212121"/>
          <w:lang w:eastAsia="en-GB"/>
        </w:rPr>
        <w:t xml:space="preserve"> </w:t>
      </w:r>
      <w:r w:rsidR="0038585D" w:rsidRPr="26F64964">
        <w:rPr>
          <w:rFonts w:asciiTheme="minorHAnsi" w:eastAsia="Times New Roman" w:hAnsiTheme="minorHAnsi" w:cstheme="minorBidi"/>
          <w:color w:val="212121"/>
          <w:lang w:eastAsia="en-GB"/>
        </w:rPr>
        <w:t>genomic medicine</w:t>
      </w:r>
      <w:r w:rsidR="00334022" w:rsidRPr="26F64964">
        <w:rPr>
          <w:rFonts w:asciiTheme="minorHAnsi" w:eastAsia="Times New Roman" w:hAnsiTheme="minorHAnsi" w:cstheme="minorBidi"/>
          <w:color w:val="212121"/>
          <w:lang w:eastAsia="en-GB"/>
        </w:rPr>
        <w:t xml:space="preserve">. Adopting emerging technologies as such will help with </w:t>
      </w:r>
      <w:r w:rsidR="006C15CA" w:rsidRPr="26F64964">
        <w:rPr>
          <w:rFonts w:asciiTheme="minorHAnsi" w:eastAsia="Times New Roman" w:hAnsiTheme="minorHAnsi" w:cstheme="minorBidi"/>
          <w:color w:val="212121"/>
          <w:lang w:eastAsia="en-GB"/>
        </w:rPr>
        <w:t xml:space="preserve">improving patient care, </w:t>
      </w:r>
      <w:r w:rsidR="009C5544" w:rsidRPr="26F64964">
        <w:rPr>
          <w:rFonts w:asciiTheme="minorHAnsi" w:eastAsia="Times New Roman" w:hAnsiTheme="minorHAnsi" w:cstheme="minorBidi"/>
          <w:color w:val="212121"/>
          <w:lang w:eastAsia="en-GB"/>
        </w:rPr>
        <w:t xml:space="preserve">and </w:t>
      </w:r>
      <w:r w:rsidR="006C15CA" w:rsidRPr="26F64964">
        <w:rPr>
          <w:rFonts w:asciiTheme="minorHAnsi" w:eastAsia="Times New Roman" w:hAnsiTheme="minorHAnsi" w:cstheme="minorBidi"/>
          <w:color w:val="212121"/>
          <w:lang w:eastAsia="en-GB"/>
        </w:rPr>
        <w:t xml:space="preserve">outcomes and streamline healthcare processes in innovative ways. </w:t>
      </w:r>
      <w:r w:rsidRPr="26F64964">
        <w:rPr>
          <w:rFonts w:asciiTheme="minorHAnsi" w:eastAsia="Times New Roman" w:hAnsiTheme="minorHAnsi" w:cstheme="minorBidi"/>
          <w:color w:val="212121"/>
          <w:lang w:eastAsia="en-GB"/>
        </w:rPr>
        <w:t xml:space="preserve">For example, AI can be used </w:t>
      </w:r>
      <w:r w:rsidRPr="26F64964">
        <w:rPr>
          <w:rFonts w:asciiTheme="minorHAnsi" w:eastAsia="Times New Roman" w:hAnsiTheme="minorHAnsi" w:cstheme="minorBidi"/>
          <w:color w:val="212121"/>
          <w:highlight w:val="white"/>
          <w:lang w:eastAsia="en-GB"/>
        </w:rPr>
        <w:t>to identify risk factors for</w:t>
      </w:r>
      <w:r w:rsidRPr="26F64964">
        <w:rPr>
          <w:rFonts w:asciiTheme="minorHAnsi" w:eastAsia="Times New Roman" w:hAnsiTheme="minorHAnsi" w:cstheme="minorBidi"/>
          <w:color w:val="212121"/>
          <w:lang w:eastAsia="en-GB"/>
        </w:rPr>
        <w:t xml:space="preserve"> complications after transplant, which was recently confirmed by a study (</w:t>
      </w:r>
      <w:proofErr w:type="spellStart"/>
      <w:r w:rsidRPr="6A640EE8">
        <w:rPr>
          <w:rFonts w:asciiTheme="minorHAnsi" w:eastAsia="Times New Roman" w:hAnsiTheme="minorHAnsi" w:cstheme="minorBidi"/>
          <w:color w:val="212121"/>
          <w:highlight w:val="white"/>
          <w:lang w:eastAsia="en-GB"/>
        </w:rPr>
        <w:t>Divard</w:t>
      </w:r>
      <w:proofErr w:type="spellEnd"/>
      <w:r w:rsidRPr="6A640EE8">
        <w:rPr>
          <w:rFonts w:asciiTheme="minorHAnsi" w:eastAsia="Times New Roman" w:hAnsiTheme="minorHAnsi" w:cstheme="minorBidi"/>
          <w:color w:val="212121"/>
          <w:highlight w:val="white"/>
          <w:lang w:eastAsia="en-GB"/>
        </w:rPr>
        <w:t xml:space="preserve"> et al., 2022</w:t>
      </w:r>
      <w:r w:rsidR="00883C1C" w:rsidRPr="26F64964">
        <w:rPr>
          <w:rFonts w:asciiTheme="minorHAnsi" w:eastAsia="Times New Roman" w:hAnsiTheme="minorHAnsi" w:cstheme="minorBidi"/>
          <w:color w:val="212121"/>
          <w:lang w:eastAsia="en-GB"/>
        </w:rPr>
        <w:t>)</w:t>
      </w:r>
      <w:r w:rsidRPr="26F64964">
        <w:rPr>
          <w:rFonts w:asciiTheme="minorHAnsi" w:eastAsia="Times New Roman" w:hAnsiTheme="minorHAnsi" w:cstheme="minorBidi"/>
          <w:color w:val="212121"/>
          <w:lang w:eastAsia="en-GB"/>
        </w:rPr>
        <w:t xml:space="preserve"> .</w:t>
      </w:r>
      <w:r w:rsidR="00883C1C" w:rsidRPr="26F64964">
        <w:rPr>
          <w:rFonts w:asciiTheme="minorHAnsi" w:eastAsia="Times New Roman" w:hAnsiTheme="minorHAnsi" w:cstheme="minorBidi"/>
          <w:color w:val="212121"/>
          <w:lang w:eastAsia="en-GB"/>
        </w:rPr>
        <w:t xml:space="preserve"> </w:t>
      </w:r>
      <w:r w:rsidR="00CA1D16" w:rsidRPr="26F64964">
        <w:rPr>
          <w:rFonts w:asciiTheme="minorHAnsi" w:eastAsia="Times New Roman" w:hAnsiTheme="minorHAnsi" w:cstheme="minorBidi"/>
          <w:lang w:eastAsia="en-GB"/>
        </w:rPr>
        <w:t xml:space="preserve">AI also has predictive analytic capabilities which can be used to assist in </w:t>
      </w:r>
      <w:proofErr w:type="spellStart"/>
      <w:r w:rsidR="009C5544" w:rsidRPr="26F64964">
        <w:rPr>
          <w:rFonts w:asciiTheme="minorHAnsi" w:eastAsia="Times New Roman" w:hAnsiTheme="minorHAnsi" w:cstheme="minorBidi"/>
          <w:lang w:eastAsia="en-GB"/>
        </w:rPr>
        <w:t>analyzing</w:t>
      </w:r>
      <w:proofErr w:type="spellEnd"/>
      <w:r w:rsidR="009C5544" w:rsidRPr="26F64964">
        <w:rPr>
          <w:rFonts w:asciiTheme="minorHAnsi" w:eastAsia="Times New Roman" w:hAnsiTheme="minorHAnsi" w:cstheme="minorBidi"/>
          <w:lang w:eastAsia="en-GB"/>
        </w:rPr>
        <w:t xml:space="preserve"> </w:t>
      </w:r>
      <w:r w:rsidR="00CA1D16" w:rsidRPr="26F64964">
        <w:rPr>
          <w:rFonts w:asciiTheme="minorHAnsi" w:eastAsia="Times New Roman" w:hAnsiTheme="minorHAnsi" w:cstheme="minorBidi"/>
          <w:lang w:eastAsia="en-GB"/>
        </w:rPr>
        <w:t xml:space="preserve">large datasets to identify patterns, predict potential complications and improve transplant outcomes. </w:t>
      </w:r>
      <w:r w:rsidR="00883C1C" w:rsidRPr="26F64964">
        <w:rPr>
          <w:rFonts w:asciiTheme="minorHAnsi" w:eastAsia="Times New Roman" w:hAnsiTheme="minorHAnsi" w:cstheme="minorBidi"/>
          <w:lang w:eastAsia="en-GB"/>
        </w:rPr>
        <w:t xml:space="preserve">With </w:t>
      </w:r>
      <w:r w:rsidR="004C6B7E" w:rsidRPr="26F64964">
        <w:rPr>
          <w:rFonts w:asciiTheme="minorHAnsi" w:eastAsia="Times New Roman" w:hAnsiTheme="minorHAnsi" w:cstheme="minorBidi"/>
          <w:lang w:eastAsia="en-GB"/>
        </w:rPr>
        <w:t>virtual reality (</w:t>
      </w:r>
      <w:r w:rsidR="00883C1C" w:rsidRPr="26F64964">
        <w:rPr>
          <w:rFonts w:asciiTheme="minorHAnsi" w:eastAsia="Times New Roman" w:hAnsiTheme="minorHAnsi" w:cstheme="minorBidi"/>
          <w:lang w:eastAsia="en-GB"/>
        </w:rPr>
        <w:t>VR</w:t>
      </w:r>
      <w:r w:rsidR="00F00AC2" w:rsidRPr="26F64964">
        <w:rPr>
          <w:rFonts w:asciiTheme="minorHAnsi" w:eastAsia="Times New Roman" w:hAnsiTheme="minorHAnsi" w:cstheme="minorBidi"/>
          <w:lang w:eastAsia="en-GB"/>
        </w:rPr>
        <w:t>)</w:t>
      </w:r>
      <w:r w:rsidR="00883C1C" w:rsidRPr="26F64964">
        <w:rPr>
          <w:rFonts w:asciiTheme="minorHAnsi" w:eastAsia="Times New Roman" w:hAnsiTheme="minorHAnsi" w:cstheme="minorBidi"/>
          <w:lang w:eastAsia="en-GB"/>
        </w:rPr>
        <w:t xml:space="preserve"> and </w:t>
      </w:r>
      <w:r w:rsidR="00F00AC2" w:rsidRPr="26F64964">
        <w:rPr>
          <w:rFonts w:asciiTheme="minorHAnsi" w:eastAsia="Times New Roman" w:hAnsiTheme="minorHAnsi" w:cstheme="minorBidi"/>
          <w:highlight w:val="white"/>
          <w:lang w:eastAsia="en-GB"/>
        </w:rPr>
        <w:t>augmented reality (</w:t>
      </w:r>
      <w:r w:rsidR="00883C1C" w:rsidRPr="26F64964">
        <w:rPr>
          <w:rFonts w:asciiTheme="minorHAnsi" w:eastAsia="Times New Roman" w:hAnsiTheme="minorHAnsi" w:cstheme="minorBidi"/>
          <w:highlight w:val="white"/>
          <w:lang w:eastAsia="en-GB"/>
        </w:rPr>
        <w:t>AR</w:t>
      </w:r>
      <w:r w:rsidR="00F00AC2" w:rsidRPr="26F64964">
        <w:rPr>
          <w:rFonts w:asciiTheme="minorHAnsi" w:eastAsia="Times New Roman" w:hAnsiTheme="minorHAnsi" w:cstheme="minorBidi"/>
          <w:highlight w:val="white"/>
          <w:lang w:eastAsia="en-GB"/>
        </w:rPr>
        <w:t>)</w:t>
      </w:r>
      <w:r w:rsidR="00883C1C" w:rsidRPr="26F64964">
        <w:rPr>
          <w:rFonts w:asciiTheme="minorHAnsi" w:eastAsia="Times New Roman" w:hAnsiTheme="minorHAnsi" w:cstheme="minorBidi"/>
          <w:highlight w:val="white"/>
          <w:lang w:eastAsia="en-GB"/>
        </w:rPr>
        <w:t xml:space="preserve">, </w:t>
      </w:r>
      <w:r w:rsidR="0000453F" w:rsidRPr="26F64964">
        <w:rPr>
          <w:rFonts w:asciiTheme="minorHAnsi" w:eastAsia="Times New Roman" w:hAnsiTheme="minorHAnsi" w:cstheme="minorBidi"/>
          <w:highlight w:val="white"/>
          <w:lang w:eastAsia="en-GB"/>
        </w:rPr>
        <w:t>healthcare</w:t>
      </w:r>
      <w:r w:rsidR="0000453F" w:rsidRPr="26F64964">
        <w:rPr>
          <w:rFonts w:asciiTheme="minorHAnsi" w:eastAsia="Times New Roman" w:hAnsiTheme="minorHAnsi" w:cstheme="minorBidi"/>
          <w:lang w:eastAsia="en-GB"/>
        </w:rPr>
        <w:t xml:space="preserve"> </w:t>
      </w:r>
      <w:r w:rsidR="00793686" w:rsidRPr="26F64964">
        <w:rPr>
          <w:rFonts w:asciiTheme="minorHAnsi" w:eastAsia="Times New Roman" w:hAnsiTheme="minorHAnsi" w:cstheme="minorBidi"/>
          <w:lang w:eastAsia="en-GB"/>
        </w:rPr>
        <w:t xml:space="preserve">facilities </w:t>
      </w:r>
      <w:r w:rsidR="0000453F" w:rsidRPr="26F64964">
        <w:rPr>
          <w:rFonts w:asciiTheme="minorHAnsi" w:eastAsia="Times New Roman" w:hAnsiTheme="minorHAnsi" w:cstheme="minorBidi"/>
          <w:lang w:eastAsia="en-GB"/>
        </w:rPr>
        <w:t>can use these technologies to create virtual simulations of the transplantation process</w:t>
      </w:r>
      <w:r w:rsidR="00793686" w:rsidRPr="26F64964">
        <w:rPr>
          <w:rFonts w:asciiTheme="minorHAnsi" w:eastAsia="Times New Roman" w:hAnsiTheme="minorHAnsi" w:cstheme="minorBidi"/>
          <w:lang w:eastAsia="en-GB"/>
        </w:rPr>
        <w:t xml:space="preserve"> which can help </w:t>
      </w:r>
      <w:r w:rsidR="009C5544" w:rsidRPr="26F64964">
        <w:rPr>
          <w:rFonts w:asciiTheme="minorHAnsi" w:eastAsia="Times New Roman" w:hAnsiTheme="minorHAnsi" w:cstheme="minorBidi"/>
          <w:lang w:eastAsia="en-GB"/>
        </w:rPr>
        <w:t xml:space="preserve"> improve</w:t>
      </w:r>
      <w:r w:rsidR="00793686" w:rsidRPr="26F64964">
        <w:rPr>
          <w:rFonts w:asciiTheme="minorHAnsi" w:eastAsia="Times New Roman" w:hAnsiTheme="minorHAnsi" w:cstheme="minorBidi"/>
          <w:lang w:eastAsia="en-GB"/>
        </w:rPr>
        <w:t xml:space="preserve"> education among patients and clinicians. </w:t>
      </w:r>
      <w:r w:rsidR="00ED1517" w:rsidRPr="26F64964">
        <w:rPr>
          <w:rFonts w:asciiTheme="minorHAnsi" w:eastAsia="Times New Roman" w:hAnsiTheme="minorHAnsi" w:cstheme="minorBidi"/>
          <w:lang w:eastAsia="en-GB"/>
        </w:rPr>
        <w:t xml:space="preserve">VR and AR can also help with mental health support and rehabilitation. </w:t>
      </w:r>
      <w:r w:rsidR="00F00AC2" w:rsidRPr="26F64964">
        <w:rPr>
          <w:rFonts w:asciiTheme="minorHAnsi" w:eastAsia="Times New Roman" w:hAnsiTheme="minorHAnsi" w:cstheme="minorBidi"/>
          <w:lang w:eastAsia="en-GB"/>
        </w:rPr>
        <w:t>On the other hand, w</w:t>
      </w:r>
      <w:r w:rsidR="00ED1517" w:rsidRPr="26F64964">
        <w:rPr>
          <w:rFonts w:asciiTheme="minorHAnsi" w:eastAsia="Times New Roman" w:hAnsiTheme="minorHAnsi" w:cstheme="minorBidi"/>
          <w:lang w:eastAsia="en-GB"/>
        </w:rPr>
        <w:t>earable</w:t>
      </w:r>
      <w:r w:rsidR="00F00AC2" w:rsidRPr="26F64964">
        <w:rPr>
          <w:rFonts w:asciiTheme="minorHAnsi" w:eastAsia="Times New Roman" w:hAnsiTheme="minorHAnsi" w:cstheme="minorBidi"/>
          <w:lang w:eastAsia="en-GB"/>
        </w:rPr>
        <w:t xml:space="preserve"> devices</w:t>
      </w:r>
      <w:r w:rsidR="00ED1517" w:rsidRPr="26F64964">
        <w:rPr>
          <w:rFonts w:asciiTheme="minorHAnsi" w:eastAsia="Times New Roman" w:hAnsiTheme="minorHAnsi" w:cstheme="minorBidi"/>
          <w:lang w:eastAsia="en-GB"/>
        </w:rPr>
        <w:t xml:space="preserve"> give</w:t>
      </w:r>
      <w:r w:rsidR="00CA1D16" w:rsidRPr="26F64964">
        <w:rPr>
          <w:rFonts w:asciiTheme="minorHAnsi" w:eastAsia="Times New Roman" w:hAnsiTheme="minorHAnsi" w:cstheme="minorBidi"/>
          <w:lang w:eastAsia="en-GB"/>
        </w:rPr>
        <w:t xml:space="preserve"> clinicians </w:t>
      </w:r>
      <w:r w:rsidR="00ED1517" w:rsidRPr="26F64964">
        <w:rPr>
          <w:rFonts w:asciiTheme="minorHAnsi" w:eastAsia="Times New Roman" w:hAnsiTheme="minorHAnsi" w:cstheme="minorBidi"/>
          <w:lang w:eastAsia="en-GB"/>
        </w:rPr>
        <w:t>the</w:t>
      </w:r>
      <w:r w:rsidR="00CA1D16" w:rsidRPr="26F64964">
        <w:rPr>
          <w:rFonts w:asciiTheme="minorHAnsi" w:eastAsia="Times New Roman" w:hAnsiTheme="minorHAnsi" w:cstheme="minorBidi"/>
          <w:lang w:eastAsia="en-GB"/>
        </w:rPr>
        <w:t xml:space="preserve"> capability to monitor and track patients' vital signs and health data remotely, allowing for personalized care plans and early detection of potential complications (</w:t>
      </w:r>
      <w:r w:rsidR="00CA1D16" w:rsidRPr="6A640EE8">
        <w:rPr>
          <w:rFonts w:asciiTheme="minorHAnsi" w:eastAsia="Times New Roman" w:hAnsiTheme="minorHAnsi" w:cstheme="minorBidi"/>
          <w:highlight w:val="white"/>
          <w:lang w:eastAsia="en-GB"/>
        </w:rPr>
        <w:t>Duarte-Rojo et al., 2022</w:t>
      </w:r>
      <w:r w:rsidR="00CA1D16" w:rsidRPr="26F64964">
        <w:rPr>
          <w:rFonts w:asciiTheme="minorHAnsi" w:eastAsia="Times New Roman" w:hAnsiTheme="minorHAnsi" w:cstheme="minorBidi"/>
          <w:lang w:eastAsia="en-GB"/>
        </w:rPr>
        <w:t xml:space="preserve">). Wearables have the </w:t>
      </w:r>
      <w:r w:rsidR="00CA1D16" w:rsidRPr="26F64964">
        <w:rPr>
          <w:rFonts w:asciiTheme="minorHAnsi" w:eastAsia="Times New Roman" w:hAnsiTheme="minorHAnsi" w:cstheme="minorBidi"/>
          <w:highlight w:val="white"/>
          <w:lang w:eastAsia="en-GB"/>
        </w:rPr>
        <w:t>potential to be used to</w:t>
      </w:r>
      <w:r w:rsidR="00CA1D16" w:rsidRPr="26F64964">
        <w:rPr>
          <w:rFonts w:asciiTheme="minorHAnsi" w:eastAsia="Times New Roman" w:hAnsiTheme="minorHAnsi" w:cstheme="minorBidi"/>
          <w:lang w:eastAsia="en-GB"/>
        </w:rPr>
        <w:t xml:space="preserve"> monitor medication adherence, promote physical health and manage mental health for transplant patients</w:t>
      </w:r>
      <w:r w:rsidR="00ED1517" w:rsidRPr="26F64964">
        <w:rPr>
          <w:rFonts w:asciiTheme="minorHAnsi" w:eastAsia="Times New Roman" w:hAnsiTheme="minorHAnsi" w:cstheme="minorBidi"/>
          <w:lang w:eastAsia="en-GB"/>
        </w:rPr>
        <w:t xml:space="preserve">. </w:t>
      </w:r>
      <w:r w:rsidR="00352508" w:rsidRPr="26F64964">
        <w:rPr>
          <w:rFonts w:asciiTheme="minorHAnsi" w:eastAsia="Times New Roman" w:hAnsiTheme="minorHAnsi" w:cstheme="minorBidi"/>
          <w:lang w:eastAsia="en-GB"/>
        </w:rPr>
        <w:t xml:space="preserve">As emerging technologies continue to </w:t>
      </w:r>
      <w:r w:rsidR="003E42E3" w:rsidRPr="26F64964">
        <w:rPr>
          <w:rFonts w:asciiTheme="minorHAnsi" w:eastAsia="Times New Roman" w:hAnsiTheme="minorHAnsi" w:cstheme="minorBidi"/>
          <w:lang w:eastAsia="en-GB"/>
        </w:rPr>
        <w:t xml:space="preserve">evolve and improve, the adoption of these technologies within transplantation can lead </w:t>
      </w:r>
      <w:r w:rsidR="00EB5BFB" w:rsidRPr="26F64964">
        <w:rPr>
          <w:rFonts w:asciiTheme="minorHAnsi" w:eastAsia="Times New Roman" w:hAnsiTheme="minorHAnsi" w:cstheme="minorBidi"/>
          <w:lang w:eastAsia="en-GB"/>
        </w:rPr>
        <w:t xml:space="preserve">to </w:t>
      </w:r>
      <w:r w:rsidR="003E42E3" w:rsidRPr="26F64964">
        <w:rPr>
          <w:rFonts w:asciiTheme="minorHAnsi" w:eastAsia="Times New Roman" w:hAnsiTheme="minorHAnsi" w:cstheme="minorBidi"/>
          <w:lang w:eastAsia="en-GB"/>
        </w:rPr>
        <w:t xml:space="preserve">more </w:t>
      </w:r>
      <w:r w:rsidR="00EB5BFB" w:rsidRPr="26F64964">
        <w:rPr>
          <w:rFonts w:asciiTheme="minorHAnsi" w:eastAsia="Times New Roman" w:hAnsiTheme="minorHAnsi" w:cstheme="minorBidi"/>
          <w:lang w:eastAsia="en-GB"/>
        </w:rPr>
        <w:t xml:space="preserve">efficient, precise and </w:t>
      </w:r>
      <w:r w:rsidR="009C5544" w:rsidRPr="26F64964">
        <w:rPr>
          <w:rFonts w:asciiTheme="minorHAnsi" w:eastAsia="Times New Roman" w:hAnsiTheme="minorHAnsi" w:cstheme="minorBidi"/>
          <w:lang w:eastAsia="en-GB"/>
        </w:rPr>
        <w:t xml:space="preserve">personalized </w:t>
      </w:r>
      <w:r w:rsidR="00EB5BFB" w:rsidRPr="26F64964">
        <w:rPr>
          <w:rFonts w:asciiTheme="minorHAnsi" w:eastAsia="Times New Roman" w:hAnsiTheme="minorHAnsi" w:cstheme="minorBidi"/>
          <w:lang w:eastAsia="en-GB"/>
        </w:rPr>
        <w:t xml:space="preserve">healthcare services. </w:t>
      </w:r>
      <w:r w:rsidR="00C55310" w:rsidRPr="00D33C9F">
        <w:rPr>
          <w:rFonts w:asciiTheme="minorHAnsi" w:eastAsia="Times New Roman" w:hAnsiTheme="minorHAnsi" w:cstheme="minorBidi"/>
          <w:lang w:eastAsia="en-GB"/>
        </w:rPr>
        <w:t xml:space="preserve">However, it’s essential that the ethical, regulatory and practical aspects are considered to ensure that adopting these technologies is effective and compliant. One primary concern is data privacy which was identified as one of the barriers in this research. eHealth platforms often handle sensitive patient information, and under the Health Insurance Portability and Accountability Act Privacy Rule (HIPPA, 1996), transplant patients have a right to confidentiality and security regarding their medical data. Informed consent is another critical issue, as patients must understand the implications of using digital health tools and willingly agree to participate. HIPAA (1996), ensures </w:t>
      </w:r>
      <w:r w:rsidR="00985945" w:rsidRPr="00D33C9F">
        <w:rPr>
          <w:rFonts w:asciiTheme="minorHAnsi" w:eastAsia="Times New Roman" w:hAnsiTheme="minorHAnsi" w:cstheme="minorBidi"/>
          <w:lang w:eastAsia="en-GB"/>
        </w:rPr>
        <w:t>individuals authority</w:t>
      </w:r>
      <w:r w:rsidR="00C55310" w:rsidRPr="00D33C9F">
        <w:rPr>
          <w:rFonts w:asciiTheme="minorHAnsi" w:eastAsia="Times New Roman" w:hAnsiTheme="minorHAnsi" w:cstheme="minorBidi"/>
          <w:lang w:eastAsia="en-GB"/>
        </w:rPr>
        <w:t xml:space="preserve"> </w:t>
      </w:r>
      <w:r w:rsidR="00985945" w:rsidRPr="00D33C9F">
        <w:rPr>
          <w:rFonts w:asciiTheme="minorHAnsi" w:eastAsia="Times New Roman" w:hAnsiTheme="minorHAnsi" w:cstheme="minorBidi"/>
          <w:lang w:eastAsia="en-GB"/>
        </w:rPr>
        <w:t xml:space="preserve">regarding the use </w:t>
      </w:r>
      <w:r w:rsidR="00F1131F" w:rsidRPr="00D33C9F">
        <w:rPr>
          <w:rFonts w:asciiTheme="minorHAnsi" w:eastAsia="Times New Roman" w:hAnsiTheme="minorHAnsi" w:cstheme="minorBidi"/>
          <w:lang w:eastAsia="en-GB"/>
        </w:rPr>
        <w:t xml:space="preserve">and sharing </w:t>
      </w:r>
      <w:r w:rsidR="00985945" w:rsidRPr="00D33C9F">
        <w:rPr>
          <w:rFonts w:asciiTheme="minorHAnsi" w:eastAsia="Times New Roman" w:hAnsiTheme="minorHAnsi" w:cstheme="minorBidi"/>
          <w:lang w:eastAsia="en-GB"/>
        </w:rPr>
        <w:t>of</w:t>
      </w:r>
      <w:r w:rsidR="00C55310" w:rsidRPr="00D33C9F">
        <w:rPr>
          <w:rFonts w:asciiTheme="minorHAnsi" w:eastAsia="Times New Roman" w:hAnsiTheme="minorHAnsi" w:cstheme="minorBidi"/>
          <w:lang w:eastAsia="en-GB"/>
        </w:rPr>
        <w:t xml:space="preserve"> personal health </w:t>
      </w:r>
      <w:r w:rsidR="00F1131F" w:rsidRPr="00D33C9F">
        <w:rPr>
          <w:rFonts w:asciiTheme="minorHAnsi" w:eastAsia="Times New Roman" w:hAnsiTheme="minorHAnsi" w:cstheme="minorBidi"/>
          <w:lang w:eastAsia="en-GB"/>
        </w:rPr>
        <w:t>by mandating</w:t>
      </w:r>
      <w:r w:rsidR="00C55310" w:rsidRPr="00D33C9F">
        <w:rPr>
          <w:rFonts w:asciiTheme="minorHAnsi" w:eastAsia="Times New Roman" w:hAnsiTheme="minorHAnsi" w:cstheme="minorBidi"/>
          <w:lang w:eastAsia="en-GB"/>
        </w:rPr>
        <w:t xml:space="preserve"> covered entities to notify them of their privacy practices and rights. This notice, often </w:t>
      </w:r>
      <w:r w:rsidR="00C55310" w:rsidRPr="00D33C9F">
        <w:rPr>
          <w:rFonts w:asciiTheme="minorHAnsi" w:eastAsia="Times New Roman" w:hAnsiTheme="minorHAnsi" w:cstheme="minorBidi"/>
          <w:lang w:eastAsia="en-GB"/>
        </w:rPr>
        <w:lastRenderedPageBreak/>
        <w:t>called a Notice of Privacy Practices (NPP), informs individuals about how their health information may be used and disclosed, their rights regarding their health information, and how they can exercise those rights</w:t>
      </w:r>
      <w:r w:rsidR="00253A94" w:rsidRPr="00D33C9F">
        <w:rPr>
          <w:rFonts w:asciiTheme="minorHAnsi" w:eastAsia="Times New Roman" w:hAnsiTheme="minorHAnsi" w:cstheme="minorBidi"/>
          <w:lang w:eastAsia="en-GB"/>
        </w:rPr>
        <w:t xml:space="preserve"> (</w:t>
      </w:r>
      <w:r w:rsidR="000F5B1B" w:rsidRPr="00D33C9F">
        <w:rPr>
          <w:rFonts w:asciiTheme="minorHAnsi" w:eastAsia="Times New Roman" w:hAnsiTheme="minorHAnsi" w:cstheme="minorBidi"/>
          <w:lang w:eastAsia="en-GB"/>
        </w:rPr>
        <w:t>U.S department of Health and Human Services, 2022</w:t>
      </w:r>
      <w:r w:rsidR="00253A94" w:rsidRPr="00D33C9F">
        <w:rPr>
          <w:rFonts w:asciiTheme="minorHAnsi" w:eastAsia="Times New Roman" w:hAnsiTheme="minorHAnsi" w:cstheme="minorBidi"/>
          <w:lang w:eastAsia="en-GB"/>
        </w:rPr>
        <w:t>)</w:t>
      </w:r>
      <w:r w:rsidR="00C55310" w:rsidRPr="00D33C9F">
        <w:rPr>
          <w:rFonts w:asciiTheme="minorHAnsi" w:eastAsia="Times New Roman" w:hAnsiTheme="minorHAnsi" w:cstheme="minorBidi"/>
          <w:lang w:eastAsia="en-GB"/>
        </w:rPr>
        <w:t xml:space="preserve">. Strategies for mitigating ethical challenges in eHealth for transplantation include regular audits of data security protocols, ongoing patient education on privacy rights and risks, and interdisciplinary collaboration among healthcare professionals, ethicists, and technology experts to address emerging ethical dilemmas effectively. </w:t>
      </w:r>
      <w:r w:rsidR="00C9781F" w:rsidRPr="00D33C9F">
        <w:rPr>
          <w:rFonts w:asciiTheme="minorHAnsi" w:eastAsia="Times New Roman" w:hAnsiTheme="minorHAnsi" w:cstheme="minorBidi"/>
          <w:lang w:eastAsia="en-GB"/>
        </w:rPr>
        <w:t>An example of a framework stakeholders could use to ensure the integration of eHealth is successful and compliant is drawing on the Health Level Seven International (HL7) Standards. The HL7 standards provide guidelines governing the exchange, integration, sharing and retrieval of electronic health information. Under the HL7 standards, healthcare providers can prioritize interoperability by adopting standardized data exchange formats and terminology to ensure seamless communication between electronic health records and eHealth platforms. Following the HL7 standards, eHealth developers must design user-friendly interfaces catered to the unique needs and preferences of transplant patients, incorporating features that promote engagement, adherence, and personalized care delivery. Patients can also be actively involved in the design and evaluation of eHealth solutions, fostering a patient-centred approach that empowers</w:t>
      </w:r>
      <w:r w:rsidR="00D23B54" w:rsidRPr="00D33C9F">
        <w:rPr>
          <w:rFonts w:asciiTheme="minorHAnsi" w:eastAsia="Times New Roman" w:hAnsiTheme="minorHAnsi" w:cstheme="minorBidi"/>
          <w:lang w:eastAsia="en-GB"/>
        </w:rPr>
        <w:t xml:space="preserve"> </w:t>
      </w:r>
      <w:r w:rsidR="00C9781F" w:rsidRPr="00D33C9F">
        <w:rPr>
          <w:rFonts w:asciiTheme="minorHAnsi" w:eastAsia="Times New Roman" w:hAnsiTheme="minorHAnsi" w:cstheme="minorBidi"/>
          <w:lang w:eastAsia="en-GB"/>
        </w:rPr>
        <w:t>individuals to manage their health effectively</w:t>
      </w:r>
      <w:r w:rsidR="00D23B54" w:rsidRPr="00D33C9F">
        <w:rPr>
          <w:rFonts w:asciiTheme="minorHAnsi" w:eastAsia="Times New Roman" w:hAnsiTheme="minorHAnsi" w:cstheme="minorBidi"/>
          <w:lang w:eastAsia="en-GB"/>
        </w:rPr>
        <w:t xml:space="preserve">. </w:t>
      </w:r>
      <w:r w:rsidR="00C9781F" w:rsidRPr="00D33C9F">
        <w:rPr>
          <w:rFonts w:asciiTheme="minorHAnsi" w:eastAsia="Times New Roman" w:hAnsiTheme="minorHAnsi" w:cstheme="minorBidi"/>
          <w:lang w:eastAsia="en-GB"/>
        </w:rPr>
        <w:t>HL7 standards encourages policymakers to establish clear guidelines and regulations to govern the ethical use of eHealth technologies, safeguarding patient privacy, security, and informed consent. By prioritizing ethical principles and regulatory compliance, eHealth adoption in transplantation can promote patient autonomy, trust, and safety.</w:t>
      </w:r>
    </w:p>
    <w:p w14:paraId="5A2CD3BF" w14:textId="331FE2E5" w:rsidR="00923C31" w:rsidRDefault="00352508" w:rsidP="00352508">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Given the evolving nature of eHealth and the changing needs of patients and transplant providers, researchers should continue to explore the implications of </w:t>
      </w:r>
      <w:r w:rsidR="002A16D8" w:rsidRPr="26F64964">
        <w:rPr>
          <w:rFonts w:ascii="Calibri" w:eastAsia="Times New Roman" w:hAnsi="Calibri" w:cs="Calibri"/>
          <w:color w:val="212121"/>
          <w:lang w:eastAsia="en-GB"/>
        </w:rPr>
        <w:t>eHealth</w:t>
      </w:r>
      <w:r w:rsidR="00F81BC1" w:rsidRPr="26F64964">
        <w:rPr>
          <w:rFonts w:ascii="Calibri" w:eastAsia="Times New Roman" w:hAnsi="Calibri" w:cs="Calibri"/>
          <w:color w:val="212121"/>
          <w:lang w:eastAsia="en-GB"/>
        </w:rPr>
        <w:t xml:space="preserve"> within the transplantation context. </w:t>
      </w:r>
      <w:r w:rsidRPr="26F64964">
        <w:rPr>
          <w:rFonts w:ascii="Calibri" w:eastAsia="Times New Roman" w:hAnsi="Calibri" w:cs="Calibri"/>
          <w:color w:val="212121"/>
          <w:lang w:eastAsia="en-GB"/>
        </w:rPr>
        <w:t xml:space="preserve">Further research </w:t>
      </w:r>
      <w:r w:rsidR="00452171" w:rsidRPr="26F64964">
        <w:rPr>
          <w:rFonts w:ascii="Calibri" w:eastAsia="Times New Roman" w:hAnsi="Calibri" w:cs="Calibri"/>
          <w:color w:val="212121"/>
          <w:lang w:eastAsia="en-GB"/>
        </w:rPr>
        <w:t>should</w:t>
      </w:r>
      <w:r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highlight w:val="white"/>
          <w:lang w:eastAsia="en-GB"/>
        </w:rPr>
        <w:t>be done</w:t>
      </w:r>
      <w:r w:rsidRPr="26F64964">
        <w:rPr>
          <w:rFonts w:ascii="Calibri" w:eastAsia="Times New Roman" w:hAnsi="Calibri" w:cs="Calibri"/>
          <w:color w:val="212121"/>
          <w:lang w:eastAsia="en-GB"/>
        </w:rPr>
        <w:t xml:space="preserve"> to investigate the different types of </w:t>
      </w:r>
      <w:r w:rsidR="002A16D8" w:rsidRPr="26F64964">
        <w:rPr>
          <w:rFonts w:ascii="Calibri" w:eastAsia="Times New Roman" w:hAnsi="Calibri" w:cs="Calibri"/>
          <w:color w:val="212121"/>
          <w:lang w:eastAsia="en-GB"/>
        </w:rPr>
        <w:t>eHealth</w:t>
      </w:r>
      <w:r w:rsidRPr="26F64964">
        <w:rPr>
          <w:rFonts w:ascii="Calibri" w:eastAsia="Times New Roman" w:hAnsi="Calibri" w:cs="Calibri"/>
          <w:color w:val="212121"/>
          <w:lang w:eastAsia="en-GB"/>
        </w:rPr>
        <w:t xml:space="preserve"> used within transplantation and their impact on patient outcomes. The majority of studies focused on mHealth (22) and telehealth (17) as digital interventions for transplantation. Other digital interventions do not receive much attention such as emerging technologies (e.g., AI, wearables), web-based portals, etc.</w:t>
      </w:r>
    </w:p>
    <w:p w14:paraId="1610ED5B" w14:textId="21E9593D" w:rsidR="001E3242" w:rsidRDefault="00352508" w:rsidP="00352508">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Therefore, it is suggested that future studies look into different </w:t>
      </w:r>
      <w:r w:rsidR="002A16D8" w:rsidRPr="26F64964">
        <w:rPr>
          <w:rFonts w:ascii="Calibri" w:eastAsia="Times New Roman" w:hAnsi="Calibri" w:cs="Calibri"/>
          <w:color w:val="212121"/>
          <w:lang w:eastAsia="en-GB"/>
        </w:rPr>
        <w:t>eHealth</w:t>
      </w:r>
      <w:r w:rsidRPr="26F64964">
        <w:rPr>
          <w:rFonts w:ascii="Calibri" w:eastAsia="Times New Roman" w:hAnsi="Calibri" w:cs="Calibri"/>
          <w:color w:val="212121"/>
          <w:lang w:eastAsia="en-GB"/>
        </w:rPr>
        <w:t xml:space="preserve"> interventions and measure their impact to help health facilities deploy the most beneficial solution to improve patient outcomes. </w:t>
      </w:r>
    </w:p>
    <w:p w14:paraId="21C9CDB0" w14:textId="6E754F9B" w:rsidR="00352508" w:rsidRDefault="00352508" w:rsidP="00352508">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This study identified a majority of the studies investigating </w:t>
      </w:r>
      <w:r w:rsidR="002A16D8" w:rsidRPr="26F64964">
        <w:rPr>
          <w:rFonts w:ascii="Calibri" w:eastAsia="Times New Roman" w:hAnsi="Calibri" w:cs="Calibri"/>
          <w:color w:val="212121"/>
          <w:lang w:eastAsia="en-GB"/>
        </w:rPr>
        <w:t>eHealth</w:t>
      </w:r>
      <w:r w:rsidRPr="26F64964">
        <w:rPr>
          <w:rFonts w:ascii="Calibri" w:eastAsia="Times New Roman" w:hAnsi="Calibri" w:cs="Calibri"/>
          <w:color w:val="212121"/>
          <w:lang w:eastAsia="en-GB"/>
        </w:rPr>
        <w:t xml:space="preserve"> in transplantation focused on America (38). However, according to Statista (2023), rates of patients with transplanted organs were high in countries such as Spain, France, Portugal Sweden, Switzerland, Turkey, etc. However, there is a lack of studies conducted in these countries, therefore </w:t>
      </w:r>
      <w:r w:rsidRPr="26F64964">
        <w:rPr>
          <w:rFonts w:ascii="Calibri" w:eastAsia="Times New Roman" w:hAnsi="Calibri" w:cs="Calibri"/>
          <w:color w:val="212121"/>
          <w:highlight w:val="white"/>
          <w:lang w:eastAsia="en-GB"/>
        </w:rPr>
        <w:t xml:space="preserve">it is recommended </w:t>
      </w:r>
      <w:r w:rsidRPr="26F64964">
        <w:rPr>
          <w:rFonts w:ascii="Calibri" w:eastAsia="Times New Roman" w:hAnsi="Calibri" w:cs="Calibri"/>
          <w:color w:val="212121"/>
          <w:highlight w:val="white"/>
          <w:lang w:eastAsia="en-GB"/>
        </w:rPr>
        <w:lastRenderedPageBreak/>
        <w:t>that future research</w:t>
      </w:r>
      <w:r w:rsidRPr="26F64964">
        <w:rPr>
          <w:rFonts w:ascii="Calibri" w:eastAsia="Times New Roman" w:hAnsi="Calibri" w:cs="Calibri"/>
          <w:color w:val="212121"/>
          <w:lang w:eastAsia="en-GB"/>
        </w:rPr>
        <w:t xml:space="preserve"> consider the use of </w:t>
      </w:r>
      <w:r w:rsidR="002A16D8" w:rsidRPr="26F64964">
        <w:rPr>
          <w:rFonts w:ascii="Calibri" w:eastAsia="Times New Roman" w:hAnsi="Calibri" w:cs="Calibri"/>
          <w:color w:val="212121"/>
          <w:lang w:eastAsia="en-GB"/>
        </w:rPr>
        <w:t>eHealth</w:t>
      </w:r>
      <w:r w:rsidRPr="26F64964">
        <w:rPr>
          <w:rFonts w:ascii="Calibri" w:eastAsia="Times New Roman" w:hAnsi="Calibri" w:cs="Calibri"/>
          <w:color w:val="212121"/>
          <w:lang w:eastAsia="en-GB"/>
        </w:rPr>
        <w:t xml:space="preserve"> in transplantation within these countries as it could reveal more valuable insights.</w:t>
      </w:r>
      <w:r w:rsidR="00D44EE8">
        <w:rPr>
          <w:rFonts w:ascii="Calibri" w:eastAsia="Times New Roman" w:hAnsi="Calibri" w:cs="Calibri"/>
          <w:color w:val="212121"/>
          <w:lang w:eastAsia="en-GB"/>
        </w:rPr>
        <w:t xml:space="preserve"> Based on the mentioned avenues for future studies, researchers may attempt to </w:t>
      </w:r>
      <w:r w:rsidR="004636CA">
        <w:rPr>
          <w:rFonts w:ascii="Calibri" w:eastAsia="Times New Roman" w:hAnsi="Calibri" w:cs="Calibri"/>
          <w:color w:val="212121"/>
          <w:lang w:eastAsia="en-GB"/>
        </w:rPr>
        <w:t xml:space="preserve">explore the following potential research questions </w:t>
      </w:r>
      <w:r w:rsidR="006B7E39">
        <w:rPr>
          <w:rFonts w:ascii="Calibri" w:eastAsia="Times New Roman" w:hAnsi="Calibri" w:cs="Calibri"/>
          <w:color w:val="212121"/>
          <w:lang w:eastAsia="en-GB"/>
        </w:rPr>
        <w:t>with the focus of emerging technologies in transplant domain</w:t>
      </w:r>
      <w:r w:rsidR="004636CA">
        <w:rPr>
          <w:rFonts w:ascii="Calibri" w:eastAsia="Times New Roman" w:hAnsi="Calibri" w:cs="Calibri"/>
          <w:color w:val="212121"/>
          <w:lang w:eastAsia="en-GB"/>
        </w:rPr>
        <w:t>:</w:t>
      </w:r>
    </w:p>
    <w:p w14:paraId="15CFC9DD" w14:textId="5AAE6E9D" w:rsidR="00E928A6" w:rsidRPr="00D33C9F" w:rsidRDefault="004636CA" w:rsidP="00A513ED">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How do patients and healthcare providers perceive the usability, effectiveness and acceptability of AI-driven decision support tools in transplantation decision-making and patient management?</w:t>
      </w:r>
    </w:p>
    <w:p w14:paraId="291079F3" w14:textId="55E6E443"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How can AI improve the accuracy of organ match predictions</w:t>
      </w:r>
      <w:r w:rsidR="0056250A" w:rsidRPr="00D33C9F">
        <w:rPr>
          <w:rFonts w:ascii="Calibri" w:eastAsia="Times New Roman" w:hAnsi="Calibri" w:cs="Calibri"/>
          <w:lang w:eastAsia="en-GB"/>
        </w:rPr>
        <w:t xml:space="preserve"> and analytics impact post-transplant complication rates</w:t>
      </w:r>
      <w:r w:rsidRPr="00D33C9F">
        <w:rPr>
          <w:rFonts w:ascii="Calibri" w:eastAsia="Times New Roman" w:hAnsi="Calibri" w:cs="Calibri"/>
          <w:lang w:eastAsia="en-GB"/>
        </w:rPr>
        <w:t xml:space="preserve"> in transplant procedures?</w:t>
      </w:r>
    </w:p>
    <w:p w14:paraId="1DD0C831" w14:textId="77777777"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What role can wearable technology play in monitoring transplant recipients during the post-operative period to prevent complications?</w:t>
      </w:r>
    </w:p>
    <w:p w14:paraId="76324665" w14:textId="77777777"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How can blockchain technology enhance the security and transparency of organ donation registries?</w:t>
      </w:r>
    </w:p>
    <w:p w14:paraId="22F0E625" w14:textId="77777777"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Can virtual reality (VR) training simulations improve the skills and decision-making abilities of transplant surgeons?</w:t>
      </w:r>
    </w:p>
    <w:p w14:paraId="0F7C107D" w14:textId="6211BA8B" w:rsidR="00E928A6" w:rsidRPr="00D33C9F" w:rsidRDefault="00E928A6" w:rsidP="00E928A6">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How can VR simulations be used to educate transplant patients about their conditions, treatment options and self-management strategies?</w:t>
      </w:r>
    </w:p>
    <w:p w14:paraId="11EA7F79" w14:textId="77777777"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What impact does telemedicine have on the management of transplant patients in remote and underserved areas?</w:t>
      </w:r>
    </w:p>
    <w:p w14:paraId="51B07560" w14:textId="77777777"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How effective are mobile health applications in improving medication adherence among organ transplant recipients?</w:t>
      </w:r>
    </w:p>
    <w:p w14:paraId="0D8BA149" w14:textId="77777777" w:rsidR="00C917EE" w:rsidRPr="00D33C9F" w:rsidRDefault="00C917EE" w:rsidP="00C917EE">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What are the ethical implications of using predictive analytics in prioritizing transplant recipients?</w:t>
      </w:r>
    </w:p>
    <w:p w14:paraId="1AE498C1" w14:textId="7DC47082" w:rsidR="004636CA" w:rsidRPr="00D33C9F" w:rsidRDefault="00C917EE" w:rsidP="00352508">
      <w:pPr>
        <w:pStyle w:val="ListParagraph"/>
        <w:numPr>
          <w:ilvl w:val="0"/>
          <w:numId w:val="35"/>
        </w:numPr>
        <w:spacing w:line="360" w:lineRule="auto"/>
        <w:jc w:val="both"/>
        <w:rPr>
          <w:rFonts w:ascii="Calibri" w:eastAsia="Times New Roman" w:hAnsi="Calibri" w:cs="Calibri"/>
          <w:lang w:eastAsia="en-GB"/>
        </w:rPr>
      </w:pPr>
      <w:r w:rsidRPr="00D33C9F">
        <w:rPr>
          <w:rFonts w:ascii="Calibri" w:eastAsia="Times New Roman" w:hAnsi="Calibri" w:cs="Calibri"/>
          <w:lang w:eastAsia="en-GB"/>
        </w:rPr>
        <w:t>Can Internet of Things devices integrated within home environments provide early detection of health deterioration in transplant patients?</w:t>
      </w:r>
    </w:p>
    <w:p w14:paraId="1800DA17" w14:textId="223183E2" w:rsidR="00585C15" w:rsidRDefault="00585C15" w:rsidP="00585C15">
      <w:pPr>
        <w:pStyle w:val="Heading3"/>
        <w:jc w:val="left"/>
        <w:rPr>
          <w:rFonts w:eastAsia="Times New Roman"/>
          <w:lang w:eastAsia="en-GB"/>
        </w:rPr>
      </w:pPr>
      <w:bookmarkStart w:id="48" w:name="_Toc166854012"/>
      <w:r>
        <w:rPr>
          <w:rFonts w:eastAsia="Times New Roman"/>
          <w:lang w:eastAsia="en-GB"/>
        </w:rPr>
        <w:t>5.</w:t>
      </w:r>
      <w:r w:rsidR="000C6A5D">
        <w:rPr>
          <w:rFonts w:eastAsia="Times New Roman"/>
          <w:lang w:eastAsia="en-GB"/>
        </w:rPr>
        <w:t xml:space="preserve">1.7 </w:t>
      </w:r>
      <w:r>
        <w:rPr>
          <w:rFonts w:eastAsia="Times New Roman"/>
          <w:lang w:eastAsia="en-GB"/>
        </w:rPr>
        <w:t>Research Limitations</w:t>
      </w:r>
      <w:bookmarkEnd w:id="48"/>
    </w:p>
    <w:p w14:paraId="73BB66D0" w14:textId="4A4E5889" w:rsidR="00585C15" w:rsidRPr="00035555" w:rsidRDefault="00585C15" w:rsidP="00585C15">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This study has </w:t>
      </w:r>
      <w:r w:rsidRPr="26F64964">
        <w:rPr>
          <w:rFonts w:ascii="Calibri" w:eastAsia="Times New Roman" w:hAnsi="Calibri" w:cs="Calibri"/>
          <w:color w:val="212121"/>
          <w:highlight w:val="white"/>
          <w:lang w:eastAsia="en-GB"/>
        </w:rPr>
        <w:t>a few limitations which should be considered</w:t>
      </w:r>
      <w:r w:rsidRPr="26F64964">
        <w:rPr>
          <w:rFonts w:ascii="Calibri" w:eastAsia="Times New Roman" w:hAnsi="Calibri" w:cs="Calibri"/>
          <w:color w:val="212121"/>
          <w:lang w:eastAsia="en-GB"/>
        </w:rPr>
        <w:t xml:space="preserve">. </w:t>
      </w:r>
      <w:r w:rsidRPr="008C6F3E">
        <w:rPr>
          <w:rFonts w:ascii="Calibri" w:eastAsia="Times New Roman" w:hAnsi="Calibri" w:cs="Calibri"/>
          <w:color w:val="212121"/>
          <w:lang w:eastAsia="en-GB"/>
        </w:rPr>
        <w:t xml:space="preserve">Firstly, this research </w:t>
      </w:r>
      <w:r w:rsidR="00922FCC" w:rsidRPr="008C6F3E">
        <w:rPr>
          <w:rFonts w:ascii="Calibri" w:eastAsia="Times New Roman" w:hAnsi="Calibri" w:cs="Calibri"/>
          <w:color w:val="212121"/>
          <w:lang w:eastAsia="en-GB"/>
        </w:rPr>
        <w:t>draws upon data gathered from prior studies</w:t>
      </w:r>
      <w:r w:rsidR="00922FCC">
        <w:rPr>
          <w:rFonts w:ascii="Calibri" w:eastAsia="Times New Roman" w:hAnsi="Calibri" w:cs="Calibri"/>
          <w:color w:val="212121"/>
          <w:lang w:eastAsia="en-GB"/>
        </w:rPr>
        <w:t xml:space="preserve"> </w:t>
      </w:r>
      <w:r w:rsidRPr="26F64964">
        <w:rPr>
          <w:rFonts w:ascii="Calibri" w:eastAsia="Times New Roman" w:hAnsi="Calibri" w:cs="Calibri"/>
          <w:color w:val="212121"/>
          <w:lang w:eastAsia="en-GB"/>
        </w:rPr>
        <w:t xml:space="preserve">investigating the use of eHealth in transplantation. Since this study does not involve primary data collection, it is susceptible to inheriting the limitations and validity issues of the studies used as sources. However, to address this limitation, as a part </w:t>
      </w:r>
      <w:r w:rsidRPr="26F64964">
        <w:rPr>
          <w:rFonts w:ascii="Calibri" w:eastAsia="Times New Roman" w:hAnsi="Calibri" w:cs="Calibri"/>
          <w:color w:val="212121"/>
          <w:highlight w:val="white"/>
          <w:lang w:eastAsia="en-GB"/>
        </w:rPr>
        <w:t>of the exclusion criteria</w:t>
      </w:r>
      <w:r w:rsidRPr="26F64964">
        <w:rPr>
          <w:rFonts w:ascii="Calibri" w:eastAsia="Times New Roman" w:hAnsi="Calibri" w:cs="Calibri"/>
          <w:color w:val="212121"/>
          <w:lang w:eastAsia="en-GB"/>
        </w:rPr>
        <w:t xml:space="preserve">, only empirical studies </w:t>
      </w:r>
      <w:r w:rsidRPr="26F64964">
        <w:rPr>
          <w:rFonts w:ascii="Calibri" w:eastAsia="Times New Roman" w:hAnsi="Calibri" w:cs="Calibri"/>
          <w:color w:val="212121"/>
          <w:highlight w:val="white"/>
          <w:lang w:eastAsia="en-GB"/>
        </w:rPr>
        <w:t>were included in the</w:t>
      </w:r>
      <w:r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highlight w:val="white"/>
          <w:lang w:eastAsia="en-GB"/>
        </w:rPr>
        <w:t>literature review process.</w:t>
      </w:r>
      <w:r w:rsidRPr="26F64964">
        <w:rPr>
          <w:rFonts w:ascii="Calibri" w:eastAsia="Times New Roman" w:hAnsi="Calibri" w:cs="Calibri"/>
          <w:color w:val="212121"/>
          <w:lang w:eastAsia="en-GB"/>
        </w:rPr>
        <w:t xml:space="preserve"> </w:t>
      </w:r>
    </w:p>
    <w:p w14:paraId="1ABC734E" w14:textId="2D7577B0" w:rsidR="00A513ED" w:rsidRPr="00F1298E" w:rsidRDefault="00585C15" w:rsidP="00585C15">
      <w:pPr>
        <w:spacing w:line="360" w:lineRule="auto"/>
        <w:jc w:val="both"/>
        <w:rPr>
          <w:rFonts w:ascii="Calibri" w:eastAsia="Times New Roman" w:hAnsi="Calibri" w:cs="Calibri"/>
          <w:lang w:eastAsia="en-GB"/>
        </w:rPr>
      </w:pPr>
      <w:r w:rsidRPr="00360CE7">
        <w:rPr>
          <w:rFonts w:ascii="Calibri" w:eastAsia="Times New Roman" w:hAnsi="Calibri" w:cs="Calibri"/>
          <w:color w:val="212121"/>
          <w:lang w:eastAsia="en-GB"/>
        </w:rPr>
        <w:t xml:space="preserve">Secondly, this study </w:t>
      </w:r>
      <w:r w:rsidR="00360CE7" w:rsidRPr="00360CE7">
        <w:rPr>
          <w:rFonts w:ascii="Calibri" w:eastAsia="Times New Roman" w:hAnsi="Calibri" w:cs="Calibri"/>
          <w:color w:val="212121"/>
          <w:lang w:eastAsia="en-GB"/>
        </w:rPr>
        <w:t>relied on preceding journal articles</w:t>
      </w:r>
      <w:r w:rsidR="00AA5551" w:rsidRPr="00360CE7">
        <w:rPr>
          <w:rFonts w:ascii="Calibri" w:eastAsia="Times New Roman" w:hAnsi="Calibri" w:cs="Calibri"/>
          <w:color w:val="212121"/>
          <w:lang w:eastAsia="en-GB"/>
        </w:rPr>
        <w:t xml:space="preserve"> </w:t>
      </w:r>
      <w:r w:rsidR="00AA5551" w:rsidRPr="26F64964">
        <w:rPr>
          <w:rFonts w:ascii="Calibri" w:eastAsia="Times New Roman" w:hAnsi="Calibri" w:cs="Calibri"/>
          <w:color w:val="212121"/>
          <w:highlight w:val="white"/>
          <w:lang w:eastAsia="en-GB"/>
        </w:rPr>
        <w:t>and</w:t>
      </w:r>
      <w:r w:rsidR="00AA5551" w:rsidRPr="26F64964">
        <w:rPr>
          <w:rFonts w:ascii="Calibri" w:eastAsia="Times New Roman" w:hAnsi="Calibri" w:cs="Calibri"/>
          <w:color w:val="212121"/>
          <w:lang w:eastAsia="en-GB"/>
        </w:rPr>
        <w:t xml:space="preserve"> restricted data sources</w:t>
      </w:r>
      <w:r w:rsidRPr="26F64964">
        <w:rPr>
          <w:rFonts w:ascii="Calibri" w:eastAsia="Times New Roman" w:hAnsi="Calibri" w:cs="Calibri"/>
          <w:color w:val="212121"/>
          <w:lang w:eastAsia="en-GB"/>
        </w:rPr>
        <w:t xml:space="preserve">. However, with advancements in technology, eHealth is constantly changing and improving, meaning there is a considerable body of literature on the subject that may exist outside of traditional academic </w:t>
      </w:r>
      <w:r w:rsidRPr="26F64964">
        <w:rPr>
          <w:rFonts w:ascii="Calibri" w:eastAsia="Times New Roman" w:hAnsi="Calibri" w:cs="Calibri"/>
          <w:color w:val="212121"/>
          <w:lang w:eastAsia="en-GB"/>
        </w:rPr>
        <w:lastRenderedPageBreak/>
        <w:t>journals</w:t>
      </w:r>
      <w:r w:rsidR="00C05E8F" w:rsidRPr="26F64964">
        <w:rPr>
          <w:rFonts w:ascii="Calibri" w:eastAsia="Times New Roman" w:hAnsi="Calibri" w:cs="Calibri"/>
          <w:color w:val="212121"/>
          <w:lang w:eastAsia="en-GB"/>
        </w:rPr>
        <w:t xml:space="preserve"> and database</w:t>
      </w:r>
      <w:r w:rsidR="002F114B" w:rsidRPr="26F64964">
        <w:rPr>
          <w:rFonts w:ascii="Calibri" w:eastAsia="Times New Roman" w:hAnsi="Calibri" w:cs="Calibri"/>
          <w:color w:val="212121"/>
          <w:lang w:eastAsia="en-GB"/>
        </w:rPr>
        <w:t>s</w:t>
      </w:r>
      <w:r w:rsidRPr="26F64964">
        <w:rPr>
          <w:rFonts w:ascii="Calibri" w:eastAsia="Times New Roman" w:hAnsi="Calibri" w:cs="Calibri"/>
          <w:color w:val="212121"/>
          <w:lang w:eastAsia="en-GB"/>
        </w:rPr>
        <w:t xml:space="preserve">, including online materials and commercial publications. However, despite the exclusion of such sources, the findings presented within this study are </w:t>
      </w:r>
      <w:r w:rsidRPr="26F64964">
        <w:rPr>
          <w:rFonts w:ascii="Calibri" w:eastAsia="Times New Roman" w:hAnsi="Calibri" w:cs="Calibri"/>
          <w:color w:val="212121"/>
          <w:highlight w:val="white"/>
          <w:lang w:eastAsia="en-GB"/>
        </w:rPr>
        <w:t>still relevant</w:t>
      </w:r>
      <w:r w:rsidRPr="26F64964">
        <w:rPr>
          <w:rFonts w:ascii="Calibri" w:eastAsia="Times New Roman" w:hAnsi="Calibri" w:cs="Calibri"/>
          <w:color w:val="212121"/>
          <w:lang w:eastAsia="en-GB"/>
        </w:rPr>
        <w:t xml:space="preserve"> as it utilizes studies from peer-reviewed</w:t>
      </w:r>
      <w:r w:rsidR="007B3674"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lang w:eastAsia="en-GB"/>
        </w:rPr>
        <w:t>well-established journals</w:t>
      </w:r>
      <w:r w:rsidR="00FA34EE" w:rsidRPr="26F64964">
        <w:rPr>
          <w:rFonts w:ascii="Calibri" w:eastAsia="Times New Roman" w:hAnsi="Calibri" w:cs="Calibri"/>
          <w:color w:val="212121"/>
          <w:lang w:eastAsia="en-GB"/>
        </w:rPr>
        <w:t xml:space="preserve"> </w:t>
      </w:r>
      <w:r w:rsidR="007B3674" w:rsidRPr="26F64964">
        <w:rPr>
          <w:rFonts w:ascii="Calibri" w:eastAsia="Times New Roman" w:hAnsi="Calibri" w:cs="Calibri"/>
          <w:color w:val="212121"/>
          <w:lang w:eastAsia="en-GB"/>
        </w:rPr>
        <w:t>and</w:t>
      </w:r>
      <w:r w:rsidR="00FA34EE" w:rsidRPr="26F64964">
        <w:rPr>
          <w:rFonts w:ascii="Calibri" w:eastAsia="Times New Roman" w:hAnsi="Calibri" w:cs="Calibri"/>
          <w:color w:val="212121"/>
          <w:lang w:eastAsia="en-GB"/>
        </w:rPr>
        <w:t xml:space="preserve"> </w:t>
      </w:r>
      <w:r w:rsidR="00FA34EE" w:rsidRPr="26F64964">
        <w:rPr>
          <w:rFonts w:ascii="Calibri" w:eastAsia="Times New Roman" w:hAnsi="Calibri" w:cs="Calibri"/>
          <w:lang w:eastAsia="en-GB"/>
        </w:rPr>
        <w:t xml:space="preserve">databases </w:t>
      </w:r>
      <w:r w:rsidR="007B3674" w:rsidRPr="26F64964">
        <w:rPr>
          <w:rFonts w:ascii="Calibri" w:eastAsia="Times New Roman" w:hAnsi="Calibri" w:cs="Calibri"/>
          <w:lang w:eastAsia="en-GB"/>
        </w:rPr>
        <w:t xml:space="preserve">that </w:t>
      </w:r>
      <w:r w:rsidR="002F114B" w:rsidRPr="26F64964">
        <w:rPr>
          <w:rFonts w:ascii="Calibri" w:eastAsia="Times New Roman" w:hAnsi="Calibri" w:cs="Calibri"/>
          <w:lang w:eastAsia="en-GB"/>
        </w:rPr>
        <w:t xml:space="preserve">are </w:t>
      </w:r>
      <w:r w:rsidR="00FA34EE" w:rsidRPr="26F64964">
        <w:rPr>
          <w:rFonts w:ascii="Calibri" w:eastAsia="Times New Roman" w:hAnsi="Calibri" w:cs="Calibri"/>
          <w:lang w:eastAsia="en-GB"/>
        </w:rPr>
        <w:t xml:space="preserve">commonly </w:t>
      </w:r>
      <w:r w:rsidR="007B3674" w:rsidRPr="26F64964">
        <w:rPr>
          <w:rFonts w:ascii="Calibri" w:eastAsia="Times New Roman" w:hAnsi="Calibri" w:cs="Calibri"/>
          <w:lang w:eastAsia="en-GB"/>
        </w:rPr>
        <w:t>used for</w:t>
      </w:r>
      <w:r w:rsidR="00FA34EE" w:rsidRPr="26F64964">
        <w:rPr>
          <w:rFonts w:ascii="Calibri" w:eastAsia="Times New Roman" w:hAnsi="Calibri" w:cs="Calibri"/>
          <w:lang w:eastAsia="en-GB"/>
        </w:rPr>
        <w:t xml:space="preserve"> previous systematic reviews</w:t>
      </w:r>
      <w:r w:rsidRPr="26F64964">
        <w:rPr>
          <w:rFonts w:ascii="Calibri" w:eastAsia="Times New Roman" w:hAnsi="Calibri" w:cs="Calibri"/>
          <w:lang w:eastAsia="en-GB"/>
        </w:rPr>
        <w:t xml:space="preserve">. </w:t>
      </w:r>
      <w:r w:rsidR="00C75653" w:rsidRPr="26F64964">
        <w:rPr>
          <w:rFonts w:ascii="Calibri" w:eastAsia="Times New Roman" w:hAnsi="Calibri" w:cs="Calibri"/>
          <w:lang w:eastAsia="en-GB"/>
        </w:rPr>
        <w:t xml:space="preserve"> </w:t>
      </w:r>
      <w:r w:rsidR="00A513ED">
        <w:rPr>
          <w:rFonts w:ascii="Calibri" w:eastAsia="Times New Roman" w:hAnsi="Calibri" w:cs="Calibri"/>
          <w:lang w:eastAsia="en-GB"/>
        </w:rPr>
        <w:t xml:space="preserve">Another potential limitation is the absence of </w:t>
      </w:r>
      <w:r w:rsidR="0009757B">
        <w:rPr>
          <w:rFonts w:ascii="Calibri" w:eastAsia="Times New Roman" w:hAnsi="Calibri" w:cs="Calibri"/>
          <w:lang w:eastAsia="en-GB"/>
        </w:rPr>
        <w:t xml:space="preserve">a few </w:t>
      </w:r>
      <w:r w:rsidR="00F73437">
        <w:rPr>
          <w:rFonts w:ascii="Calibri" w:eastAsia="Times New Roman" w:hAnsi="Calibri" w:cs="Calibri"/>
          <w:lang w:eastAsia="en-GB"/>
        </w:rPr>
        <w:t>methods from the PRISM</w:t>
      </w:r>
      <w:r w:rsidR="003315AB">
        <w:rPr>
          <w:rFonts w:ascii="Calibri" w:eastAsia="Times New Roman" w:hAnsi="Calibri" w:cs="Calibri"/>
          <w:lang w:eastAsia="en-GB"/>
        </w:rPr>
        <w:t>A</w:t>
      </w:r>
      <w:r w:rsidR="00F73437">
        <w:rPr>
          <w:rFonts w:ascii="Calibri" w:eastAsia="Times New Roman" w:hAnsi="Calibri" w:cs="Calibri"/>
          <w:lang w:eastAsia="en-GB"/>
        </w:rPr>
        <w:t xml:space="preserve"> 27-Item Checklist (Moher et al., 2020). </w:t>
      </w:r>
      <w:r w:rsidR="00F73437" w:rsidRPr="00F73437">
        <w:rPr>
          <w:rFonts w:ascii="Calibri" w:eastAsia="Times New Roman" w:hAnsi="Calibri" w:cs="Calibri"/>
          <w:lang w:eastAsia="en-GB"/>
        </w:rPr>
        <w:t>The absence of these components may result in a less rigorous assessment of study quality, potentially leading to biased or inaccurate conclusions.</w:t>
      </w:r>
    </w:p>
    <w:p w14:paraId="1DCB5FDF" w14:textId="72E0B0BE" w:rsidR="00140E5B" w:rsidRPr="00F1298E" w:rsidRDefault="00140E5B" w:rsidP="00585C15">
      <w:pPr>
        <w:spacing w:line="360" w:lineRule="auto"/>
        <w:jc w:val="both"/>
        <w:rPr>
          <w:rFonts w:ascii="Calibri" w:eastAsia="Times New Roman" w:hAnsi="Calibri" w:cs="Calibri"/>
          <w:lang w:eastAsia="en-GB"/>
        </w:rPr>
      </w:pPr>
      <w:r w:rsidRPr="26F64964">
        <w:rPr>
          <w:rFonts w:ascii="Calibri" w:eastAsia="Times New Roman" w:hAnsi="Calibri" w:cs="Calibri"/>
          <w:lang w:val="en-US" w:eastAsia="en-GB"/>
        </w:rPr>
        <w:t xml:space="preserve">Another gap identified was the lack of studies in countries that had high rates of transplantation. Countries that have high rates of transplantation could be holding a wealth of </w:t>
      </w:r>
      <w:r w:rsidRPr="26F64964">
        <w:rPr>
          <w:rFonts w:ascii="Calibri" w:eastAsia="Times New Roman" w:hAnsi="Calibri" w:cs="Calibri"/>
          <w:highlight w:val="white"/>
          <w:lang w:val="en-US" w:eastAsia="en-GB"/>
        </w:rPr>
        <w:t>information that can be used</w:t>
      </w:r>
      <w:r w:rsidRPr="26F64964">
        <w:rPr>
          <w:rFonts w:ascii="Calibri" w:eastAsia="Times New Roman" w:hAnsi="Calibri" w:cs="Calibri"/>
          <w:lang w:val="en-US" w:eastAsia="en-GB"/>
        </w:rPr>
        <w:t xml:space="preserve"> globally to improve patient care and outcomes for transplantation. </w:t>
      </w:r>
      <w:r w:rsidR="00D37045" w:rsidRPr="26F64964">
        <w:rPr>
          <w:rFonts w:ascii="Calibri" w:eastAsia="Times New Roman" w:hAnsi="Calibri" w:cs="Calibri"/>
          <w:lang w:val="en-US" w:eastAsia="en-GB"/>
        </w:rPr>
        <w:t>Therefore,</w:t>
      </w:r>
      <w:r w:rsidRPr="26F64964">
        <w:rPr>
          <w:rFonts w:ascii="Calibri" w:eastAsia="Times New Roman" w:hAnsi="Calibri" w:cs="Calibri"/>
          <w:lang w:val="en-US" w:eastAsia="en-GB"/>
        </w:rPr>
        <w:t xml:space="preserve"> future research should further expand to different countries.</w:t>
      </w:r>
    </w:p>
    <w:p w14:paraId="3440C483" w14:textId="4A1E4CC0" w:rsidR="00D37045" w:rsidRPr="00BD6E91" w:rsidRDefault="00EC083E" w:rsidP="00585C15">
      <w:pPr>
        <w:spacing w:line="360" w:lineRule="auto"/>
        <w:jc w:val="both"/>
        <w:rPr>
          <w:rFonts w:ascii="Calibri" w:eastAsia="Times New Roman" w:hAnsi="Calibri" w:cs="Calibri"/>
          <w:lang w:eastAsia="en-GB"/>
        </w:rPr>
      </w:pPr>
      <w:r w:rsidRPr="26F64964">
        <w:rPr>
          <w:rFonts w:ascii="Calibri" w:eastAsia="Times New Roman" w:hAnsi="Calibri" w:cs="Calibri"/>
          <w:lang w:eastAsia="en-GB"/>
        </w:rPr>
        <w:t xml:space="preserve">Lastly, </w:t>
      </w:r>
      <w:r w:rsidR="00EB7D64" w:rsidRPr="26F64964">
        <w:rPr>
          <w:rFonts w:ascii="Calibri" w:eastAsia="Times New Roman" w:hAnsi="Calibri" w:cs="Calibri"/>
          <w:lang w:eastAsia="en-GB"/>
        </w:rPr>
        <w:t xml:space="preserve">studies within this review </w:t>
      </w:r>
      <w:r w:rsidR="000A08D8" w:rsidRPr="26F64964">
        <w:rPr>
          <w:rFonts w:ascii="Calibri" w:eastAsia="Times New Roman" w:hAnsi="Calibri" w:cs="Calibri"/>
          <w:lang w:eastAsia="en-GB"/>
        </w:rPr>
        <w:t>involved different sample</w:t>
      </w:r>
      <w:r w:rsidR="002F114B" w:rsidRPr="26F64964">
        <w:rPr>
          <w:rFonts w:ascii="Calibri" w:eastAsia="Times New Roman" w:hAnsi="Calibri" w:cs="Calibri"/>
          <w:lang w:eastAsia="en-GB"/>
        </w:rPr>
        <w:t>s</w:t>
      </w:r>
      <w:r w:rsidR="000A08D8" w:rsidRPr="26F64964">
        <w:rPr>
          <w:rFonts w:ascii="Calibri" w:eastAsia="Times New Roman" w:hAnsi="Calibri" w:cs="Calibri"/>
          <w:lang w:eastAsia="en-GB"/>
        </w:rPr>
        <w:t xml:space="preserve"> of studies from different countries. </w:t>
      </w:r>
      <w:r w:rsidR="00CE2583" w:rsidRPr="26F64964">
        <w:rPr>
          <w:rFonts w:ascii="Calibri" w:eastAsia="Times New Roman" w:hAnsi="Calibri" w:cs="Calibri"/>
          <w:lang w:eastAsia="en-GB"/>
        </w:rPr>
        <w:t>Some</w:t>
      </w:r>
      <w:r w:rsidR="00246D5B" w:rsidRPr="26F64964">
        <w:rPr>
          <w:rFonts w:ascii="Calibri" w:eastAsia="Times New Roman" w:hAnsi="Calibri" w:cs="Calibri"/>
          <w:lang w:eastAsia="en-GB"/>
        </w:rPr>
        <w:t xml:space="preserve"> studies did </w:t>
      </w:r>
      <w:r w:rsidR="00EB7D64" w:rsidRPr="26F64964">
        <w:rPr>
          <w:rFonts w:ascii="Calibri" w:eastAsia="Times New Roman" w:hAnsi="Calibri" w:cs="Calibri"/>
          <w:lang w:eastAsia="en-GB"/>
        </w:rPr>
        <w:t xml:space="preserve">not report the ethnicities of participants </w:t>
      </w:r>
      <w:r w:rsidR="000F1AD6" w:rsidRPr="26F64964">
        <w:rPr>
          <w:rFonts w:ascii="Calibri" w:eastAsia="Times New Roman" w:hAnsi="Calibri" w:cs="Calibri"/>
          <w:lang w:eastAsia="en-GB"/>
        </w:rPr>
        <w:t xml:space="preserve">(eHealth users) </w:t>
      </w:r>
      <w:r w:rsidR="00EB7D64" w:rsidRPr="26F64964">
        <w:rPr>
          <w:rFonts w:ascii="Calibri" w:eastAsia="Times New Roman" w:hAnsi="Calibri" w:cs="Calibri"/>
          <w:lang w:eastAsia="en-GB"/>
        </w:rPr>
        <w:t>within their sample</w:t>
      </w:r>
      <w:r w:rsidR="00C23269" w:rsidRPr="26F64964">
        <w:rPr>
          <w:rFonts w:ascii="Calibri" w:eastAsia="Times New Roman" w:hAnsi="Calibri" w:cs="Calibri"/>
          <w:lang w:eastAsia="en-GB"/>
        </w:rPr>
        <w:t xml:space="preserve"> w</w:t>
      </w:r>
      <w:r w:rsidR="00C207C8" w:rsidRPr="26F64964">
        <w:rPr>
          <w:rFonts w:ascii="Calibri" w:eastAsia="Times New Roman" w:hAnsi="Calibri" w:cs="Calibri"/>
          <w:lang w:eastAsia="en-GB"/>
        </w:rPr>
        <w:t>hich mean</w:t>
      </w:r>
      <w:r w:rsidR="002F114B" w:rsidRPr="26F64964">
        <w:rPr>
          <w:rFonts w:ascii="Calibri" w:eastAsia="Times New Roman" w:hAnsi="Calibri" w:cs="Calibri"/>
          <w:lang w:eastAsia="en-GB"/>
        </w:rPr>
        <w:t>s</w:t>
      </w:r>
      <w:r w:rsidR="00C207C8" w:rsidRPr="26F64964">
        <w:rPr>
          <w:rFonts w:ascii="Calibri" w:eastAsia="Times New Roman" w:hAnsi="Calibri" w:cs="Calibri"/>
          <w:lang w:eastAsia="en-GB"/>
        </w:rPr>
        <w:t xml:space="preserve"> some </w:t>
      </w:r>
      <w:r w:rsidR="00B54D7E" w:rsidRPr="26F64964">
        <w:rPr>
          <w:rFonts w:ascii="Calibri" w:eastAsia="Times New Roman" w:hAnsi="Calibri" w:cs="Calibri"/>
          <w:lang w:eastAsia="en-GB"/>
        </w:rPr>
        <w:t>group</w:t>
      </w:r>
      <w:r w:rsidR="002F114B" w:rsidRPr="26F64964">
        <w:rPr>
          <w:rFonts w:ascii="Calibri" w:eastAsia="Times New Roman" w:hAnsi="Calibri" w:cs="Calibri"/>
          <w:lang w:eastAsia="en-GB"/>
        </w:rPr>
        <w:t>s</w:t>
      </w:r>
      <w:r w:rsidR="00B54D7E" w:rsidRPr="26F64964">
        <w:rPr>
          <w:rFonts w:ascii="Calibri" w:eastAsia="Times New Roman" w:hAnsi="Calibri" w:cs="Calibri"/>
          <w:lang w:eastAsia="en-GB"/>
        </w:rPr>
        <w:t xml:space="preserve"> of </w:t>
      </w:r>
      <w:r w:rsidR="00C207C8" w:rsidRPr="26F64964">
        <w:rPr>
          <w:rFonts w:ascii="Calibri" w:eastAsia="Times New Roman" w:hAnsi="Calibri" w:cs="Calibri"/>
          <w:lang w:eastAsia="en-GB"/>
        </w:rPr>
        <w:t xml:space="preserve">people may not be </w:t>
      </w:r>
      <w:r w:rsidR="00246D5B" w:rsidRPr="26F64964">
        <w:rPr>
          <w:rFonts w:ascii="Calibri" w:eastAsia="Times New Roman" w:hAnsi="Calibri" w:cs="Calibri"/>
          <w:lang w:eastAsia="en-GB"/>
        </w:rPr>
        <w:t xml:space="preserve">well represented. </w:t>
      </w:r>
      <w:r w:rsidR="0059068A" w:rsidRPr="26F64964">
        <w:rPr>
          <w:rFonts w:ascii="Calibri" w:eastAsia="Times New Roman" w:hAnsi="Calibri" w:cs="Calibri"/>
          <w:lang w:eastAsia="en-GB"/>
        </w:rPr>
        <w:t>Therefor</w:t>
      </w:r>
      <w:r w:rsidR="00B54D7E" w:rsidRPr="26F64964">
        <w:rPr>
          <w:rFonts w:ascii="Calibri" w:eastAsia="Times New Roman" w:hAnsi="Calibri" w:cs="Calibri"/>
          <w:lang w:eastAsia="en-GB"/>
        </w:rPr>
        <w:t>e,</w:t>
      </w:r>
      <w:r w:rsidR="0059068A" w:rsidRPr="26F64964">
        <w:rPr>
          <w:rFonts w:ascii="Calibri" w:eastAsia="Times New Roman" w:hAnsi="Calibri" w:cs="Calibri"/>
          <w:lang w:eastAsia="en-GB"/>
        </w:rPr>
        <w:t xml:space="preserve"> findings may not accurately represent</w:t>
      </w:r>
      <w:r w:rsidR="007E3B34" w:rsidRPr="26F64964">
        <w:rPr>
          <w:rFonts w:ascii="Calibri" w:eastAsia="Times New Roman" w:hAnsi="Calibri" w:cs="Calibri"/>
          <w:lang w:eastAsia="en-GB"/>
        </w:rPr>
        <w:t xml:space="preserve"> the needs and responses of </w:t>
      </w:r>
      <w:r w:rsidR="002F114B" w:rsidRPr="26F64964">
        <w:rPr>
          <w:rFonts w:ascii="Calibri" w:eastAsia="Times New Roman" w:hAnsi="Calibri" w:cs="Calibri"/>
          <w:lang w:eastAsia="en-GB"/>
        </w:rPr>
        <w:t>under-</w:t>
      </w:r>
      <w:r w:rsidR="000C6A5D" w:rsidRPr="26F64964">
        <w:rPr>
          <w:rFonts w:ascii="Calibri" w:eastAsia="Times New Roman" w:hAnsi="Calibri" w:cs="Calibri"/>
          <w:lang w:eastAsia="en-GB"/>
        </w:rPr>
        <w:t xml:space="preserve">reported ethnic groups. </w:t>
      </w:r>
      <w:r w:rsidR="00910CEF" w:rsidRPr="26F64964">
        <w:rPr>
          <w:rFonts w:ascii="Calibri" w:eastAsia="Times New Roman" w:hAnsi="Calibri" w:cs="Calibri"/>
          <w:highlight w:val="white"/>
          <w:lang w:eastAsia="en-GB"/>
        </w:rPr>
        <w:t>Future studies should aim to</w:t>
      </w:r>
      <w:r w:rsidR="00910CEF" w:rsidRPr="26F64964">
        <w:rPr>
          <w:rFonts w:ascii="Calibri" w:eastAsia="Times New Roman" w:hAnsi="Calibri" w:cs="Calibri"/>
          <w:lang w:eastAsia="en-GB"/>
        </w:rPr>
        <w:t xml:space="preserve"> enhance the inclusivity and representativeness of participant samples</w:t>
      </w:r>
      <w:r w:rsidR="00B5564C" w:rsidRPr="26F64964">
        <w:rPr>
          <w:rFonts w:ascii="Calibri" w:eastAsia="Times New Roman" w:hAnsi="Calibri" w:cs="Calibri"/>
          <w:lang w:eastAsia="en-GB"/>
        </w:rPr>
        <w:t xml:space="preserve"> to</w:t>
      </w:r>
      <w:r w:rsidR="00B5564C">
        <w:t xml:space="preserve"> </w:t>
      </w:r>
      <w:r w:rsidR="00B5564C" w:rsidRPr="26F64964">
        <w:rPr>
          <w:rFonts w:ascii="Calibri" w:eastAsia="Times New Roman" w:hAnsi="Calibri" w:cs="Calibri"/>
          <w:lang w:eastAsia="en-GB"/>
        </w:rPr>
        <w:t>contribute to a more robust and generalizable knowledge base within the context of transplantation</w:t>
      </w:r>
      <w:r w:rsidR="00F60F24" w:rsidRPr="26F64964">
        <w:rPr>
          <w:rFonts w:ascii="Calibri" w:eastAsia="Times New Roman" w:hAnsi="Calibri" w:cs="Calibri"/>
          <w:lang w:eastAsia="en-GB"/>
        </w:rPr>
        <w:t>.</w:t>
      </w:r>
    </w:p>
    <w:p w14:paraId="211A8C69" w14:textId="3A100F20" w:rsidR="009653CA" w:rsidRDefault="00730E57" w:rsidP="00730E57">
      <w:pPr>
        <w:pStyle w:val="Heading2"/>
        <w:jc w:val="left"/>
        <w:rPr>
          <w:rFonts w:eastAsia="Times New Roman"/>
          <w:lang w:eastAsia="en-GB"/>
        </w:rPr>
      </w:pPr>
      <w:bookmarkStart w:id="49" w:name="_Toc166854013"/>
      <w:r>
        <w:rPr>
          <w:rFonts w:eastAsia="Times New Roman"/>
          <w:lang w:eastAsia="en-GB"/>
        </w:rPr>
        <w:t>5.2 Conclusion</w:t>
      </w:r>
      <w:bookmarkEnd w:id="49"/>
    </w:p>
    <w:p w14:paraId="1E6FAF29" w14:textId="1A0EAD04" w:rsidR="0071155B" w:rsidRPr="0071155B" w:rsidRDefault="0071155B" w:rsidP="0071155B">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eHealth is transforming the field of transplantation, offering </w:t>
      </w:r>
      <w:r w:rsidRPr="26F64964">
        <w:rPr>
          <w:rFonts w:ascii="Calibri" w:eastAsia="Times New Roman" w:hAnsi="Calibri" w:cs="Calibri"/>
          <w:color w:val="212121"/>
          <w:highlight w:val="white"/>
          <w:lang w:eastAsia="en-GB"/>
        </w:rPr>
        <w:t>many benefits for both</w:t>
      </w:r>
      <w:r w:rsidRPr="26F64964">
        <w:rPr>
          <w:rFonts w:ascii="Calibri" w:eastAsia="Times New Roman" w:hAnsi="Calibri" w:cs="Calibri"/>
          <w:color w:val="212121"/>
          <w:lang w:eastAsia="en-GB"/>
        </w:rPr>
        <w:t xml:space="preserve"> patients and healthcare providers. Its impact spans the entire transplant journey, from </w:t>
      </w:r>
      <w:r w:rsidRPr="00F4576D">
        <w:rPr>
          <w:rFonts w:ascii="Calibri" w:eastAsia="Times New Roman" w:hAnsi="Calibri" w:cs="Calibri"/>
          <w:color w:val="212121"/>
          <w:lang w:eastAsia="en-GB"/>
        </w:rPr>
        <w:t>pre-transplant assessment to post-transplant care and</w:t>
      </w:r>
      <w:r w:rsidR="00F4576D" w:rsidRPr="00F4576D">
        <w:rPr>
          <w:rFonts w:ascii="Calibri" w:eastAsia="Times New Roman" w:hAnsi="Calibri" w:cs="Calibri"/>
          <w:color w:val="212121"/>
          <w:lang w:eastAsia="en-GB"/>
        </w:rPr>
        <w:t xml:space="preserve"> ongoing</w:t>
      </w:r>
      <w:r w:rsidRPr="00F4576D">
        <w:rPr>
          <w:rFonts w:ascii="Calibri" w:eastAsia="Times New Roman" w:hAnsi="Calibri" w:cs="Calibri"/>
          <w:color w:val="212121"/>
          <w:lang w:eastAsia="en-GB"/>
        </w:rPr>
        <w:t xml:space="preserve"> long-term management.</w:t>
      </w:r>
      <w:r w:rsidRPr="26F64964">
        <w:rPr>
          <w:rFonts w:ascii="Calibri" w:eastAsia="Times New Roman" w:hAnsi="Calibri" w:cs="Calibri"/>
          <w:color w:val="212121"/>
          <w:lang w:eastAsia="en-GB"/>
        </w:rPr>
        <w:t xml:space="preserve"> </w:t>
      </w:r>
      <w:r w:rsidRPr="26F64964">
        <w:rPr>
          <w:rFonts w:ascii="Calibri" w:eastAsia="Times New Roman" w:hAnsi="Calibri" w:cs="Calibri"/>
          <w:color w:val="212121"/>
          <w:highlight w:val="white"/>
          <w:lang w:eastAsia="en-GB"/>
        </w:rPr>
        <w:t>However, there are barriers</w:t>
      </w:r>
      <w:r w:rsidRPr="26F64964">
        <w:rPr>
          <w:rFonts w:ascii="Calibri" w:eastAsia="Times New Roman" w:hAnsi="Calibri" w:cs="Calibri"/>
          <w:color w:val="212121"/>
          <w:lang w:eastAsia="en-GB"/>
        </w:rPr>
        <w:t xml:space="preserve"> that prevent the implementation and use of eHealth. Therefore, </w:t>
      </w:r>
      <w:r w:rsidRPr="26F64964">
        <w:rPr>
          <w:rFonts w:ascii="Calibri" w:eastAsia="Times New Roman" w:hAnsi="Calibri" w:cs="Calibri"/>
          <w:color w:val="212121"/>
          <w:highlight w:val="white"/>
          <w:lang w:eastAsia="en-GB"/>
        </w:rPr>
        <w:t>it is important to</w:t>
      </w:r>
      <w:r w:rsidRPr="26F64964">
        <w:rPr>
          <w:rFonts w:ascii="Calibri" w:eastAsia="Times New Roman" w:hAnsi="Calibri" w:cs="Calibri"/>
          <w:color w:val="212121"/>
          <w:lang w:eastAsia="en-GB"/>
        </w:rPr>
        <w:t xml:space="preserve"> </w:t>
      </w:r>
      <w:r w:rsidR="006323A8" w:rsidRPr="26F64964">
        <w:rPr>
          <w:rFonts w:ascii="Calibri" w:eastAsia="Times New Roman" w:hAnsi="Calibri" w:cs="Calibri"/>
          <w:color w:val="212121"/>
          <w:lang w:eastAsia="en-GB"/>
        </w:rPr>
        <w:t xml:space="preserve">better </w:t>
      </w:r>
      <w:r w:rsidRPr="26F64964">
        <w:rPr>
          <w:rFonts w:ascii="Calibri" w:eastAsia="Times New Roman" w:hAnsi="Calibri" w:cs="Calibri"/>
          <w:color w:val="212121"/>
          <w:lang w:eastAsia="en-GB"/>
        </w:rPr>
        <w:t xml:space="preserve">understand the </w:t>
      </w:r>
      <w:r w:rsidR="00E94856" w:rsidRPr="26F64964">
        <w:rPr>
          <w:rFonts w:ascii="Calibri" w:eastAsia="Times New Roman" w:hAnsi="Calibri" w:cs="Calibri"/>
          <w:color w:val="212121"/>
          <w:lang w:eastAsia="en-GB"/>
        </w:rPr>
        <w:t xml:space="preserve">pivotal role of eHealth in the landscape of transplantation. </w:t>
      </w:r>
      <w:r w:rsidRPr="26F64964">
        <w:rPr>
          <w:rFonts w:ascii="Calibri" w:eastAsia="Times New Roman" w:hAnsi="Calibri" w:cs="Calibri"/>
          <w:color w:val="212121"/>
          <w:lang w:eastAsia="en-GB"/>
        </w:rPr>
        <w:t xml:space="preserve">However, according to </w:t>
      </w:r>
      <w:proofErr w:type="spellStart"/>
      <w:r w:rsidRPr="26F64964">
        <w:rPr>
          <w:rFonts w:ascii="Calibri" w:eastAsia="Times New Roman" w:hAnsi="Calibri" w:cs="Calibri"/>
          <w:color w:val="212121"/>
          <w:lang w:eastAsia="en-GB"/>
        </w:rPr>
        <w:t>Duettmann</w:t>
      </w:r>
      <w:proofErr w:type="spellEnd"/>
      <w:r w:rsidRPr="26F64964">
        <w:rPr>
          <w:rFonts w:ascii="Calibri" w:eastAsia="Times New Roman" w:hAnsi="Calibri" w:cs="Calibri"/>
          <w:color w:val="212121"/>
          <w:lang w:eastAsia="en-GB"/>
        </w:rPr>
        <w:t xml:space="preserve"> et al., (2020), existing eHealth in transplantation </w:t>
      </w:r>
      <w:r w:rsidRPr="26F64964">
        <w:rPr>
          <w:rFonts w:ascii="Calibri" w:eastAsia="Times New Roman" w:hAnsi="Calibri" w:cs="Calibri"/>
          <w:color w:val="212121"/>
          <w:highlight w:val="white"/>
          <w:lang w:eastAsia="en-GB"/>
        </w:rPr>
        <w:t>studies are fragmented. Therefore, this dissertation</w:t>
      </w:r>
      <w:r w:rsidRPr="26F64964">
        <w:rPr>
          <w:rFonts w:ascii="Calibri" w:eastAsia="Times New Roman" w:hAnsi="Calibri" w:cs="Calibri"/>
          <w:color w:val="212121"/>
          <w:lang w:eastAsia="en-GB"/>
        </w:rPr>
        <w:t xml:space="preserve"> systematically reviews the existing literature to identify factors influencing eHealth use and adoption. </w:t>
      </w:r>
    </w:p>
    <w:p w14:paraId="2BE91F04" w14:textId="5616F8F4" w:rsidR="0071155B" w:rsidRPr="0071155B" w:rsidRDefault="0071155B" w:rsidP="0071155B">
      <w:pPr>
        <w:spacing w:line="360" w:lineRule="auto"/>
        <w:jc w:val="both"/>
        <w:rPr>
          <w:rFonts w:ascii="Calibri" w:eastAsia="Times New Roman" w:hAnsi="Calibri" w:cs="Calibri"/>
          <w:color w:val="212121"/>
          <w:lang w:eastAsia="en-GB"/>
        </w:rPr>
      </w:pPr>
      <w:r w:rsidRPr="26F64964">
        <w:rPr>
          <w:rFonts w:ascii="Calibri" w:eastAsia="Times New Roman" w:hAnsi="Calibri" w:cs="Calibri"/>
          <w:color w:val="212121"/>
          <w:lang w:eastAsia="en-GB"/>
        </w:rPr>
        <w:t xml:space="preserve">This study was conducted using </w:t>
      </w:r>
      <w:r w:rsidRPr="26F64964">
        <w:rPr>
          <w:rFonts w:ascii="Calibri" w:eastAsia="Times New Roman" w:hAnsi="Calibri" w:cs="Calibri"/>
          <w:color w:val="212121"/>
          <w:highlight w:val="white"/>
          <w:lang w:eastAsia="en-GB"/>
        </w:rPr>
        <w:t>the standards of the PRISMA statement (Moher et al.,</w:t>
      </w:r>
      <w:r w:rsidRPr="26F64964">
        <w:rPr>
          <w:rFonts w:ascii="Calibri" w:eastAsia="Times New Roman" w:hAnsi="Calibri" w:cs="Calibri"/>
          <w:color w:val="212121"/>
          <w:lang w:eastAsia="en-GB"/>
        </w:rPr>
        <w:t xml:space="preserve"> </w:t>
      </w:r>
      <w:r w:rsidR="0001578A">
        <w:rPr>
          <w:rFonts w:ascii="Calibri" w:eastAsia="Times New Roman" w:hAnsi="Calibri" w:cs="Calibri"/>
          <w:color w:val="212121"/>
          <w:lang w:eastAsia="en-GB"/>
        </w:rPr>
        <w:t>2020</w:t>
      </w:r>
      <w:r w:rsidRPr="26F64964">
        <w:rPr>
          <w:rFonts w:ascii="Calibri" w:eastAsia="Times New Roman" w:hAnsi="Calibri" w:cs="Calibri"/>
          <w:color w:val="212121"/>
          <w:lang w:eastAsia="en-GB"/>
        </w:rPr>
        <w:t xml:space="preserve">). The first phase was identification, which used the research questions to create a search strategy to identify relevant papers in targeted databases. This involved identifying keywords, which were then searched on Business Source Complete, PubMed, IEEE Xplore, JSTOR, Scopus, SpringerLink, </w:t>
      </w:r>
      <w:proofErr w:type="spellStart"/>
      <w:r w:rsidRPr="26F64964">
        <w:rPr>
          <w:rFonts w:ascii="Calibri" w:eastAsia="Times New Roman" w:hAnsi="Calibri" w:cs="Calibri"/>
          <w:color w:val="212121"/>
          <w:lang w:eastAsia="en-GB"/>
        </w:rPr>
        <w:t>ClinicalKey</w:t>
      </w:r>
      <w:proofErr w:type="spellEnd"/>
      <w:r w:rsidRPr="26F64964">
        <w:rPr>
          <w:rFonts w:ascii="Calibri" w:eastAsia="Times New Roman" w:hAnsi="Calibri" w:cs="Calibri"/>
          <w:color w:val="212121"/>
          <w:lang w:eastAsia="en-GB"/>
        </w:rPr>
        <w:t xml:space="preserve">, ScienceDirect, Wiley Online Library, and OVID databases. An exclusion criterion was then created to remove irrelevant papers and duplicates which left 232 papers for </w:t>
      </w:r>
      <w:r w:rsidRPr="26F64964">
        <w:rPr>
          <w:rFonts w:ascii="Calibri" w:eastAsia="Times New Roman" w:hAnsi="Calibri" w:cs="Calibri"/>
          <w:color w:val="212121"/>
          <w:lang w:eastAsia="en-GB"/>
        </w:rPr>
        <w:lastRenderedPageBreak/>
        <w:t xml:space="preserve">the next phase. The second phase was screening which involved assessing the papers for their relevance for the purpose of this study and retrieving the full text. After this process, only 89 articles remained for the next phase. The third phase was assessing the eligibility of the articles to be included in the systematic review. The result of this phase was 55 articles. With these articles, the final step was </w:t>
      </w:r>
      <w:r w:rsidR="002F114B" w:rsidRPr="26F64964">
        <w:rPr>
          <w:rFonts w:ascii="Calibri" w:eastAsia="Times New Roman" w:hAnsi="Calibri" w:cs="Calibri"/>
          <w:color w:val="212121"/>
          <w:lang w:eastAsia="en-GB"/>
        </w:rPr>
        <w:t>to use thematic analysis to extract and code information,</w:t>
      </w:r>
      <w:r w:rsidRPr="26F64964">
        <w:rPr>
          <w:rFonts w:ascii="Calibri" w:eastAsia="Times New Roman" w:hAnsi="Calibri" w:cs="Calibri"/>
          <w:color w:val="212121"/>
          <w:lang w:eastAsia="en-GB"/>
        </w:rPr>
        <w:t xml:space="preserve"> which was then </w:t>
      </w:r>
      <w:r w:rsidR="00F94A7F" w:rsidRPr="26F64964">
        <w:rPr>
          <w:rFonts w:ascii="Calibri" w:eastAsia="Times New Roman" w:hAnsi="Calibri" w:cs="Calibri"/>
          <w:color w:val="212121"/>
          <w:lang w:eastAsia="en-GB"/>
        </w:rPr>
        <w:t xml:space="preserve">organized </w:t>
      </w:r>
      <w:r w:rsidRPr="26F64964">
        <w:rPr>
          <w:rFonts w:ascii="Calibri" w:eastAsia="Times New Roman" w:hAnsi="Calibri" w:cs="Calibri"/>
          <w:color w:val="212121"/>
          <w:lang w:eastAsia="en-GB"/>
        </w:rPr>
        <w:t xml:space="preserve">into themes. </w:t>
      </w:r>
    </w:p>
    <w:p w14:paraId="46D0EA07" w14:textId="69FC5CB9" w:rsidR="00F4576D" w:rsidRDefault="0071155B" w:rsidP="004E6F64">
      <w:pPr>
        <w:spacing w:line="360" w:lineRule="auto"/>
        <w:jc w:val="both"/>
        <w:rPr>
          <w:rFonts w:ascii="Calibri" w:eastAsia="Times New Roman" w:hAnsi="Calibri" w:cs="Calibri"/>
          <w:color w:val="212121"/>
          <w:lang w:eastAsia="en-GB"/>
        </w:rPr>
      </w:pPr>
      <w:r w:rsidRPr="0071155B">
        <w:rPr>
          <w:rFonts w:ascii="Calibri" w:eastAsia="Times New Roman" w:hAnsi="Calibri" w:cs="Calibri"/>
          <w:color w:val="212121"/>
          <w:lang w:eastAsia="en-GB"/>
        </w:rPr>
        <w:t xml:space="preserve">Overall, the thematic analysis identified </w:t>
      </w:r>
      <w:r w:rsidR="007F09C5">
        <w:rPr>
          <w:rFonts w:ascii="Calibri" w:eastAsia="Times New Roman" w:hAnsi="Calibri" w:cs="Calibri"/>
          <w:color w:val="212121"/>
          <w:lang w:eastAsia="en-GB"/>
        </w:rPr>
        <w:t>four</w:t>
      </w:r>
      <w:r w:rsidR="007F09C5" w:rsidRPr="0071155B">
        <w:rPr>
          <w:rFonts w:ascii="Calibri" w:eastAsia="Times New Roman" w:hAnsi="Calibri" w:cs="Calibri"/>
          <w:color w:val="212121"/>
          <w:lang w:eastAsia="en-GB"/>
        </w:rPr>
        <w:t xml:space="preserve"> </w:t>
      </w:r>
      <w:r w:rsidRPr="0071155B">
        <w:rPr>
          <w:rFonts w:ascii="Calibri" w:eastAsia="Times New Roman" w:hAnsi="Calibri" w:cs="Calibri"/>
          <w:color w:val="212121"/>
          <w:lang w:eastAsia="en-GB"/>
        </w:rPr>
        <w:t>themes linked to using eHealth in transplantation: (1) barriers to using digital health devices, (2) benefits of using health devices, (3) the process of developing digital health</w:t>
      </w:r>
      <w:r w:rsidR="007F09C5">
        <w:rPr>
          <w:rFonts w:ascii="Calibri" w:eastAsia="Times New Roman" w:hAnsi="Calibri" w:cs="Calibri"/>
          <w:color w:val="212121"/>
          <w:lang w:eastAsia="en-GB"/>
        </w:rPr>
        <w:t>,</w:t>
      </w:r>
      <w:r w:rsidRPr="0071155B">
        <w:rPr>
          <w:rFonts w:ascii="Calibri" w:eastAsia="Times New Roman" w:hAnsi="Calibri" w:cs="Calibri"/>
          <w:color w:val="212121"/>
          <w:lang w:eastAsia="en-GB"/>
        </w:rPr>
        <w:t xml:space="preserve"> and (4) users of digital health. Finally, this study identified future prospects of </w:t>
      </w:r>
      <w:r w:rsidR="002A16D8">
        <w:rPr>
          <w:rFonts w:ascii="Calibri" w:eastAsia="Times New Roman" w:hAnsi="Calibri" w:cs="Calibri"/>
          <w:color w:val="212121"/>
          <w:lang w:eastAsia="en-GB"/>
        </w:rPr>
        <w:t>eHealth</w:t>
      </w:r>
      <w:r w:rsidRPr="0071155B">
        <w:rPr>
          <w:rFonts w:ascii="Calibri" w:eastAsia="Times New Roman" w:hAnsi="Calibri" w:cs="Calibri"/>
          <w:color w:val="212121"/>
          <w:lang w:eastAsia="en-GB"/>
        </w:rPr>
        <w:t xml:space="preserve"> in translation, such as the use of emerging technologies like AI and wearables to improve patient outcomes.</w:t>
      </w:r>
    </w:p>
    <w:p w14:paraId="2F658972" w14:textId="77777777" w:rsidR="0057361D" w:rsidRPr="005A18D3" w:rsidRDefault="0057361D" w:rsidP="00070ADD">
      <w:pPr>
        <w:pStyle w:val="Heading2"/>
        <w:jc w:val="left"/>
        <w:rPr>
          <w:color w:val="auto"/>
        </w:rPr>
      </w:pPr>
      <w:bookmarkStart w:id="50" w:name="_Toc166854014"/>
      <w:r w:rsidRPr="005A18D3">
        <w:rPr>
          <w:color w:val="auto"/>
        </w:rPr>
        <w:t>Summary table</w:t>
      </w:r>
      <w:bookmarkEnd w:id="50"/>
    </w:p>
    <w:tbl>
      <w:tblPr>
        <w:tblStyle w:val="TableGrid"/>
        <w:tblW w:w="0" w:type="auto"/>
        <w:tblLook w:val="04A0" w:firstRow="1" w:lastRow="0" w:firstColumn="1" w:lastColumn="0" w:noHBand="0" w:noVBand="1"/>
      </w:tblPr>
      <w:tblGrid>
        <w:gridCol w:w="8494"/>
      </w:tblGrid>
      <w:tr w:rsidR="00F1298E" w:rsidRPr="00F1298E" w14:paraId="6A7F81DA" w14:textId="77777777" w:rsidTr="26F64964">
        <w:trPr>
          <w:trHeight w:val="1144"/>
        </w:trPr>
        <w:tc>
          <w:tcPr>
            <w:tcW w:w="9016" w:type="dxa"/>
          </w:tcPr>
          <w:p w14:paraId="6556AB56" w14:textId="77777777" w:rsidR="0057361D" w:rsidRPr="00F1298E" w:rsidRDefault="0057361D" w:rsidP="00A465B1">
            <w:pPr>
              <w:rPr>
                <w:rFonts w:asciiTheme="minorHAnsi" w:hAnsiTheme="minorHAnsi" w:cstheme="minorHAnsi"/>
              </w:rPr>
            </w:pPr>
            <w:r w:rsidRPr="00F1298E">
              <w:rPr>
                <w:rFonts w:asciiTheme="minorHAnsi" w:hAnsiTheme="minorHAnsi" w:cstheme="minorHAnsi"/>
              </w:rPr>
              <w:t>Already known</w:t>
            </w:r>
          </w:p>
          <w:p w14:paraId="48F7E2AD" w14:textId="64A370C8" w:rsidR="0057361D" w:rsidRPr="00F1298E" w:rsidRDefault="0057361D" w:rsidP="0057361D">
            <w:pPr>
              <w:pStyle w:val="ListParagraph"/>
              <w:numPr>
                <w:ilvl w:val="0"/>
                <w:numId w:val="25"/>
              </w:numPr>
              <w:rPr>
                <w:rFonts w:asciiTheme="minorHAnsi" w:hAnsiTheme="minorHAnsi" w:cstheme="minorHAnsi"/>
              </w:rPr>
            </w:pPr>
            <w:r w:rsidRPr="00F1298E">
              <w:rPr>
                <w:rFonts w:asciiTheme="minorHAnsi" w:hAnsiTheme="minorHAnsi" w:cstheme="minorHAnsi"/>
              </w:rPr>
              <w:t xml:space="preserve">Growth in eHealth tools </w:t>
            </w:r>
            <w:r w:rsidR="007F09C5" w:rsidRPr="00F1298E">
              <w:rPr>
                <w:rFonts w:asciiTheme="minorHAnsi" w:hAnsiTheme="minorHAnsi" w:cstheme="minorHAnsi"/>
              </w:rPr>
              <w:t>ha</w:t>
            </w:r>
            <w:r w:rsidR="007F09C5">
              <w:rPr>
                <w:rFonts w:asciiTheme="minorHAnsi" w:hAnsiTheme="minorHAnsi" w:cstheme="minorHAnsi"/>
              </w:rPr>
              <w:t>s</w:t>
            </w:r>
            <w:r w:rsidR="007F09C5" w:rsidRPr="00F1298E">
              <w:rPr>
                <w:rFonts w:asciiTheme="minorHAnsi" w:hAnsiTheme="minorHAnsi" w:cstheme="minorHAnsi"/>
              </w:rPr>
              <w:t xml:space="preserve"> </w:t>
            </w:r>
            <w:r w:rsidRPr="00F1298E">
              <w:rPr>
                <w:rFonts w:asciiTheme="minorHAnsi" w:hAnsiTheme="minorHAnsi" w:cstheme="minorHAnsi"/>
              </w:rPr>
              <w:t>impacted the pre and post care</w:t>
            </w:r>
            <w:r w:rsidR="00AC3D3A" w:rsidRPr="00F1298E">
              <w:rPr>
                <w:rFonts w:asciiTheme="minorHAnsi" w:hAnsiTheme="minorHAnsi" w:cstheme="minorHAnsi"/>
              </w:rPr>
              <w:t xml:space="preserve"> within transplantation</w:t>
            </w:r>
            <w:r w:rsidR="007F09C5">
              <w:rPr>
                <w:rFonts w:asciiTheme="minorHAnsi" w:hAnsiTheme="minorHAnsi" w:cstheme="minorHAnsi"/>
              </w:rPr>
              <w:t>.</w:t>
            </w:r>
          </w:p>
          <w:p w14:paraId="68BFD7EB" w14:textId="0B07D6F3" w:rsidR="0057361D" w:rsidRPr="00F1298E" w:rsidRDefault="0057361D" w:rsidP="0057361D">
            <w:pPr>
              <w:pStyle w:val="ListParagraph"/>
              <w:numPr>
                <w:ilvl w:val="0"/>
                <w:numId w:val="25"/>
              </w:numPr>
              <w:rPr>
                <w:rFonts w:asciiTheme="minorHAnsi" w:hAnsiTheme="minorHAnsi" w:cstheme="minorHAnsi"/>
              </w:rPr>
            </w:pPr>
            <w:r w:rsidRPr="00F1298E">
              <w:rPr>
                <w:rFonts w:asciiTheme="minorHAnsi" w:hAnsiTheme="minorHAnsi" w:cstheme="minorHAnsi"/>
              </w:rPr>
              <w:t xml:space="preserve">More studies </w:t>
            </w:r>
            <w:r w:rsidR="00312221">
              <w:rPr>
                <w:rFonts w:asciiTheme="minorHAnsi" w:hAnsiTheme="minorHAnsi" w:cstheme="minorHAnsi"/>
              </w:rPr>
              <w:t xml:space="preserve">are </w:t>
            </w:r>
            <w:r w:rsidRPr="00F1298E">
              <w:rPr>
                <w:rFonts w:asciiTheme="minorHAnsi" w:hAnsiTheme="minorHAnsi" w:cstheme="minorHAnsi"/>
              </w:rPr>
              <w:t xml:space="preserve">needed to </w:t>
            </w:r>
            <w:r w:rsidR="006D739D" w:rsidRPr="00F1298E">
              <w:rPr>
                <w:rFonts w:asciiTheme="minorHAnsi" w:hAnsiTheme="minorHAnsi" w:cstheme="minorHAnsi"/>
              </w:rPr>
              <w:t xml:space="preserve">provide a comprehensive </w:t>
            </w:r>
            <w:r w:rsidRPr="00F1298E">
              <w:rPr>
                <w:rFonts w:asciiTheme="minorHAnsi" w:hAnsiTheme="minorHAnsi" w:cstheme="minorHAnsi"/>
              </w:rPr>
              <w:t>understand</w:t>
            </w:r>
            <w:r w:rsidR="006D739D" w:rsidRPr="00F1298E">
              <w:rPr>
                <w:rFonts w:asciiTheme="minorHAnsi" w:hAnsiTheme="minorHAnsi" w:cstheme="minorHAnsi"/>
              </w:rPr>
              <w:t>ing</w:t>
            </w:r>
            <w:r w:rsidRPr="00F1298E">
              <w:rPr>
                <w:rFonts w:asciiTheme="minorHAnsi" w:hAnsiTheme="minorHAnsi" w:cstheme="minorHAnsi"/>
              </w:rPr>
              <w:t xml:space="preserve"> </w:t>
            </w:r>
            <w:r w:rsidR="006D739D" w:rsidRPr="00F1298E">
              <w:rPr>
                <w:rFonts w:asciiTheme="minorHAnsi" w:hAnsiTheme="minorHAnsi" w:cstheme="minorHAnsi"/>
              </w:rPr>
              <w:t>of the utilization of</w:t>
            </w:r>
            <w:r w:rsidR="006C07AB" w:rsidRPr="00F1298E">
              <w:rPr>
                <w:rFonts w:asciiTheme="minorHAnsi" w:hAnsiTheme="minorHAnsi" w:cstheme="minorHAnsi"/>
              </w:rPr>
              <w:t xml:space="preserve"> </w:t>
            </w:r>
            <w:r w:rsidR="00FB70CC" w:rsidRPr="00F1298E">
              <w:rPr>
                <w:rFonts w:asciiTheme="minorHAnsi" w:hAnsiTheme="minorHAnsi" w:cstheme="minorHAnsi"/>
              </w:rPr>
              <w:t>digital tools within transplantation</w:t>
            </w:r>
            <w:r w:rsidR="00312221">
              <w:rPr>
                <w:rFonts w:asciiTheme="minorHAnsi" w:hAnsiTheme="minorHAnsi" w:cstheme="minorHAnsi"/>
              </w:rPr>
              <w:t>.</w:t>
            </w:r>
          </w:p>
          <w:p w14:paraId="22CB40BE" w14:textId="77777777" w:rsidR="0057361D" w:rsidRPr="00F1298E" w:rsidRDefault="0057361D" w:rsidP="00A465B1">
            <w:pPr>
              <w:pStyle w:val="ListParagraph"/>
              <w:rPr>
                <w:rFonts w:asciiTheme="minorHAnsi" w:hAnsiTheme="minorHAnsi" w:cstheme="minorHAnsi"/>
              </w:rPr>
            </w:pPr>
          </w:p>
        </w:tc>
      </w:tr>
      <w:tr w:rsidR="00F1298E" w:rsidRPr="00F1298E" w14:paraId="7F068CC3" w14:textId="77777777" w:rsidTr="26F64964">
        <w:tc>
          <w:tcPr>
            <w:tcW w:w="9016" w:type="dxa"/>
          </w:tcPr>
          <w:p w14:paraId="38A57751" w14:textId="77777777" w:rsidR="0057361D" w:rsidRPr="00F1298E" w:rsidRDefault="0057361D" w:rsidP="00A465B1">
            <w:pPr>
              <w:rPr>
                <w:rFonts w:asciiTheme="minorHAnsi" w:hAnsiTheme="minorHAnsi" w:cstheme="minorHAnsi"/>
              </w:rPr>
            </w:pPr>
            <w:r w:rsidRPr="00F1298E">
              <w:rPr>
                <w:rFonts w:asciiTheme="minorHAnsi" w:hAnsiTheme="minorHAnsi" w:cstheme="minorHAnsi"/>
              </w:rPr>
              <w:t>Added knowledge</w:t>
            </w:r>
          </w:p>
          <w:p w14:paraId="3EDF2037" w14:textId="48516C7A" w:rsidR="0057361D" w:rsidRPr="00F1298E" w:rsidRDefault="005F130F" w:rsidP="0057361D">
            <w:pPr>
              <w:pStyle w:val="ListParagraph"/>
              <w:numPr>
                <w:ilvl w:val="0"/>
                <w:numId w:val="26"/>
              </w:numPr>
              <w:rPr>
                <w:rFonts w:asciiTheme="minorHAnsi" w:hAnsiTheme="minorHAnsi" w:cstheme="minorHAnsi"/>
              </w:rPr>
            </w:pPr>
            <w:r w:rsidRPr="00F1298E">
              <w:rPr>
                <w:rFonts w:asciiTheme="minorHAnsi" w:hAnsiTheme="minorHAnsi" w:cstheme="minorHAnsi"/>
              </w:rPr>
              <w:t>This study</w:t>
            </w:r>
            <w:r w:rsidR="0057361D" w:rsidRPr="00F1298E">
              <w:rPr>
                <w:rFonts w:asciiTheme="minorHAnsi" w:hAnsiTheme="minorHAnsi" w:cstheme="minorHAnsi"/>
              </w:rPr>
              <w:t xml:space="preserve"> provides a comprehensive overview of </w:t>
            </w:r>
            <w:r w:rsidR="002A16D8" w:rsidRPr="00F1298E">
              <w:rPr>
                <w:rFonts w:asciiTheme="minorHAnsi" w:hAnsiTheme="minorHAnsi" w:cstheme="minorHAnsi"/>
              </w:rPr>
              <w:t>eHealth</w:t>
            </w:r>
            <w:r w:rsidR="006C07AB" w:rsidRPr="00F1298E">
              <w:rPr>
                <w:rFonts w:asciiTheme="minorHAnsi" w:hAnsiTheme="minorHAnsi" w:cstheme="minorHAnsi"/>
              </w:rPr>
              <w:t xml:space="preserve"> in </w:t>
            </w:r>
            <w:r w:rsidR="00D23E20" w:rsidRPr="00F1298E">
              <w:rPr>
                <w:rFonts w:asciiTheme="minorHAnsi" w:hAnsiTheme="minorHAnsi" w:cstheme="minorHAnsi"/>
              </w:rPr>
              <w:t>transplantation</w:t>
            </w:r>
            <w:r w:rsidR="0057361D" w:rsidRPr="00F1298E">
              <w:rPr>
                <w:rFonts w:asciiTheme="minorHAnsi" w:hAnsiTheme="minorHAnsi" w:cstheme="minorHAnsi"/>
              </w:rPr>
              <w:t xml:space="preserve"> with associated benefits and barriers.</w:t>
            </w:r>
          </w:p>
          <w:p w14:paraId="33145CE2" w14:textId="73D202B5" w:rsidR="003F10E8" w:rsidRPr="00F1298E" w:rsidRDefault="0057361D" w:rsidP="00D23E20">
            <w:pPr>
              <w:pStyle w:val="ListParagraph"/>
              <w:numPr>
                <w:ilvl w:val="0"/>
                <w:numId w:val="26"/>
              </w:numPr>
              <w:rPr>
                <w:rFonts w:asciiTheme="minorHAnsi" w:hAnsiTheme="minorHAnsi" w:cstheme="minorHAnsi"/>
              </w:rPr>
            </w:pPr>
            <w:r w:rsidRPr="00F1298E">
              <w:rPr>
                <w:rFonts w:asciiTheme="minorHAnsi" w:hAnsiTheme="minorHAnsi" w:cstheme="minorHAnsi"/>
              </w:rPr>
              <w:t>T</w:t>
            </w:r>
            <w:r w:rsidR="00EC5F89" w:rsidRPr="00F1298E">
              <w:rPr>
                <w:rFonts w:asciiTheme="minorHAnsi" w:hAnsiTheme="minorHAnsi" w:cstheme="minorHAnsi"/>
              </w:rPr>
              <w:t>his study highlights that t</w:t>
            </w:r>
            <w:r w:rsidRPr="00F1298E">
              <w:rPr>
                <w:rFonts w:asciiTheme="minorHAnsi" w:hAnsiTheme="minorHAnsi" w:cstheme="minorHAnsi"/>
              </w:rPr>
              <w:t xml:space="preserve">here is a growing trend </w:t>
            </w:r>
            <w:r w:rsidRPr="00D33C9F">
              <w:rPr>
                <w:rFonts w:asciiTheme="minorHAnsi" w:hAnsiTheme="minorHAnsi" w:cstheme="minorHAnsi"/>
              </w:rPr>
              <w:t xml:space="preserve">in using eHealth (e.g., mHealth, wearable devices and AI-based devices) in healthcare; </w:t>
            </w:r>
            <w:r w:rsidR="00402CF3" w:rsidRPr="00D33C9F">
              <w:rPr>
                <w:rFonts w:asciiTheme="minorHAnsi" w:hAnsiTheme="minorHAnsi" w:cstheme="minorHAnsi"/>
              </w:rPr>
              <w:t xml:space="preserve">Global eHealth market size was valued at US $128.99 billion in 2022 and forecasted to hit US$707.23 billion by 2032 (Precedence research, 2023).  The growth in the market can be attributed by the growing adoption of eHealth globally, with 58% of countries adopting telemedicine (European Parliament, 2021) </w:t>
            </w:r>
            <w:r w:rsidRPr="00D33C9F">
              <w:rPr>
                <w:rFonts w:asciiTheme="minorHAnsi" w:hAnsiTheme="minorHAnsi" w:cstheme="minorHAnsi"/>
              </w:rPr>
              <w:t>however</w:t>
            </w:r>
            <w:r w:rsidRPr="00F1298E">
              <w:rPr>
                <w:rFonts w:asciiTheme="minorHAnsi" w:hAnsiTheme="minorHAnsi" w:cstheme="minorHAnsi"/>
              </w:rPr>
              <w:t>, barriers such as</w:t>
            </w:r>
            <w:r w:rsidR="00FB70CC" w:rsidRPr="00F1298E">
              <w:rPr>
                <w:rFonts w:asciiTheme="minorHAnsi" w:hAnsiTheme="minorHAnsi" w:cstheme="minorHAnsi"/>
              </w:rPr>
              <w:t xml:space="preserve"> poor IT literacy, acceptability, </w:t>
            </w:r>
            <w:r w:rsidR="009F7207" w:rsidRPr="00F1298E">
              <w:rPr>
                <w:rFonts w:asciiTheme="minorHAnsi" w:hAnsiTheme="minorHAnsi" w:cstheme="minorHAnsi"/>
              </w:rPr>
              <w:t xml:space="preserve">access, privacy and security concerns </w:t>
            </w:r>
            <w:r w:rsidR="00B62611" w:rsidRPr="00F1298E">
              <w:rPr>
                <w:rFonts w:asciiTheme="minorHAnsi" w:hAnsiTheme="minorHAnsi" w:cstheme="minorHAnsi"/>
              </w:rPr>
              <w:t>s</w:t>
            </w:r>
            <w:r w:rsidRPr="00F1298E">
              <w:rPr>
                <w:rFonts w:asciiTheme="minorHAnsi" w:hAnsiTheme="minorHAnsi" w:cstheme="minorHAnsi"/>
              </w:rPr>
              <w:t>till need to be addressed.</w:t>
            </w:r>
          </w:p>
          <w:p w14:paraId="67633E53" w14:textId="26EFC342" w:rsidR="003F10E8" w:rsidRPr="00F1298E" w:rsidRDefault="00EC5F89" w:rsidP="003F10E8">
            <w:pPr>
              <w:pStyle w:val="ListParagraph"/>
              <w:numPr>
                <w:ilvl w:val="0"/>
                <w:numId w:val="26"/>
              </w:numPr>
              <w:rPr>
                <w:rFonts w:asciiTheme="minorHAnsi" w:hAnsiTheme="minorHAnsi" w:cstheme="minorHAnsi"/>
              </w:rPr>
            </w:pPr>
            <w:r w:rsidRPr="00F1298E">
              <w:rPr>
                <w:rFonts w:asciiTheme="minorHAnsi" w:hAnsiTheme="minorHAnsi" w:cstheme="minorHAnsi"/>
              </w:rPr>
              <w:t>This study i</w:t>
            </w:r>
            <w:r w:rsidR="009F7207" w:rsidRPr="00F1298E">
              <w:rPr>
                <w:rFonts w:asciiTheme="minorHAnsi" w:hAnsiTheme="minorHAnsi" w:cstheme="minorHAnsi"/>
              </w:rPr>
              <w:t xml:space="preserve">dentifies </w:t>
            </w:r>
            <w:r w:rsidRPr="00F1298E">
              <w:rPr>
                <w:rFonts w:asciiTheme="minorHAnsi" w:hAnsiTheme="minorHAnsi" w:cstheme="minorHAnsi"/>
              </w:rPr>
              <w:t>how</w:t>
            </w:r>
            <w:r w:rsidR="009F7207" w:rsidRPr="00F1298E">
              <w:rPr>
                <w:rFonts w:asciiTheme="minorHAnsi" w:hAnsiTheme="minorHAnsi" w:cstheme="minorHAnsi"/>
              </w:rPr>
              <w:t xml:space="preserve"> different types of digital health interventions </w:t>
            </w:r>
            <w:r w:rsidR="00312221">
              <w:rPr>
                <w:rFonts w:asciiTheme="minorHAnsi" w:hAnsiTheme="minorHAnsi" w:cstheme="minorHAnsi"/>
              </w:rPr>
              <w:t xml:space="preserve">are </w:t>
            </w:r>
            <w:r w:rsidR="009F7207" w:rsidRPr="00F1298E">
              <w:rPr>
                <w:rFonts w:asciiTheme="minorHAnsi" w:hAnsiTheme="minorHAnsi" w:cstheme="minorHAnsi"/>
              </w:rPr>
              <w:t xml:space="preserve">used within transplantation and </w:t>
            </w:r>
            <w:r w:rsidR="00F94A7F">
              <w:rPr>
                <w:rFonts w:asciiTheme="minorHAnsi" w:hAnsiTheme="minorHAnsi" w:cstheme="minorHAnsi"/>
              </w:rPr>
              <w:t>their</w:t>
            </w:r>
            <w:r w:rsidR="00F94A7F" w:rsidRPr="00F1298E">
              <w:rPr>
                <w:rFonts w:asciiTheme="minorHAnsi" w:hAnsiTheme="minorHAnsi" w:cstheme="minorHAnsi"/>
              </w:rPr>
              <w:t xml:space="preserve"> </w:t>
            </w:r>
            <w:r w:rsidR="009F7207" w:rsidRPr="00F1298E">
              <w:rPr>
                <w:rFonts w:asciiTheme="minorHAnsi" w:hAnsiTheme="minorHAnsi" w:cstheme="minorHAnsi"/>
              </w:rPr>
              <w:t>impact</w:t>
            </w:r>
            <w:r w:rsidR="00F64F11">
              <w:rPr>
                <w:rFonts w:asciiTheme="minorHAnsi" w:hAnsiTheme="minorHAnsi" w:cstheme="minorHAnsi"/>
              </w:rPr>
              <w:t xml:space="preserve">. </w:t>
            </w:r>
          </w:p>
          <w:p w14:paraId="13F2C452" w14:textId="23B7662C" w:rsidR="00AC4C79" w:rsidRPr="00F1298E" w:rsidRDefault="00EC5F89" w:rsidP="26F64964">
            <w:pPr>
              <w:pStyle w:val="ListParagraph"/>
              <w:numPr>
                <w:ilvl w:val="0"/>
                <w:numId w:val="26"/>
              </w:numPr>
              <w:rPr>
                <w:rFonts w:asciiTheme="minorHAnsi" w:hAnsiTheme="minorHAnsi" w:cstheme="minorBidi"/>
              </w:rPr>
            </w:pPr>
            <w:r w:rsidRPr="26F64964">
              <w:rPr>
                <w:rFonts w:asciiTheme="minorHAnsi" w:hAnsiTheme="minorHAnsi" w:cstheme="minorBidi"/>
              </w:rPr>
              <w:t>This study discusses the</w:t>
            </w:r>
            <w:r w:rsidR="004F269D" w:rsidRPr="26F64964">
              <w:rPr>
                <w:rFonts w:asciiTheme="minorHAnsi" w:hAnsiTheme="minorHAnsi" w:cstheme="minorBidi"/>
              </w:rPr>
              <w:t xml:space="preserve"> key considerations </w:t>
            </w:r>
            <w:r w:rsidR="004F269D" w:rsidRPr="26F64964">
              <w:rPr>
                <w:rFonts w:asciiTheme="minorHAnsi" w:hAnsiTheme="minorHAnsi" w:cstheme="minorBidi"/>
                <w:highlight w:val="white"/>
              </w:rPr>
              <w:t>for developing digital health tools</w:t>
            </w:r>
            <w:r w:rsidR="004F269D" w:rsidRPr="26F64964">
              <w:rPr>
                <w:rFonts w:asciiTheme="minorHAnsi" w:hAnsiTheme="minorHAnsi" w:cstheme="minorBidi"/>
              </w:rPr>
              <w:t xml:space="preserve"> to use in transplantation</w:t>
            </w:r>
            <w:r w:rsidR="00312221" w:rsidRPr="26F64964">
              <w:rPr>
                <w:rFonts w:asciiTheme="minorHAnsi" w:hAnsiTheme="minorHAnsi" w:cstheme="minorBidi"/>
              </w:rPr>
              <w:t>.</w:t>
            </w:r>
          </w:p>
          <w:p w14:paraId="381FD464" w14:textId="09ECB73F" w:rsidR="004F269D" w:rsidRPr="00F1298E" w:rsidRDefault="00EC5F89" w:rsidP="003F10E8">
            <w:pPr>
              <w:pStyle w:val="ListParagraph"/>
              <w:numPr>
                <w:ilvl w:val="0"/>
                <w:numId w:val="26"/>
              </w:numPr>
              <w:rPr>
                <w:rFonts w:asciiTheme="minorHAnsi" w:hAnsiTheme="minorHAnsi" w:cstheme="minorHAnsi"/>
              </w:rPr>
            </w:pPr>
            <w:r w:rsidRPr="00F1298E">
              <w:rPr>
                <w:rFonts w:asciiTheme="minorHAnsi" w:hAnsiTheme="minorHAnsi" w:cstheme="minorHAnsi"/>
              </w:rPr>
              <w:t>This study i</w:t>
            </w:r>
            <w:r w:rsidR="004F269D" w:rsidRPr="00F1298E">
              <w:rPr>
                <w:rFonts w:asciiTheme="minorHAnsi" w:hAnsiTheme="minorHAnsi" w:cstheme="minorHAnsi"/>
              </w:rPr>
              <w:t>dentifies different groups of users of digital health tools in transplantation</w:t>
            </w:r>
            <w:r w:rsidRPr="00F1298E">
              <w:rPr>
                <w:rFonts w:asciiTheme="minorHAnsi" w:hAnsiTheme="minorHAnsi" w:cstheme="minorHAnsi"/>
              </w:rPr>
              <w:t xml:space="preserve">. </w:t>
            </w:r>
            <w:r w:rsidR="009031DF" w:rsidRPr="00F1298E">
              <w:rPr>
                <w:rFonts w:asciiTheme="minorHAnsi" w:hAnsiTheme="minorHAnsi" w:cstheme="minorHAnsi"/>
              </w:rPr>
              <w:t>It also highlights the importance of considering the users’ background (e.g., ethnic</w:t>
            </w:r>
            <w:r w:rsidR="00F94A7F">
              <w:rPr>
                <w:rFonts w:asciiTheme="minorHAnsi" w:hAnsiTheme="minorHAnsi" w:cstheme="minorHAnsi"/>
              </w:rPr>
              <w:t>ity</w:t>
            </w:r>
            <w:r w:rsidR="009031DF" w:rsidRPr="00F1298E">
              <w:rPr>
                <w:rFonts w:asciiTheme="minorHAnsi" w:hAnsiTheme="minorHAnsi" w:cstheme="minorHAnsi"/>
              </w:rPr>
              <w:t>), while designing and promoting eHealth tools.</w:t>
            </w:r>
          </w:p>
          <w:p w14:paraId="61D9E3D7" w14:textId="553602FF" w:rsidR="0057361D" w:rsidRPr="00F1298E" w:rsidRDefault="00AC4C79" w:rsidP="000F4971">
            <w:pPr>
              <w:pStyle w:val="ListParagraph"/>
              <w:numPr>
                <w:ilvl w:val="0"/>
                <w:numId w:val="26"/>
              </w:numPr>
              <w:rPr>
                <w:rFonts w:asciiTheme="minorHAnsi" w:hAnsiTheme="minorHAnsi" w:cstheme="minorHAnsi"/>
              </w:rPr>
            </w:pPr>
            <w:r w:rsidRPr="00F1298E">
              <w:rPr>
                <w:rFonts w:asciiTheme="minorHAnsi" w:hAnsiTheme="minorHAnsi" w:cstheme="minorHAnsi"/>
              </w:rPr>
              <w:t>Provide</w:t>
            </w:r>
            <w:r w:rsidR="004F269D" w:rsidRPr="00F1298E">
              <w:rPr>
                <w:rFonts w:asciiTheme="minorHAnsi" w:hAnsiTheme="minorHAnsi" w:cstheme="minorHAnsi"/>
              </w:rPr>
              <w:t>s</w:t>
            </w:r>
            <w:r w:rsidRPr="00F1298E">
              <w:rPr>
                <w:rFonts w:asciiTheme="minorHAnsi" w:hAnsiTheme="minorHAnsi" w:cstheme="minorHAnsi"/>
              </w:rPr>
              <w:t xml:space="preserve"> recommendations for future research</w:t>
            </w:r>
            <w:r w:rsidR="004F269D" w:rsidRPr="00F1298E">
              <w:rPr>
                <w:rFonts w:asciiTheme="minorHAnsi" w:hAnsiTheme="minorHAnsi" w:cstheme="minorHAnsi"/>
              </w:rPr>
              <w:t xml:space="preserve"> of </w:t>
            </w:r>
            <w:r w:rsidR="002A16D8" w:rsidRPr="00F1298E">
              <w:rPr>
                <w:rFonts w:asciiTheme="minorHAnsi" w:hAnsiTheme="minorHAnsi" w:cstheme="minorHAnsi"/>
              </w:rPr>
              <w:t>eHealth</w:t>
            </w:r>
            <w:r w:rsidR="004F269D" w:rsidRPr="00F1298E">
              <w:rPr>
                <w:rFonts w:asciiTheme="minorHAnsi" w:hAnsiTheme="minorHAnsi" w:cstheme="minorHAnsi"/>
              </w:rPr>
              <w:t xml:space="preserve"> in transplantation</w:t>
            </w:r>
            <w:r w:rsidR="00312221">
              <w:rPr>
                <w:rFonts w:asciiTheme="minorHAnsi" w:hAnsiTheme="minorHAnsi" w:cstheme="minorHAnsi"/>
              </w:rPr>
              <w:t>.</w:t>
            </w:r>
            <w:r w:rsidR="004C763E">
              <w:rPr>
                <w:rFonts w:asciiTheme="minorHAnsi" w:hAnsiTheme="minorHAnsi" w:cstheme="minorHAnsi"/>
              </w:rPr>
              <w:t xml:space="preserve"> </w:t>
            </w:r>
          </w:p>
        </w:tc>
      </w:tr>
    </w:tbl>
    <w:p w14:paraId="2D8554CE" w14:textId="77777777" w:rsidR="000538EB" w:rsidRDefault="000538EB" w:rsidP="004E6F64">
      <w:pPr>
        <w:spacing w:line="360" w:lineRule="auto"/>
        <w:jc w:val="both"/>
        <w:rPr>
          <w:rFonts w:ascii="Calibri" w:eastAsia="Times New Roman" w:hAnsi="Calibri" w:cs="Calibri"/>
          <w:color w:val="212121"/>
          <w:lang w:eastAsia="en-GB"/>
        </w:rPr>
      </w:pPr>
    </w:p>
    <w:p w14:paraId="7A57AA20" w14:textId="77777777" w:rsidR="000538EB" w:rsidRDefault="000538EB" w:rsidP="004E6F64">
      <w:pPr>
        <w:spacing w:line="360" w:lineRule="auto"/>
        <w:jc w:val="both"/>
        <w:rPr>
          <w:rFonts w:ascii="Calibri" w:eastAsia="Times New Roman" w:hAnsi="Calibri" w:cs="Calibri"/>
          <w:color w:val="212121"/>
          <w:lang w:eastAsia="en-GB"/>
        </w:rPr>
      </w:pPr>
    </w:p>
    <w:p w14:paraId="760AD2B6" w14:textId="77777777" w:rsidR="008952F0" w:rsidRDefault="008952F0" w:rsidP="004E6F64">
      <w:pPr>
        <w:spacing w:line="360" w:lineRule="auto"/>
        <w:jc w:val="both"/>
        <w:rPr>
          <w:rFonts w:ascii="Calibri" w:eastAsia="Times New Roman" w:hAnsi="Calibri" w:cs="Calibri"/>
          <w:color w:val="212121"/>
          <w:lang w:eastAsia="en-GB"/>
        </w:rPr>
      </w:pPr>
    </w:p>
    <w:p w14:paraId="4A3A8778" w14:textId="77777777" w:rsidR="008952F0" w:rsidRDefault="008952F0" w:rsidP="004E6F64">
      <w:pPr>
        <w:spacing w:line="360" w:lineRule="auto"/>
        <w:jc w:val="both"/>
        <w:rPr>
          <w:rFonts w:ascii="Calibri" w:eastAsia="Times New Roman" w:hAnsi="Calibri" w:cs="Calibri"/>
          <w:color w:val="212121"/>
          <w:lang w:eastAsia="en-GB"/>
        </w:rPr>
      </w:pPr>
    </w:p>
    <w:p w14:paraId="0E82CFF2" w14:textId="2BA36A1D" w:rsidR="00725454" w:rsidRDefault="00585C15" w:rsidP="00585C15">
      <w:pPr>
        <w:pStyle w:val="Heading3"/>
        <w:jc w:val="left"/>
        <w:rPr>
          <w:rFonts w:eastAsia="Times New Roman"/>
          <w:lang w:eastAsia="en-GB"/>
        </w:rPr>
      </w:pPr>
      <w:bookmarkStart w:id="51" w:name="_Toc166854015"/>
      <w:r>
        <w:rPr>
          <w:rFonts w:eastAsia="Times New Roman"/>
          <w:lang w:eastAsia="en-GB"/>
        </w:rPr>
        <w:lastRenderedPageBreak/>
        <w:t>5.2.1 Theoretical contributions</w:t>
      </w:r>
      <w:bookmarkEnd w:id="51"/>
    </w:p>
    <w:p w14:paraId="0D340AEE" w14:textId="7A668A1C" w:rsidR="00FF5129" w:rsidRPr="00D33C9F" w:rsidRDefault="00A50505" w:rsidP="0075528E">
      <w:pPr>
        <w:spacing w:line="360" w:lineRule="auto"/>
        <w:jc w:val="both"/>
        <w:rPr>
          <w:rFonts w:ascii="Calibri" w:eastAsia="Times New Roman" w:hAnsi="Calibri" w:cs="Calibri"/>
          <w:lang w:val="en-US" w:eastAsia="en-GB"/>
        </w:rPr>
      </w:pPr>
      <w:r w:rsidRPr="26F64964">
        <w:rPr>
          <w:rFonts w:ascii="Calibri" w:eastAsia="Times New Roman" w:hAnsi="Calibri" w:cs="Calibri"/>
          <w:lang w:eastAsia="en-GB"/>
        </w:rPr>
        <w:t>This study has</w:t>
      </w:r>
      <w:r w:rsidR="00FF5A5D" w:rsidRPr="26F64964">
        <w:rPr>
          <w:rFonts w:ascii="Calibri" w:eastAsia="Times New Roman" w:hAnsi="Calibri" w:cs="Calibri"/>
          <w:lang w:eastAsia="en-GB"/>
        </w:rPr>
        <w:t xml:space="preserve"> t</w:t>
      </w:r>
      <w:r w:rsidR="0075528E" w:rsidRPr="26F64964">
        <w:rPr>
          <w:rFonts w:ascii="Calibri" w:eastAsia="Times New Roman" w:hAnsi="Calibri" w:cs="Calibri"/>
          <w:lang w:eastAsia="en-GB"/>
        </w:rPr>
        <w:t>wo</w:t>
      </w:r>
      <w:r w:rsidRPr="26F64964">
        <w:rPr>
          <w:rFonts w:ascii="Calibri" w:eastAsia="Times New Roman" w:hAnsi="Calibri" w:cs="Calibri"/>
          <w:lang w:eastAsia="en-GB"/>
        </w:rPr>
        <w:t xml:space="preserve"> </w:t>
      </w:r>
      <w:r w:rsidR="006D00CB" w:rsidRPr="26F64964">
        <w:rPr>
          <w:rFonts w:ascii="Calibri" w:eastAsia="Times New Roman" w:hAnsi="Calibri" w:cs="Calibri"/>
          <w:highlight w:val="white"/>
          <w:lang w:eastAsia="en-GB"/>
        </w:rPr>
        <w:t>theoretical</w:t>
      </w:r>
      <w:r w:rsidRPr="26F64964">
        <w:rPr>
          <w:rFonts w:ascii="Calibri" w:eastAsia="Times New Roman" w:hAnsi="Calibri" w:cs="Calibri"/>
          <w:highlight w:val="white"/>
          <w:lang w:eastAsia="en-GB"/>
        </w:rPr>
        <w:t xml:space="preserve"> contributions. Firstly, according to</w:t>
      </w:r>
      <w:r w:rsidRPr="26F64964">
        <w:rPr>
          <w:rFonts w:ascii="Calibri" w:eastAsia="Times New Roman" w:hAnsi="Calibri" w:cs="Calibri"/>
          <w:lang w:eastAsia="en-GB"/>
        </w:rPr>
        <w:t xml:space="preserve"> </w:t>
      </w:r>
      <w:proofErr w:type="spellStart"/>
      <w:r w:rsidR="000E2085" w:rsidRPr="26F64964">
        <w:rPr>
          <w:rFonts w:ascii="Calibri" w:eastAsia="Times New Roman" w:hAnsi="Calibri" w:cs="Calibri"/>
          <w:lang w:val="en-US" w:eastAsia="en-GB"/>
        </w:rPr>
        <w:t>Duettmann</w:t>
      </w:r>
      <w:proofErr w:type="spellEnd"/>
      <w:r w:rsidR="000E2085" w:rsidRPr="26F64964">
        <w:rPr>
          <w:rFonts w:ascii="Calibri" w:eastAsia="Times New Roman" w:hAnsi="Calibri" w:cs="Calibri"/>
          <w:lang w:val="en-US" w:eastAsia="en-GB"/>
        </w:rPr>
        <w:t xml:space="preserve"> et al. (2021), existing eHealth in transplantation studies are fragmented.</w:t>
      </w:r>
      <w:r w:rsidR="00D27912" w:rsidRPr="26F64964">
        <w:rPr>
          <w:rFonts w:ascii="Calibri" w:eastAsia="Times New Roman" w:hAnsi="Calibri" w:cs="Calibri"/>
          <w:lang w:val="en-US" w:eastAsia="en-GB"/>
        </w:rPr>
        <w:t xml:space="preserve"> </w:t>
      </w:r>
      <w:proofErr w:type="gramStart"/>
      <w:r w:rsidR="00312221" w:rsidRPr="26F64964">
        <w:rPr>
          <w:rFonts w:ascii="Calibri" w:eastAsia="Times New Roman" w:hAnsi="Calibri" w:cs="Calibri"/>
          <w:lang w:val="en-US" w:eastAsia="en-GB"/>
        </w:rPr>
        <w:t xml:space="preserve">The majority </w:t>
      </w:r>
      <w:r w:rsidR="00C03A12" w:rsidRPr="26F64964">
        <w:rPr>
          <w:rFonts w:ascii="Calibri" w:eastAsia="Times New Roman" w:hAnsi="Calibri" w:cs="Calibri"/>
          <w:lang w:val="en-US" w:eastAsia="en-GB"/>
        </w:rPr>
        <w:t>of</w:t>
      </w:r>
      <w:proofErr w:type="gramEnd"/>
      <w:r w:rsidR="00C03A12" w:rsidRPr="26F64964">
        <w:rPr>
          <w:rFonts w:ascii="Calibri" w:eastAsia="Times New Roman" w:hAnsi="Calibri" w:cs="Calibri"/>
          <w:lang w:val="en-US" w:eastAsia="en-GB"/>
        </w:rPr>
        <w:t xml:space="preserve"> studies focused </w:t>
      </w:r>
      <w:r w:rsidR="00C03A12" w:rsidRPr="26F64964">
        <w:rPr>
          <w:rFonts w:ascii="Calibri" w:eastAsia="Times New Roman" w:hAnsi="Calibri" w:cs="Calibri"/>
          <w:highlight w:val="white"/>
          <w:lang w:val="en-US" w:eastAsia="en-GB"/>
        </w:rPr>
        <w:t>on the impact of</w:t>
      </w:r>
      <w:r w:rsidR="00C03A12" w:rsidRPr="26F64964">
        <w:rPr>
          <w:rFonts w:ascii="Calibri" w:eastAsia="Times New Roman" w:hAnsi="Calibri" w:cs="Calibri"/>
          <w:lang w:val="en-US" w:eastAsia="en-GB"/>
        </w:rPr>
        <w:t xml:space="preserve"> </w:t>
      </w:r>
      <w:r w:rsidR="002A16D8" w:rsidRPr="26F64964">
        <w:rPr>
          <w:rFonts w:ascii="Calibri" w:eastAsia="Times New Roman" w:hAnsi="Calibri" w:cs="Calibri"/>
          <w:lang w:val="en-US" w:eastAsia="en-GB"/>
        </w:rPr>
        <w:t>eHealth</w:t>
      </w:r>
      <w:r w:rsidR="00C03A12" w:rsidRPr="26F64964">
        <w:rPr>
          <w:rFonts w:ascii="Calibri" w:eastAsia="Times New Roman" w:hAnsi="Calibri" w:cs="Calibri"/>
          <w:lang w:val="en-US" w:eastAsia="en-GB"/>
        </w:rPr>
        <w:t xml:space="preserve"> in transplantation</w:t>
      </w:r>
      <w:r w:rsidR="000605A6" w:rsidRPr="26F64964">
        <w:rPr>
          <w:rFonts w:ascii="Calibri" w:eastAsia="Times New Roman" w:hAnsi="Calibri" w:cs="Calibri"/>
          <w:lang w:val="en-US" w:eastAsia="en-GB"/>
        </w:rPr>
        <w:t>,</w:t>
      </w:r>
      <w:r w:rsidR="00C03A12" w:rsidRPr="26F64964">
        <w:rPr>
          <w:rFonts w:ascii="Calibri" w:eastAsia="Times New Roman" w:hAnsi="Calibri" w:cs="Calibri"/>
          <w:lang w:val="en-US" w:eastAsia="en-GB"/>
        </w:rPr>
        <w:t xml:space="preserve"> but </w:t>
      </w:r>
      <w:r w:rsidR="004F4961" w:rsidRPr="26F64964">
        <w:rPr>
          <w:rFonts w:ascii="Calibri" w:eastAsia="Times New Roman" w:hAnsi="Calibri" w:cs="Calibri"/>
          <w:lang w:val="en-US" w:eastAsia="en-GB"/>
        </w:rPr>
        <w:t xml:space="preserve">there was no </w:t>
      </w:r>
      <w:r w:rsidR="00114C2A" w:rsidRPr="26F64964">
        <w:rPr>
          <w:rFonts w:ascii="Calibri" w:eastAsia="Times New Roman" w:hAnsi="Calibri" w:cs="Calibri"/>
          <w:lang w:val="en-US" w:eastAsia="en-GB"/>
        </w:rPr>
        <w:t xml:space="preserve">overall </w:t>
      </w:r>
      <w:r w:rsidR="004F4961" w:rsidRPr="26F64964">
        <w:rPr>
          <w:rFonts w:ascii="Calibri" w:eastAsia="Times New Roman" w:hAnsi="Calibri" w:cs="Calibri"/>
          <w:lang w:val="en-US" w:eastAsia="en-GB"/>
        </w:rPr>
        <w:t xml:space="preserve">consolidation </w:t>
      </w:r>
      <w:r w:rsidR="004F4961" w:rsidRPr="26F64964">
        <w:rPr>
          <w:rFonts w:ascii="Calibri" w:eastAsia="Times New Roman" w:hAnsi="Calibri" w:cs="Calibri"/>
          <w:highlight w:val="white"/>
          <w:lang w:val="en-US" w:eastAsia="en-GB"/>
        </w:rPr>
        <w:t>of the factors that influence the</w:t>
      </w:r>
      <w:r w:rsidR="004F4961" w:rsidRPr="26F64964">
        <w:rPr>
          <w:rFonts w:ascii="Calibri" w:eastAsia="Times New Roman" w:hAnsi="Calibri" w:cs="Calibri"/>
          <w:lang w:val="en-US" w:eastAsia="en-GB"/>
        </w:rPr>
        <w:t xml:space="preserve"> use and adoption of </w:t>
      </w:r>
      <w:r w:rsidR="002A16D8" w:rsidRPr="26F64964">
        <w:rPr>
          <w:rFonts w:ascii="Calibri" w:eastAsia="Times New Roman" w:hAnsi="Calibri" w:cs="Calibri"/>
          <w:lang w:val="en-US" w:eastAsia="en-GB"/>
        </w:rPr>
        <w:t>eHealth</w:t>
      </w:r>
      <w:r w:rsidR="00114C2A" w:rsidRPr="26F64964">
        <w:rPr>
          <w:rFonts w:ascii="Calibri" w:eastAsia="Times New Roman" w:hAnsi="Calibri" w:cs="Calibri"/>
          <w:lang w:val="en-US" w:eastAsia="en-GB"/>
        </w:rPr>
        <w:t xml:space="preserve">. </w:t>
      </w:r>
      <w:r w:rsidR="00FF020F" w:rsidRPr="26F64964">
        <w:rPr>
          <w:rFonts w:ascii="Calibri" w:eastAsia="Times New Roman" w:hAnsi="Calibri" w:cs="Calibri"/>
          <w:lang w:val="en-US" w:eastAsia="en-GB"/>
        </w:rPr>
        <w:t xml:space="preserve">Factors such as barriers, benefits, </w:t>
      </w:r>
      <w:r w:rsidR="003947FB" w:rsidRPr="26F64964">
        <w:rPr>
          <w:rFonts w:ascii="Calibri" w:eastAsia="Times New Roman" w:hAnsi="Calibri" w:cs="Calibri"/>
          <w:lang w:val="en-US" w:eastAsia="en-GB"/>
        </w:rPr>
        <w:t>development process of digital health</w:t>
      </w:r>
      <w:r w:rsidR="000605A6" w:rsidRPr="26F64964">
        <w:rPr>
          <w:rFonts w:ascii="Calibri" w:eastAsia="Times New Roman" w:hAnsi="Calibri" w:cs="Calibri"/>
          <w:lang w:val="en-US" w:eastAsia="en-GB"/>
        </w:rPr>
        <w:t>,</w:t>
      </w:r>
      <w:r w:rsidR="003947FB" w:rsidRPr="26F64964">
        <w:rPr>
          <w:rFonts w:ascii="Calibri" w:eastAsia="Times New Roman" w:hAnsi="Calibri" w:cs="Calibri"/>
          <w:lang w:val="en-US" w:eastAsia="en-GB"/>
        </w:rPr>
        <w:t xml:space="preserve"> and different types of users of digital health </w:t>
      </w:r>
      <w:r w:rsidR="003947FB" w:rsidRPr="26F64964">
        <w:rPr>
          <w:rFonts w:ascii="Calibri" w:eastAsia="Times New Roman" w:hAnsi="Calibri" w:cs="Calibri"/>
          <w:highlight w:val="white"/>
          <w:lang w:val="en-US" w:eastAsia="en-GB"/>
        </w:rPr>
        <w:t>were found to influence</w:t>
      </w:r>
      <w:r w:rsidR="003947FB" w:rsidRPr="26F64964">
        <w:rPr>
          <w:rFonts w:ascii="Calibri" w:eastAsia="Times New Roman" w:hAnsi="Calibri" w:cs="Calibri"/>
          <w:lang w:val="en-US" w:eastAsia="en-GB"/>
        </w:rPr>
        <w:t xml:space="preserve"> </w:t>
      </w:r>
      <w:r w:rsidR="002A16D8" w:rsidRPr="26F64964">
        <w:rPr>
          <w:rFonts w:ascii="Calibri" w:eastAsia="Times New Roman" w:hAnsi="Calibri" w:cs="Calibri"/>
          <w:lang w:val="en-US" w:eastAsia="en-GB"/>
        </w:rPr>
        <w:t>eHealth</w:t>
      </w:r>
      <w:r w:rsidR="003947FB" w:rsidRPr="26F64964">
        <w:rPr>
          <w:rFonts w:ascii="Calibri" w:eastAsia="Times New Roman" w:hAnsi="Calibri" w:cs="Calibri"/>
          <w:lang w:val="en-US" w:eastAsia="en-GB"/>
        </w:rPr>
        <w:t xml:space="preserve"> adoption within </w:t>
      </w:r>
      <w:r w:rsidR="0023558A" w:rsidRPr="26F64964">
        <w:rPr>
          <w:rFonts w:ascii="Calibri" w:eastAsia="Times New Roman" w:hAnsi="Calibri" w:cs="Calibri"/>
          <w:lang w:val="en-US" w:eastAsia="en-GB"/>
        </w:rPr>
        <w:t xml:space="preserve">transplantation. </w:t>
      </w:r>
      <w:r w:rsidR="00AB52B4" w:rsidRPr="26F64964">
        <w:rPr>
          <w:rFonts w:ascii="Calibri" w:eastAsia="Times New Roman" w:hAnsi="Calibri" w:cs="Calibri"/>
          <w:lang w:val="en-US" w:eastAsia="en-GB"/>
        </w:rPr>
        <w:t xml:space="preserve">To address </w:t>
      </w:r>
      <w:r w:rsidR="00313173" w:rsidRPr="26F64964">
        <w:rPr>
          <w:rFonts w:ascii="Calibri" w:eastAsia="Times New Roman" w:hAnsi="Calibri" w:cs="Calibri"/>
          <w:highlight w:val="white"/>
          <w:lang w:val="en-US" w:eastAsia="en-GB"/>
        </w:rPr>
        <w:t>previous research gaps, this study</w:t>
      </w:r>
      <w:r w:rsidR="00313173" w:rsidRPr="26F64964">
        <w:rPr>
          <w:rFonts w:ascii="Calibri" w:eastAsia="Times New Roman" w:hAnsi="Calibri" w:cs="Calibri"/>
          <w:lang w:val="en-US" w:eastAsia="en-GB"/>
        </w:rPr>
        <w:t xml:space="preserve"> used </w:t>
      </w:r>
      <w:r w:rsidR="008C1C6C" w:rsidRPr="26F64964">
        <w:rPr>
          <w:rFonts w:ascii="Calibri" w:eastAsia="Times New Roman" w:hAnsi="Calibri" w:cs="Calibri"/>
          <w:lang w:val="en-US" w:eastAsia="en-GB"/>
        </w:rPr>
        <w:t xml:space="preserve">a systematic literature review to analyze </w:t>
      </w:r>
      <w:r w:rsidR="005B0484" w:rsidRPr="00892043">
        <w:rPr>
          <w:rFonts w:ascii="Calibri" w:eastAsia="Times New Roman" w:hAnsi="Calibri" w:cs="Calibri"/>
          <w:lang w:val="en-US" w:eastAsia="en-GB"/>
        </w:rPr>
        <w:t>previous studies</w:t>
      </w:r>
      <w:r w:rsidR="005976CA" w:rsidRPr="00892043">
        <w:rPr>
          <w:rFonts w:ascii="Calibri" w:eastAsia="Times New Roman" w:hAnsi="Calibri" w:cs="Calibri"/>
          <w:lang w:val="en-US" w:eastAsia="en-GB"/>
        </w:rPr>
        <w:t xml:space="preserve"> and classify the factors </w:t>
      </w:r>
      <w:r w:rsidR="005B0484" w:rsidRPr="00892043">
        <w:rPr>
          <w:rFonts w:ascii="Calibri" w:eastAsia="Times New Roman" w:hAnsi="Calibri" w:cs="Calibri"/>
          <w:lang w:val="en-US" w:eastAsia="en-GB"/>
        </w:rPr>
        <w:t>analyzed</w:t>
      </w:r>
      <w:r w:rsidR="005976CA" w:rsidRPr="00892043">
        <w:rPr>
          <w:rFonts w:ascii="Calibri" w:eastAsia="Times New Roman" w:hAnsi="Calibri" w:cs="Calibri"/>
          <w:lang w:val="en-US" w:eastAsia="en-GB"/>
        </w:rPr>
        <w:t xml:space="preserve"> that influence the use</w:t>
      </w:r>
      <w:r w:rsidR="005976CA" w:rsidRPr="26F64964">
        <w:rPr>
          <w:rFonts w:ascii="Calibri" w:eastAsia="Times New Roman" w:hAnsi="Calibri" w:cs="Calibri"/>
          <w:lang w:val="en-US" w:eastAsia="en-GB"/>
        </w:rPr>
        <w:t xml:space="preserve"> and integration of </w:t>
      </w:r>
      <w:r w:rsidR="002A16D8" w:rsidRPr="26F64964">
        <w:rPr>
          <w:rFonts w:ascii="Calibri" w:eastAsia="Times New Roman" w:hAnsi="Calibri" w:cs="Calibri"/>
          <w:lang w:val="en-US" w:eastAsia="en-GB"/>
        </w:rPr>
        <w:t>eHealth</w:t>
      </w:r>
      <w:r w:rsidR="005976CA" w:rsidRPr="26F64964">
        <w:rPr>
          <w:rFonts w:ascii="Calibri" w:eastAsia="Times New Roman" w:hAnsi="Calibri" w:cs="Calibri"/>
          <w:lang w:val="en-US" w:eastAsia="en-GB"/>
        </w:rPr>
        <w:t xml:space="preserve"> in transplant care. </w:t>
      </w:r>
      <w:r w:rsidR="0023558A" w:rsidRPr="26F64964">
        <w:rPr>
          <w:rFonts w:ascii="Calibri" w:eastAsia="Times New Roman" w:hAnsi="Calibri" w:cs="Calibri"/>
          <w:lang w:val="en-US" w:eastAsia="en-GB"/>
        </w:rPr>
        <w:t xml:space="preserve">This study </w:t>
      </w:r>
      <w:r w:rsidR="004046F9" w:rsidRPr="26F64964">
        <w:rPr>
          <w:rFonts w:ascii="Calibri" w:eastAsia="Times New Roman" w:hAnsi="Calibri" w:cs="Calibri"/>
          <w:lang w:val="en-US" w:eastAsia="en-GB"/>
        </w:rPr>
        <w:t>ha</w:t>
      </w:r>
      <w:r w:rsidR="00EF4477" w:rsidRPr="26F64964">
        <w:rPr>
          <w:rFonts w:ascii="Calibri" w:eastAsia="Times New Roman" w:hAnsi="Calibri" w:cs="Calibri"/>
          <w:lang w:val="en-US" w:eastAsia="en-GB"/>
        </w:rPr>
        <w:t>s</w:t>
      </w:r>
      <w:r w:rsidR="004046F9" w:rsidRPr="26F64964">
        <w:rPr>
          <w:rFonts w:ascii="Calibri" w:eastAsia="Times New Roman" w:hAnsi="Calibri" w:cs="Calibri"/>
          <w:lang w:val="en-US" w:eastAsia="en-GB"/>
        </w:rPr>
        <w:t xml:space="preserve"> </w:t>
      </w:r>
      <w:r w:rsidR="00EF4477" w:rsidRPr="26F64964">
        <w:rPr>
          <w:rFonts w:ascii="Calibri" w:eastAsia="Times New Roman" w:hAnsi="Calibri" w:cs="Calibri"/>
          <w:lang w:val="en-US" w:eastAsia="en-GB"/>
        </w:rPr>
        <w:t xml:space="preserve">developed a conceptual framework to present the </w:t>
      </w:r>
      <w:r w:rsidR="00106D26" w:rsidRPr="26F64964">
        <w:rPr>
          <w:rFonts w:ascii="Calibri" w:eastAsia="Times New Roman" w:hAnsi="Calibri" w:cs="Calibri"/>
          <w:lang w:val="en-US" w:eastAsia="en-GB"/>
        </w:rPr>
        <w:t xml:space="preserve">critical factors of using digital health by different stakeholders for transplantation (Figure 4). </w:t>
      </w:r>
      <w:r w:rsidR="005C0194" w:rsidRPr="26F64964">
        <w:rPr>
          <w:rFonts w:ascii="Calibri" w:eastAsia="Times New Roman" w:hAnsi="Calibri" w:cs="Calibri"/>
          <w:lang w:val="en-US" w:eastAsia="en-GB"/>
        </w:rPr>
        <w:t>This framework offers a</w:t>
      </w:r>
      <w:r w:rsidR="00C81415" w:rsidRPr="26F64964">
        <w:rPr>
          <w:rFonts w:ascii="Calibri" w:eastAsia="Times New Roman" w:hAnsi="Calibri" w:cs="Calibri"/>
          <w:lang w:val="en-US" w:eastAsia="en-GB"/>
        </w:rPr>
        <w:t>n</w:t>
      </w:r>
      <w:r w:rsidR="005C0194" w:rsidRPr="26F64964">
        <w:rPr>
          <w:rFonts w:ascii="Calibri" w:eastAsia="Times New Roman" w:hAnsi="Calibri" w:cs="Calibri"/>
          <w:lang w:val="en-US" w:eastAsia="en-GB"/>
        </w:rPr>
        <w:t xml:space="preserve"> </w:t>
      </w:r>
      <w:r w:rsidR="00C81415" w:rsidRPr="26F64964">
        <w:rPr>
          <w:rFonts w:ascii="Calibri" w:eastAsia="Times New Roman" w:hAnsi="Calibri" w:cs="Calibri"/>
          <w:lang w:val="en-US" w:eastAsia="en-GB"/>
        </w:rPr>
        <w:t xml:space="preserve">overall understanding of the different </w:t>
      </w:r>
      <w:r w:rsidR="00FA4A1A" w:rsidRPr="26F64964">
        <w:rPr>
          <w:rFonts w:ascii="Calibri" w:eastAsia="Times New Roman" w:hAnsi="Calibri" w:cs="Calibri"/>
          <w:lang w:val="en-US" w:eastAsia="en-GB"/>
        </w:rPr>
        <w:t>elements</w:t>
      </w:r>
      <w:r w:rsidR="00C81415" w:rsidRPr="26F64964">
        <w:rPr>
          <w:rFonts w:ascii="Calibri" w:eastAsia="Times New Roman" w:hAnsi="Calibri" w:cs="Calibri"/>
          <w:lang w:val="en-US" w:eastAsia="en-GB"/>
        </w:rPr>
        <w:t xml:space="preserve"> affect</w:t>
      </w:r>
      <w:r w:rsidR="00FA4A1A" w:rsidRPr="26F64964">
        <w:rPr>
          <w:rFonts w:ascii="Calibri" w:eastAsia="Times New Roman" w:hAnsi="Calibri" w:cs="Calibri"/>
          <w:lang w:val="en-US" w:eastAsia="en-GB"/>
        </w:rPr>
        <w:t>ing</w:t>
      </w:r>
      <w:r w:rsidR="00C81415" w:rsidRPr="26F64964">
        <w:rPr>
          <w:rFonts w:ascii="Calibri" w:eastAsia="Times New Roman" w:hAnsi="Calibri" w:cs="Calibri"/>
          <w:lang w:val="en-US" w:eastAsia="en-GB"/>
        </w:rPr>
        <w:t xml:space="preserve"> </w:t>
      </w:r>
      <w:r w:rsidR="002A16D8" w:rsidRPr="26F64964">
        <w:rPr>
          <w:rFonts w:ascii="Calibri" w:eastAsia="Times New Roman" w:hAnsi="Calibri" w:cs="Calibri"/>
          <w:lang w:val="en-US" w:eastAsia="en-GB"/>
        </w:rPr>
        <w:t>eHealth</w:t>
      </w:r>
      <w:r w:rsidR="00C81415" w:rsidRPr="26F64964">
        <w:rPr>
          <w:rFonts w:ascii="Calibri" w:eastAsia="Times New Roman" w:hAnsi="Calibri" w:cs="Calibri"/>
          <w:lang w:val="en-US" w:eastAsia="en-GB"/>
        </w:rPr>
        <w:t xml:space="preserve"> use in transplantation</w:t>
      </w:r>
      <w:r w:rsidR="00C81415" w:rsidRPr="00D33C9F">
        <w:rPr>
          <w:rFonts w:ascii="Calibri" w:eastAsia="Times New Roman" w:hAnsi="Calibri" w:cs="Calibri"/>
          <w:lang w:val="en-US" w:eastAsia="en-GB"/>
        </w:rPr>
        <w:t xml:space="preserve">.  </w:t>
      </w:r>
      <w:r w:rsidR="0071495F" w:rsidRPr="00D33C9F">
        <w:rPr>
          <w:rFonts w:ascii="Calibri" w:eastAsia="Times New Roman" w:hAnsi="Calibri" w:cs="Calibri"/>
          <w:lang w:val="en-US" w:eastAsia="en-GB"/>
        </w:rPr>
        <w:t xml:space="preserve">This conceptual framework can be used as a </w:t>
      </w:r>
      <w:r w:rsidR="003E01FA" w:rsidRPr="00D33C9F">
        <w:rPr>
          <w:rFonts w:ascii="Calibri" w:eastAsia="Times New Roman" w:hAnsi="Calibri" w:cs="Calibri"/>
          <w:lang w:val="en-US" w:eastAsia="en-GB"/>
        </w:rPr>
        <w:t xml:space="preserve">roadmap for guiding empirical investigations and theoretical developments. Future research can use the conceptual framework to </w:t>
      </w:r>
      <w:r w:rsidR="00E90E96" w:rsidRPr="00D33C9F">
        <w:rPr>
          <w:rFonts w:ascii="Calibri" w:eastAsia="Times New Roman" w:hAnsi="Calibri" w:cs="Calibri"/>
          <w:lang w:val="en-US" w:eastAsia="en-GB"/>
        </w:rPr>
        <w:t xml:space="preserve">design studies, analyze data and interpret findings. </w:t>
      </w:r>
    </w:p>
    <w:p w14:paraId="6E64E647" w14:textId="1140F31F" w:rsidR="00070ADD" w:rsidRPr="007F6B0B" w:rsidRDefault="00C726C3" w:rsidP="0075528E">
      <w:pPr>
        <w:spacing w:line="360" w:lineRule="auto"/>
        <w:jc w:val="both"/>
        <w:rPr>
          <w:rFonts w:ascii="Calibri" w:eastAsia="Times New Roman" w:hAnsi="Calibri" w:cs="Calibri"/>
          <w:lang w:val="en-US" w:eastAsia="en-GB"/>
        </w:rPr>
      </w:pPr>
      <w:r w:rsidRPr="00D33C9F">
        <w:rPr>
          <w:rFonts w:ascii="Calibri" w:eastAsia="Times New Roman" w:hAnsi="Calibri" w:cs="Calibri"/>
          <w:lang w:val="en-US" w:eastAsia="en-GB"/>
        </w:rPr>
        <w:t>Secondly</w:t>
      </w:r>
      <w:r w:rsidR="00C538B6" w:rsidRPr="00D33C9F">
        <w:rPr>
          <w:rFonts w:ascii="Calibri" w:eastAsia="Times New Roman" w:hAnsi="Calibri" w:cs="Calibri"/>
          <w:lang w:val="en-US" w:eastAsia="en-GB"/>
        </w:rPr>
        <w:t>,</w:t>
      </w:r>
      <w:r w:rsidRPr="00D33C9F">
        <w:rPr>
          <w:rFonts w:ascii="Calibri" w:eastAsia="Times New Roman" w:hAnsi="Calibri" w:cs="Calibri"/>
          <w:lang w:val="en-US" w:eastAsia="en-GB"/>
        </w:rPr>
        <w:t xml:space="preserve"> this study has </w:t>
      </w:r>
      <w:r w:rsidR="00FF5129" w:rsidRPr="00D33C9F">
        <w:rPr>
          <w:rFonts w:ascii="Calibri" w:eastAsia="Times New Roman" w:hAnsi="Calibri" w:cs="Calibri"/>
          <w:lang w:val="en-US" w:eastAsia="en-GB"/>
        </w:rPr>
        <w:t xml:space="preserve">highlighted the gaps in the literature </w:t>
      </w:r>
      <w:r w:rsidR="00D923AD" w:rsidRPr="00D33C9F">
        <w:rPr>
          <w:rFonts w:ascii="Calibri" w:eastAsia="Times New Roman" w:hAnsi="Calibri" w:cs="Calibri"/>
          <w:lang w:val="en-US" w:eastAsia="en-GB"/>
        </w:rPr>
        <w:t>on</w:t>
      </w:r>
      <w:r w:rsidR="00252FF1" w:rsidRPr="00D33C9F">
        <w:rPr>
          <w:rFonts w:ascii="Calibri" w:eastAsia="Times New Roman" w:hAnsi="Calibri" w:cs="Calibri"/>
          <w:lang w:val="en-US" w:eastAsia="en-GB"/>
        </w:rPr>
        <w:t xml:space="preserve"> </w:t>
      </w:r>
      <w:r w:rsidR="002A16D8" w:rsidRPr="00D33C9F">
        <w:rPr>
          <w:rFonts w:ascii="Calibri" w:eastAsia="Times New Roman" w:hAnsi="Calibri" w:cs="Calibri"/>
          <w:lang w:val="en-US" w:eastAsia="en-GB"/>
        </w:rPr>
        <w:t>eHealth</w:t>
      </w:r>
      <w:r w:rsidR="00FF5129" w:rsidRPr="00D33C9F">
        <w:rPr>
          <w:rFonts w:ascii="Calibri" w:eastAsia="Times New Roman" w:hAnsi="Calibri" w:cs="Calibri"/>
          <w:lang w:val="en-US" w:eastAsia="en-GB"/>
        </w:rPr>
        <w:t xml:space="preserve"> in transplantation</w:t>
      </w:r>
      <w:r w:rsidR="00FF5129" w:rsidRPr="26F64964">
        <w:rPr>
          <w:rFonts w:ascii="Calibri" w:eastAsia="Times New Roman" w:hAnsi="Calibri" w:cs="Calibri"/>
          <w:lang w:val="en-US" w:eastAsia="en-GB"/>
        </w:rPr>
        <w:t xml:space="preserve">. </w:t>
      </w:r>
      <w:proofErr w:type="gramStart"/>
      <w:r w:rsidR="000605A6" w:rsidRPr="26F64964">
        <w:rPr>
          <w:rFonts w:ascii="Calibri" w:eastAsia="Times New Roman" w:hAnsi="Calibri" w:cs="Calibri"/>
          <w:lang w:val="en-US" w:eastAsia="en-GB"/>
        </w:rPr>
        <w:t xml:space="preserve">The majority </w:t>
      </w:r>
      <w:r w:rsidR="00FF5A5D" w:rsidRPr="26F64964">
        <w:rPr>
          <w:rFonts w:ascii="Calibri" w:eastAsia="Times New Roman" w:hAnsi="Calibri" w:cs="Calibri"/>
          <w:lang w:val="en-US" w:eastAsia="en-GB"/>
        </w:rPr>
        <w:t>of</w:t>
      </w:r>
      <w:proofErr w:type="gramEnd"/>
      <w:r w:rsidR="00FF5A5D" w:rsidRPr="26F64964">
        <w:rPr>
          <w:rFonts w:ascii="Calibri" w:eastAsia="Times New Roman" w:hAnsi="Calibri" w:cs="Calibri"/>
          <w:lang w:val="en-US" w:eastAsia="en-GB"/>
        </w:rPr>
        <w:t xml:space="preserve"> studies focused on </w:t>
      </w:r>
      <w:r w:rsidR="000928E5" w:rsidRPr="26F64964">
        <w:rPr>
          <w:rFonts w:ascii="Calibri" w:eastAsia="Times New Roman" w:hAnsi="Calibri" w:cs="Calibri"/>
          <w:lang w:val="en-US" w:eastAsia="en-GB"/>
        </w:rPr>
        <w:t>two</w:t>
      </w:r>
      <w:r w:rsidR="00FF5A5D" w:rsidRPr="26F64964">
        <w:rPr>
          <w:rFonts w:ascii="Calibri" w:eastAsia="Times New Roman" w:hAnsi="Calibri" w:cs="Calibri"/>
          <w:lang w:val="en-US" w:eastAsia="en-GB"/>
        </w:rPr>
        <w:t xml:space="preserve"> type</w:t>
      </w:r>
      <w:r w:rsidR="000928E5" w:rsidRPr="26F64964">
        <w:rPr>
          <w:rFonts w:ascii="Calibri" w:eastAsia="Times New Roman" w:hAnsi="Calibri" w:cs="Calibri"/>
          <w:lang w:val="en-US" w:eastAsia="en-GB"/>
        </w:rPr>
        <w:t>s</w:t>
      </w:r>
      <w:r w:rsidR="00FF5A5D" w:rsidRPr="26F64964">
        <w:rPr>
          <w:rFonts w:ascii="Calibri" w:eastAsia="Times New Roman" w:hAnsi="Calibri" w:cs="Calibri"/>
          <w:lang w:val="en-US" w:eastAsia="en-GB"/>
        </w:rPr>
        <w:t xml:space="preserve"> of digital health tool</w:t>
      </w:r>
      <w:r w:rsidR="000928E5" w:rsidRPr="26F64964">
        <w:rPr>
          <w:rFonts w:ascii="Calibri" w:eastAsia="Times New Roman" w:hAnsi="Calibri" w:cs="Calibri"/>
          <w:lang w:val="en-US" w:eastAsia="en-GB"/>
        </w:rPr>
        <w:t>s</w:t>
      </w:r>
      <w:r w:rsidR="00FF5A5D" w:rsidRPr="26F64964">
        <w:rPr>
          <w:rFonts w:ascii="Calibri" w:eastAsia="Times New Roman" w:hAnsi="Calibri" w:cs="Calibri"/>
          <w:lang w:val="en-US" w:eastAsia="en-GB"/>
        </w:rPr>
        <w:t xml:space="preserve"> (</w:t>
      </w:r>
      <w:r w:rsidR="000F3965" w:rsidRPr="26F64964">
        <w:rPr>
          <w:rFonts w:ascii="Calibri" w:eastAsia="Times New Roman" w:hAnsi="Calibri" w:cs="Calibri"/>
          <w:lang w:val="en-US" w:eastAsia="en-GB"/>
        </w:rPr>
        <w:t>mHealth</w:t>
      </w:r>
      <w:r w:rsidR="000928E5" w:rsidRPr="26F64964">
        <w:rPr>
          <w:rFonts w:ascii="Calibri" w:eastAsia="Times New Roman" w:hAnsi="Calibri" w:cs="Calibri"/>
          <w:lang w:val="en-US" w:eastAsia="en-GB"/>
        </w:rPr>
        <w:t xml:space="preserve"> &amp; telehealth</w:t>
      </w:r>
      <w:r w:rsidR="000F3965" w:rsidRPr="26F64964">
        <w:rPr>
          <w:rFonts w:ascii="Calibri" w:eastAsia="Times New Roman" w:hAnsi="Calibri" w:cs="Calibri"/>
          <w:lang w:val="en-US" w:eastAsia="en-GB"/>
        </w:rPr>
        <w:t xml:space="preserve">) </w:t>
      </w:r>
      <w:r w:rsidR="00FF5A5D" w:rsidRPr="26F64964">
        <w:rPr>
          <w:rFonts w:ascii="Calibri" w:eastAsia="Times New Roman" w:hAnsi="Calibri" w:cs="Calibri"/>
          <w:lang w:val="en-US" w:eastAsia="en-GB"/>
        </w:rPr>
        <w:t xml:space="preserve">and </w:t>
      </w:r>
      <w:r w:rsidR="00D923AD" w:rsidRPr="26F64964">
        <w:rPr>
          <w:rFonts w:ascii="Calibri" w:eastAsia="Times New Roman" w:hAnsi="Calibri" w:cs="Calibri"/>
          <w:lang w:val="en-US" w:eastAsia="en-GB"/>
        </w:rPr>
        <w:t xml:space="preserve">their </w:t>
      </w:r>
      <w:r w:rsidR="000928E5" w:rsidRPr="26F64964">
        <w:rPr>
          <w:rFonts w:ascii="Calibri" w:eastAsia="Times New Roman" w:hAnsi="Calibri" w:cs="Calibri"/>
          <w:lang w:val="en-US" w:eastAsia="en-GB"/>
        </w:rPr>
        <w:t>impact</w:t>
      </w:r>
      <w:r w:rsidR="00FF5A5D" w:rsidRPr="26F64964">
        <w:rPr>
          <w:rFonts w:ascii="Calibri" w:eastAsia="Times New Roman" w:hAnsi="Calibri" w:cs="Calibri"/>
          <w:lang w:val="en-US" w:eastAsia="en-GB"/>
        </w:rPr>
        <w:t xml:space="preserve"> </w:t>
      </w:r>
      <w:r w:rsidR="00F94A7F" w:rsidRPr="26F64964">
        <w:rPr>
          <w:rFonts w:ascii="Calibri" w:eastAsia="Times New Roman" w:hAnsi="Calibri" w:cs="Calibri"/>
          <w:lang w:val="en-US" w:eastAsia="en-GB"/>
        </w:rPr>
        <w:t xml:space="preserve">on </w:t>
      </w:r>
      <w:r w:rsidR="00FF5A5D" w:rsidRPr="26F64964">
        <w:rPr>
          <w:rFonts w:ascii="Calibri" w:eastAsia="Times New Roman" w:hAnsi="Calibri" w:cs="Calibri"/>
          <w:lang w:val="en-US" w:eastAsia="en-GB"/>
        </w:rPr>
        <w:t>transplantation</w:t>
      </w:r>
      <w:r w:rsidR="000F3965" w:rsidRPr="26F64964">
        <w:rPr>
          <w:rFonts w:ascii="Calibri" w:eastAsia="Times New Roman" w:hAnsi="Calibri" w:cs="Calibri"/>
          <w:lang w:val="en-US" w:eastAsia="en-GB"/>
        </w:rPr>
        <w:t xml:space="preserve">. </w:t>
      </w:r>
      <w:r w:rsidR="001F1B6F" w:rsidRPr="26F64964">
        <w:rPr>
          <w:rFonts w:ascii="Calibri" w:eastAsia="Times New Roman" w:hAnsi="Calibri" w:cs="Calibri"/>
          <w:lang w:val="en-US" w:eastAsia="en-GB"/>
        </w:rPr>
        <w:t xml:space="preserve">Future research should </w:t>
      </w:r>
      <w:proofErr w:type="gramStart"/>
      <w:r w:rsidR="001F1B6F" w:rsidRPr="26F64964">
        <w:rPr>
          <w:rFonts w:ascii="Calibri" w:eastAsia="Times New Roman" w:hAnsi="Calibri" w:cs="Calibri"/>
          <w:lang w:val="en-US" w:eastAsia="en-GB"/>
        </w:rPr>
        <w:t>look into</w:t>
      </w:r>
      <w:proofErr w:type="gramEnd"/>
      <w:r w:rsidR="001F1B6F" w:rsidRPr="26F64964">
        <w:rPr>
          <w:rFonts w:ascii="Calibri" w:eastAsia="Times New Roman" w:hAnsi="Calibri" w:cs="Calibri"/>
          <w:lang w:val="en-US" w:eastAsia="en-GB"/>
        </w:rPr>
        <w:t xml:space="preserve"> different </w:t>
      </w:r>
      <w:r w:rsidR="001F1B6F" w:rsidRPr="26F64964">
        <w:rPr>
          <w:rFonts w:ascii="Calibri" w:eastAsia="Times New Roman" w:hAnsi="Calibri" w:cs="Calibri"/>
          <w:highlight w:val="white"/>
          <w:lang w:val="en-US" w:eastAsia="en-GB"/>
        </w:rPr>
        <w:t>types of digital health tools and</w:t>
      </w:r>
      <w:r w:rsidR="001F1B6F" w:rsidRPr="26F64964">
        <w:rPr>
          <w:rFonts w:ascii="Calibri" w:eastAsia="Times New Roman" w:hAnsi="Calibri" w:cs="Calibri"/>
          <w:lang w:val="en-US" w:eastAsia="en-GB"/>
        </w:rPr>
        <w:t xml:space="preserve"> measure </w:t>
      </w:r>
      <w:r w:rsidR="00C538B6" w:rsidRPr="26F64964">
        <w:rPr>
          <w:rFonts w:ascii="Calibri" w:eastAsia="Times New Roman" w:hAnsi="Calibri" w:cs="Calibri"/>
          <w:lang w:val="en-US" w:eastAsia="en-GB"/>
        </w:rPr>
        <w:t>their</w:t>
      </w:r>
      <w:r w:rsidR="001F1B6F" w:rsidRPr="26F64964">
        <w:rPr>
          <w:rFonts w:ascii="Calibri" w:eastAsia="Times New Roman" w:hAnsi="Calibri" w:cs="Calibri"/>
          <w:lang w:val="en-US" w:eastAsia="en-GB"/>
        </w:rPr>
        <w:t xml:space="preserve"> impact as </w:t>
      </w:r>
      <w:r w:rsidR="00B93DBF" w:rsidRPr="26F64964">
        <w:rPr>
          <w:rFonts w:ascii="Calibri" w:eastAsia="Times New Roman" w:hAnsi="Calibri" w:cs="Calibri"/>
          <w:lang w:val="en-US" w:eastAsia="en-GB"/>
        </w:rPr>
        <w:t>they</w:t>
      </w:r>
      <w:r w:rsidR="001F1B6F" w:rsidRPr="26F64964">
        <w:rPr>
          <w:rFonts w:ascii="Calibri" w:eastAsia="Times New Roman" w:hAnsi="Calibri" w:cs="Calibri"/>
          <w:lang w:val="en-US" w:eastAsia="en-GB"/>
        </w:rPr>
        <w:t xml:space="preserve"> may provide better outcome</w:t>
      </w:r>
      <w:r w:rsidR="00B93DBF" w:rsidRPr="26F64964">
        <w:rPr>
          <w:rFonts w:ascii="Calibri" w:eastAsia="Times New Roman" w:hAnsi="Calibri" w:cs="Calibri"/>
          <w:lang w:val="en-US" w:eastAsia="en-GB"/>
        </w:rPr>
        <w:t>s</w:t>
      </w:r>
      <w:r w:rsidR="00CA53D6" w:rsidRPr="26F64964">
        <w:rPr>
          <w:rFonts w:ascii="Calibri" w:eastAsia="Times New Roman" w:hAnsi="Calibri" w:cs="Calibri"/>
          <w:lang w:val="en-US" w:eastAsia="en-GB"/>
        </w:rPr>
        <w:t>. T</w:t>
      </w:r>
      <w:r w:rsidR="00B93DBF" w:rsidRPr="26F64964">
        <w:rPr>
          <w:rFonts w:ascii="Calibri" w:eastAsia="Times New Roman" w:hAnsi="Calibri" w:cs="Calibri"/>
          <w:lang w:val="en-US" w:eastAsia="en-GB"/>
        </w:rPr>
        <w:t xml:space="preserve">his study also </w:t>
      </w:r>
      <w:r w:rsidR="007A1A71" w:rsidRPr="26F64964">
        <w:rPr>
          <w:rFonts w:ascii="Calibri" w:eastAsia="Times New Roman" w:hAnsi="Calibri" w:cs="Calibri"/>
          <w:lang w:val="en-US" w:eastAsia="en-GB"/>
        </w:rPr>
        <w:t>contributes to th</w:t>
      </w:r>
      <w:r w:rsidR="00140E5B" w:rsidRPr="26F64964">
        <w:rPr>
          <w:rFonts w:ascii="Calibri" w:eastAsia="Times New Roman" w:hAnsi="Calibri" w:cs="Calibri"/>
          <w:lang w:val="en-US" w:eastAsia="en-GB"/>
        </w:rPr>
        <w:t>e</w:t>
      </w:r>
      <w:r w:rsidR="007A1A71" w:rsidRPr="26F64964">
        <w:rPr>
          <w:rFonts w:ascii="Calibri" w:eastAsia="Times New Roman" w:hAnsi="Calibri" w:cs="Calibri"/>
          <w:lang w:val="en-US" w:eastAsia="en-GB"/>
        </w:rPr>
        <w:t xml:space="preserve"> identification of future direction</w:t>
      </w:r>
      <w:r w:rsidR="00D923AD" w:rsidRPr="26F64964">
        <w:rPr>
          <w:rFonts w:ascii="Calibri" w:eastAsia="Times New Roman" w:hAnsi="Calibri" w:cs="Calibri"/>
          <w:lang w:val="en-US" w:eastAsia="en-GB"/>
        </w:rPr>
        <w:t>s</w:t>
      </w:r>
      <w:r w:rsidR="007A1A71" w:rsidRPr="26F64964">
        <w:rPr>
          <w:rFonts w:ascii="Calibri" w:eastAsia="Times New Roman" w:hAnsi="Calibri" w:cs="Calibri"/>
          <w:lang w:val="en-US" w:eastAsia="en-GB"/>
        </w:rPr>
        <w:t xml:space="preserve"> for </w:t>
      </w:r>
      <w:r w:rsidR="00CA53D6" w:rsidRPr="26F64964">
        <w:rPr>
          <w:rFonts w:ascii="Calibri" w:eastAsia="Times New Roman" w:hAnsi="Calibri" w:cs="Calibri"/>
          <w:lang w:val="en-US" w:eastAsia="en-GB"/>
        </w:rPr>
        <w:t xml:space="preserve">adopting emerging technologies in transplantation. </w:t>
      </w:r>
      <w:r w:rsidR="00C04C40" w:rsidRPr="26F64964">
        <w:rPr>
          <w:rFonts w:ascii="Calibri" w:eastAsia="Times New Roman" w:hAnsi="Calibri" w:cs="Calibri"/>
          <w:lang w:val="en-US" w:eastAsia="en-GB"/>
        </w:rPr>
        <w:t xml:space="preserve">Given the advancements in technologies, new changes within the </w:t>
      </w:r>
      <w:r w:rsidR="00FE456D" w:rsidRPr="26F64964">
        <w:rPr>
          <w:rFonts w:ascii="Calibri" w:eastAsia="Times New Roman" w:hAnsi="Calibri" w:cs="Calibri"/>
          <w:lang w:val="en-US" w:eastAsia="en-GB"/>
        </w:rPr>
        <w:t>tech</w:t>
      </w:r>
      <w:r w:rsidR="00513443" w:rsidRPr="26F64964">
        <w:rPr>
          <w:rFonts w:ascii="Calibri" w:eastAsia="Times New Roman" w:hAnsi="Calibri" w:cs="Calibri"/>
          <w:lang w:val="en-US" w:eastAsia="en-GB"/>
        </w:rPr>
        <w:t>nology</w:t>
      </w:r>
      <w:r w:rsidR="00FE456D" w:rsidRPr="26F64964">
        <w:rPr>
          <w:rFonts w:ascii="Calibri" w:eastAsia="Times New Roman" w:hAnsi="Calibri" w:cs="Calibri"/>
          <w:lang w:val="en-US" w:eastAsia="en-GB"/>
        </w:rPr>
        <w:t xml:space="preserve"> </w:t>
      </w:r>
      <w:r w:rsidR="00C04C40" w:rsidRPr="26F64964">
        <w:rPr>
          <w:rFonts w:ascii="Calibri" w:eastAsia="Times New Roman" w:hAnsi="Calibri" w:cs="Calibri"/>
          <w:lang w:val="en-US" w:eastAsia="en-GB"/>
        </w:rPr>
        <w:t>industry can help create innovative ways to</w:t>
      </w:r>
      <w:r w:rsidR="00FE456D" w:rsidRPr="26F64964">
        <w:rPr>
          <w:rFonts w:ascii="Calibri" w:eastAsia="Times New Roman" w:hAnsi="Calibri" w:cs="Calibri"/>
          <w:lang w:val="en-US" w:eastAsia="en-GB"/>
        </w:rPr>
        <w:t xml:space="preserve"> provide healthcare services for transplant patients. Future research should </w:t>
      </w:r>
      <w:proofErr w:type="gramStart"/>
      <w:r w:rsidR="00FE456D" w:rsidRPr="26F64964">
        <w:rPr>
          <w:rFonts w:ascii="Calibri" w:eastAsia="Times New Roman" w:hAnsi="Calibri" w:cs="Calibri"/>
          <w:lang w:val="en-US" w:eastAsia="en-GB"/>
        </w:rPr>
        <w:t>look into</w:t>
      </w:r>
      <w:proofErr w:type="gramEnd"/>
      <w:r w:rsidR="00FE456D" w:rsidRPr="26F64964">
        <w:rPr>
          <w:rFonts w:ascii="Calibri" w:eastAsia="Times New Roman" w:hAnsi="Calibri" w:cs="Calibri"/>
          <w:lang w:val="en-US" w:eastAsia="en-GB"/>
        </w:rPr>
        <w:t xml:space="preserve"> </w:t>
      </w:r>
      <w:r w:rsidR="000D0039" w:rsidRPr="26F64964">
        <w:rPr>
          <w:rFonts w:ascii="Calibri" w:eastAsia="Times New Roman" w:hAnsi="Calibri" w:cs="Calibri"/>
          <w:lang w:val="en-US" w:eastAsia="en-GB"/>
        </w:rPr>
        <w:t xml:space="preserve">assessing the adoption of emerging technologies within transplantation. </w:t>
      </w:r>
    </w:p>
    <w:p w14:paraId="4332EC01" w14:textId="63F02C32" w:rsidR="00585C15" w:rsidRDefault="00585C15" w:rsidP="00585C15">
      <w:pPr>
        <w:pStyle w:val="Heading3"/>
        <w:jc w:val="left"/>
        <w:rPr>
          <w:rFonts w:eastAsia="Times New Roman"/>
          <w:lang w:eastAsia="en-GB"/>
        </w:rPr>
      </w:pPr>
      <w:bookmarkStart w:id="52" w:name="_Toc166854016"/>
      <w:r>
        <w:rPr>
          <w:rFonts w:eastAsia="Times New Roman"/>
          <w:lang w:eastAsia="en-GB"/>
        </w:rPr>
        <w:t>5.2.2 Practical contributions</w:t>
      </w:r>
      <w:bookmarkEnd w:id="52"/>
    </w:p>
    <w:p w14:paraId="02FD6338" w14:textId="56617087" w:rsidR="003B5313" w:rsidRPr="00D33C9F" w:rsidRDefault="008E11CC" w:rsidP="00BE7C79">
      <w:pPr>
        <w:spacing w:line="360" w:lineRule="auto"/>
        <w:jc w:val="both"/>
        <w:rPr>
          <w:rFonts w:ascii="Calibri" w:eastAsia="Times New Roman" w:hAnsi="Calibri" w:cs="Calibri"/>
          <w:lang w:eastAsia="en-GB"/>
        </w:rPr>
      </w:pPr>
      <w:r w:rsidRPr="26F64964">
        <w:rPr>
          <w:rFonts w:ascii="Calibri" w:eastAsia="Times New Roman" w:hAnsi="Calibri" w:cs="Calibri"/>
          <w:highlight w:val="white"/>
          <w:lang w:eastAsia="en-GB"/>
        </w:rPr>
        <w:t>This research has</w:t>
      </w:r>
      <w:r w:rsidRPr="26F64964">
        <w:rPr>
          <w:rFonts w:ascii="Calibri" w:eastAsia="Times New Roman" w:hAnsi="Calibri" w:cs="Calibri"/>
          <w:lang w:eastAsia="en-GB"/>
        </w:rPr>
        <w:t xml:space="preserve"> </w:t>
      </w:r>
      <w:r w:rsidR="00BE7C79" w:rsidRPr="26F64964">
        <w:rPr>
          <w:rFonts w:ascii="Calibri" w:eastAsia="Times New Roman" w:hAnsi="Calibri" w:cs="Calibri"/>
          <w:lang w:eastAsia="en-GB"/>
        </w:rPr>
        <w:t>two</w:t>
      </w:r>
      <w:r w:rsidRPr="26F64964">
        <w:rPr>
          <w:rFonts w:ascii="Calibri" w:eastAsia="Times New Roman" w:hAnsi="Calibri" w:cs="Calibri"/>
          <w:lang w:eastAsia="en-GB"/>
        </w:rPr>
        <w:t xml:space="preserve"> </w:t>
      </w:r>
      <w:r w:rsidR="00D1049E" w:rsidRPr="26F64964">
        <w:rPr>
          <w:rFonts w:ascii="Calibri" w:eastAsia="Times New Roman" w:hAnsi="Calibri" w:cs="Calibri"/>
          <w:lang w:eastAsia="en-GB"/>
        </w:rPr>
        <w:t xml:space="preserve">main </w:t>
      </w:r>
      <w:r w:rsidRPr="26F64964">
        <w:rPr>
          <w:rFonts w:ascii="Calibri" w:eastAsia="Times New Roman" w:hAnsi="Calibri" w:cs="Calibri"/>
          <w:highlight w:val="white"/>
          <w:lang w:eastAsia="en-GB"/>
        </w:rPr>
        <w:t>practical contributions. Firstly, this study identified that</w:t>
      </w:r>
      <w:r w:rsidRPr="26F64964">
        <w:rPr>
          <w:rFonts w:ascii="Calibri" w:eastAsia="Times New Roman" w:hAnsi="Calibri" w:cs="Calibri"/>
          <w:lang w:eastAsia="en-GB"/>
        </w:rPr>
        <w:t xml:space="preserve"> </w:t>
      </w:r>
      <w:r w:rsidR="005D574B" w:rsidRPr="26F64964">
        <w:rPr>
          <w:rFonts w:ascii="Calibri" w:eastAsia="Times New Roman" w:hAnsi="Calibri" w:cs="Calibri"/>
          <w:lang w:eastAsia="en-GB"/>
        </w:rPr>
        <w:t xml:space="preserve">barriers to using digital health tools consist of the following: </w:t>
      </w:r>
      <w:r w:rsidR="006D57A6" w:rsidRPr="26F64964">
        <w:rPr>
          <w:rFonts w:ascii="Calibri" w:eastAsia="Times New Roman" w:hAnsi="Calibri" w:cs="Calibri"/>
          <w:lang w:eastAsia="en-GB"/>
        </w:rPr>
        <w:t xml:space="preserve">poor IT literacy, demographic and socio-economic factors, poor IT acceptance, manual and continuous data entry, inaccurate data from patients, lack of professional support, poor dissemination of digital intervention, costs, lack of human connection and outdated/inconsistent information. Knowledge of the various barriers will help policy makers and health institutions develop </w:t>
      </w:r>
      <w:r w:rsidR="00F10428" w:rsidRPr="26F64964">
        <w:rPr>
          <w:rFonts w:ascii="Calibri" w:eastAsia="Times New Roman" w:hAnsi="Calibri" w:cs="Calibri"/>
          <w:lang w:eastAsia="en-GB"/>
        </w:rPr>
        <w:t xml:space="preserve">strategies to improve access to digital health tools. </w:t>
      </w:r>
      <w:r w:rsidR="003B5313" w:rsidRPr="00D33C9F">
        <w:rPr>
          <w:rFonts w:ascii="Calibri" w:eastAsia="Times New Roman" w:hAnsi="Calibri" w:cs="Calibri"/>
          <w:lang w:eastAsia="en-GB"/>
        </w:rPr>
        <w:t xml:space="preserve">Policy makers and health institutions could look at implementing training programs and educational initiatives to improve IT literacy among transplant patients, healthcare providers and caregivers. These programs could look at providing basic computer skills, digital health literacy and specific training on how to use the </w:t>
      </w:r>
      <w:r w:rsidR="00595441" w:rsidRPr="00D33C9F">
        <w:rPr>
          <w:rFonts w:ascii="Calibri" w:eastAsia="Times New Roman" w:hAnsi="Calibri" w:cs="Calibri"/>
          <w:lang w:eastAsia="en-GB"/>
        </w:rPr>
        <w:t>eHealth tools.</w:t>
      </w:r>
      <w:r w:rsidR="009247BD" w:rsidRPr="00D33C9F">
        <w:rPr>
          <w:rFonts w:ascii="Calibri" w:eastAsia="Times New Roman" w:hAnsi="Calibri" w:cs="Calibri"/>
          <w:lang w:eastAsia="en-GB"/>
        </w:rPr>
        <w:t xml:space="preserve"> Health facilities could also </w:t>
      </w:r>
      <w:r w:rsidR="009247BD" w:rsidRPr="00D33C9F">
        <w:rPr>
          <w:rFonts w:ascii="Calibri" w:eastAsia="Times New Roman" w:hAnsi="Calibri" w:cs="Calibri"/>
          <w:lang w:eastAsia="en-GB"/>
        </w:rPr>
        <w:lastRenderedPageBreak/>
        <w:t>look at developing and distributing educational materials, online resources, and interactive tools to improve transplant stakeholders' understanding of eHealth concepts, benefits, and best practices. These materials could be tailored to the needs and preferences of different stakeholder groups and available in multiple languages to ensure accessibility.</w:t>
      </w:r>
    </w:p>
    <w:p w14:paraId="533C3D44" w14:textId="6A99CCA8" w:rsidR="00C124A2" w:rsidRPr="007F6B0B" w:rsidRDefault="00D1049E" w:rsidP="00BE7C79">
      <w:pPr>
        <w:spacing w:line="360" w:lineRule="auto"/>
        <w:jc w:val="both"/>
        <w:rPr>
          <w:rFonts w:ascii="Calibri" w:eastAsia="Times New Roman" w:hAnsi="Calibri" w:cs="Calibri"/>
          <w:lang w:eastAsia="en-GB"/>
        </w:rPr>
      </w:pPr>
      <w:r w:rsidRPr="26F64964">
        <w:rPr>
          <w:rFonts w:ascii="Calibri" w:eastAsia="Times New Roman" w:hAnsi="Calibri" w:cs="Calibri"/>
          <w:lang w:eastAsia="en-GB"/>
        </w:rPr>
        <w:t>This</w:t>
      </w:r>
      <w:r w:rsidR="000264CC" w:rsidRPr="26F64964">
        <w:rPr>
          <w:rFonts w:ascii="Calibri" w:eastAsia="Times New Roman" w:hAnsi="Calibri" w:cs="Calibri"/>
          <w:lang w:eastAsia="en-GB"/>
        </w:rPr>
        <w:t xml:space="preserve"> </w:t>
      </w:r>
      <w:r w:rsidR="008E11CC" w:rsidRPr="26F64964">
        <w:rPr>
          <w:rFonts w:ascii="Calibri" w:eastAsia="Times New Roman" w:hAnsi="Calibri" w:cs="Calibri"/>
          <w:lang w:eastAsia="en-GB"/>
        </w:rPr>
        <w:t xml:space="preserve">study </w:t>
      </w:r>
      <w:r w:rsidRPr="26F64964">
        <w:rPr>
          <w:rFonts w:ascii="Calibri" w:eastAsia="Times New Roman" w:hAnsi="Calibri" w:cs="Calibri"/>
          <w:lang w:eastAsia="en-GB"/>
        </w:rPr>
        <w:t xml:space="preserve">also provides </w:t>
      </w:r>
      <w:r w:rsidR="001E2955" w:rsidRPr="26F64964">
        <w:rPr>
          <w:rFonts w:ascii="Calibri" w:eastAsia="Times New Roman" w:hAnsi="Calibri" w:cs="Calibri"/>
          <w:lang w:eastAsia="en-GB"/>
        </w:rPr>
        <w:t xml:space="preserve">key considerations </w:t>
      </w:r>
      <w:r w:rsidR="001E2955" w:rsidRPr="26F64964">
        <w:rPr>
          <w:rFonts w:ascii="Calibri" w:eastAsia="Times New Roman" w:hAnsi="Calibri" w:cs="Calibri"/>
          <w:highlight w:val="white"/>
          <w:lang w:eastAsia="en-GB"/>
        </w:rPr>
        <w:t>in the development of digital health</w:t>
      </w:r>
      <w:r w:rsidR="001E2955" w:rsidRPr="26F64964">
        <w:rPr>
          <w:rFonts w:ascii="Calibri" w:eastAsia="Times New Roman" w:hAnsi="Calibri" w:cs="Calibri"/>
          <w:lang w:eastAsia="en-GB"/>
        </w:rPr>
        <w:t xml:space="preserve"> tools</w:t>
      </w:r>
      <w:r w:rsidR="00513443" w:rsidRPr="26F64964">
        <w:rPr>
          <w:rFonts w:ascii="Calibri" w:eastAsia="Times New Roman" w:hAnsi="Calibri" w:cs="Calibri"/>
          <w:lang w:eastAsia="en-GB"/>
        </w:rPr>
        <w:t>,</w:t>
      </w:r>
      <w:r w:rsidR="001E2955" w:rsidRPr="26F64964">
        <w:rPr>
          <w:rFonts w:ascii="Calibri" w:eastAsia="Times New Roman" w:hAnsi="Calibri" w:cs="Calibri"/>
          <w:lang w:eastAsia="en-GB"/>
        </w:rPr>
        <w:t xml:space="preserve"> which consist of </w:t>
      </w:r>
      <w:r w:rsidR="00D923AD" w:rsidRPr="26F64964">
        <w:rPr>
          <w:rFonts w:ascii="Calibri" w:eastAsia="Times New Roman" w:hAnsi="Calibri" w:cs="Calibri"/>
          <w:lang w:eastAsia="en-GB"/>
        </w:rPr>
        <w:t>patient-</w:t>
      </w:r>
      <w:proofErr w:type="spellStart"/>
      <w:r w:rsidR="001E2955" w:rsidRPr="26F64964">
        <w:rPr>
          <w:rFonts w:ascii="Calibri" w:eastAsia="Times New Roman" w:hAnsi="Calibri" w:cs="Calibri"/>
          <w:lang w:eastAsia="en-GB"/>
        </w:rPr>
        <w:t>centered</w:t>
      </w:r>
      <w:proofErr w:type="spellEnd"/>
      <w:r w:rsidR="001E2955" w:rsidRPr="26F64964">
        <w:rPr>
          <w:rFonts w:ascii="Calibri" w:eastAsia="Times New Roman" w:hAnsi="Calibri" w:cs="Calibri"/>
          <w:lang w:eastAsia="en-GB"/>
        </w:rPr>
        <w:t xml:space="preserve">, </w:t>
      </w:r>
      <w:r w:rsidR="00DA4966" w:rsidRPr="26F64964">
        <w:rPr>
          <w:rFonts w:ascii="Calibri" w:eastAsia="Times New Roman" w:hAnsi="Calibri" w:cs="Calibri"/>
          <w:lang w:eastAsia="en-GB"/>
        </w:rPr>
        <w:t xml:space="preserve">preparation and readiness. </w:t>
      </w:r>
      <w:r w:rsidR="008E11CC" w:rsidRPr="26F64964">
        <w:rPr>
          <w:rFonts w:ascii="Calibri" w:eastAsia="Times New Roman" w:hAnsi="Calibri" w:cs="Calibri"/>
          <w:lang w:eastAsia="en-GB"/>
        </w:rPr>
        <w:t xml:space="preserve">Therefore, it is </w:t>
      </w:r>
      <w:r w:rsidR="00DA4966" w:rsidRPr="26F64964">
        <w:rPr>
          <w:rFonts w:ascii="Calibri" w:eastAsia="Times New Roman" w:hAnsi="Calibri" w:cs="Calibri"/>
          <w:highlight w:val="white"/>
          <w:lang w:eastAsia="en-GB"/>
        </w:rPr>
        <w:t>important</w:t>
      </w:r>
      <w:r w:rsidR="008E11CC" w:rsidRPr="26F64964">
        <w:rPr>
          <w:rFonts w:ascii="Calibri" w:eastAsia="Times New Roman" w:hAnsi="Calibri" w:cs="Calibri"/>
          <w:highlight w:val="white"/>
          <w:lang w:eastAsia="en-GB"/>
        </w:rPr>
        <w:t xml:space="preserve"> for </w:t>
      </w:r>
      <w:r w:rsidR="00DA4966" w:rsidRPr="26F64964">
        <w:rPr>
          <w:rFonts w:ascii="Calibri" w:eastAsia="Times New Roman" w:hAnsi="Calibri" w:cs="Calibri"/>
          <w:highlight w:val="white"/>
          <w:lang w:eastAsia="en-GB"/>
        </w:rPr>
        <w:t>digital health</w:t>
      </w:r>
      <w:r w:rsidR="00DA4966" w:rsidRPr="26F64964">
        <w:rPr>
          <w:rFonts w:ascii="Calibri" w:eastAsia="Times New Roman" w:hAnsi="Calibri" w:cs="Calibri"/>
          <w:lang w:eastAsia="en-GB"/>
        </w:rPr>
        <w:t xml:space="preserve"> tool developers to consider </w:t>
      </w:r>
      <w:r w:rsidR="00C943EF" w:rsidRPr="26F64964">
        <w:rPr>
          <w:rFonts w:ascii="Calibri" w:eastAsia="Times New Roman" w:hAnsi="Calibri" w:cs="Calibri"/>
          <w:lang w:eastAsia="en-GB"/>
        </w:rPr>
        <w:t>these aspects and barriers</w:t>
      </w:r>
      <w:r w:rsidR="00021C43" w:rsidRPr="26F64964">
        <w:rPr>
          <w:rFonts w:ascii="Calibri" w:eastAsia="Times New Roman" w:hAnsi="Calibri" w:cs="Calibri"/>
          <w:lang w:eastAsia="en-GB"/>
        </w:rPr>
        <w:t xml:space="preserve"> while designing digital health tools</w:t>
      </w:r>
      <w:r w:rsidR="00C943EF" w:rsidRPr="26F64964">
        <w:rPr>
          <w:rFonts w:ascii="Calibri" w:eastAsia="Times New Roman" w:hAnsi="Calibri" w:cs="Calibri"/>
          <w:lang w:eastAsia="en-GB"/>
        </w:rPr>
        <w:t xml:space="preserve"> </w:t>
      </w:r>
      <w:r w:rsidR="008E11CC" w:rsidRPr="26F64964">
        <w:rPr>
          <w:rFonts w:ascii="Calibri" w:eastAsia="Times New Roman" w:hAnsi="Calibri" w:cs="Calibri"/>
          <w:lang w:eastAsia="en-GB"/>
        </w:rPr>
        <w:t xml:space="preserve">to improve the </w:t>
      </w:r>
      <w:r w:rsidR="003E4769" w:rsidRPr="26F64964">
        <w:rPr>
          <w:rFonts w:ascii="Calibri" w:eastAsia="Times New Roman" w:hAnsi="Calibri" w:cs="Calibri"/>
          <w:lang w:eastAsia="en-GB"/>
        </w:rPr>
        <w:t>adoption and effectiveness of</w:t>
      </w:r>
      <w:r w:rsidR="008E11CC" w:rsidRPr="26F64964">
        <w:rPr>
          <w:rFonts w:ascii="Calibri" w:eastAsia="Times New Roman" w:hAnsi="Calibri" w:cs="Calibri"/>
          <w:lang w:eastAsia="en-GB"/>
        </w:rPr>
        <w:t xml:space="preserve"> </w:t>
      </w:r>
      <w:r w:rsidR="00021C43" w:rsidRPr="26F64964">
        <w:rPr>
          <w:rFonts w:ascii="Calibri" w:eastAsia="Times New Roman" w:hAnsi="Calibri" w:cs="Calibri"/>
          <w:lang w:eastAsia="en-GB"/>
        </w:rPr>
        <w:t>these</w:t>
      </w:r>
      <w:r w:rsidR="003E4769" w:rsidRPr="26F64964">
        <w:rPr>
          <w:rFonts w:ascii="Calibri" w:eastAsia="Times New Roman" w:hAnsi="Calibri" w:cs="Calibri"/>
          <w:lang w:eastAsia="en-GB"/>
        </w:rPr>
        <w:t xml:space="preserve"> tools for end-users</w:t>
      </w:r>
      <w:r w:rsidR="00526B11" w:rsidRPr="26F64964">
        <w:rPr>
          <w:rFonts w:ascii="Calibri" w:eastAsia="Times New Roman" w:hAnsi="Calibri" w:cs="Calibri"/>
          <w:lang w:eastAsia="en-GB"/>
        </w:rPr>
        <w:t xml:space="preserve"> and all other involved stakeholders</w:t>
      </w:r>
      <w:r w:rsidR="003E4769" w:rsidRPr="26F64964">
        <w:rPr>
          <w:rFonts w:ascii="Calibri" w:eastAsia="Times New Roman" w:hAnsi="Calibri" w:cs="Calibri"/>
          <w:lang w:eastAsia="en-GB"/>
        </w:rPr>
        <w:t xml:space="preserve">. </w:t>
      </w:r>
    </w:p>
    <w:p w14:paraId="362E57B3" w14:textId="77777777" w:rsidR="00C124A2" w:rsidRDefault="00C124A2" w:rsidP="00596A18">
      <w:pPr>
        <w:rPr>
          <w:rFonts w:ascii="Calibri" w:eastAsia="Times New Roman" w:hAnsi="Calibri" w:cs="Calibri"/>
          <w:color w:val="212121"/>
          <w:lang w:eastAsia="en-GB"/>
        </w:rPr>
      </w:pPr>
    </w:p>
    <w:p w14:paraId="06A2D6FA" w14:textId="77777777" w:rsidR="00C124A2" w:rsidRDefault="00C124A2" w:rsidP="00596A18">
      <w:pPr>
        <w:rPr>
          <w:rFonts w:ascii="Calibri" w:eastAsia="Times New Roman" w:hAnsi="Calibri" w:cs="Calibri"/>
          <w:color w:val="212121"/>
          <w:lang w:eastAsia="en-GB"/>
        </w:rPr>
      </w:pPr>
    </w:p>
    <w:p w14:paraId="3F973308" w14:textId="77777777" w:rsidR="00C124A2" w:rsidRDefault="00C124A2" w:rsidP="00596A18">
      <w:pPr>
        <w:rPr>
          <w:rFonts w:ascii="Calibri" w:eastAsia="Times New Roman" w:hAnsi="Calibri" w:cs="Calibri"/>
          <w:color w:val="212121"/>
          <w:lang w:eastAsia="en-GB"/>
        </w:rPr>
      </w:pPr>
    </w:p>
    <w:p w14:paraId="104AA2DD" w14:textId="77777777" w:rsidR="009653CA" w:rsidRDefault="009653CA" w:rsidP="00596A18">
      <w:pPr>
        <w:rPr>
          <w:rFonts w:ascii="Calibri" w:eastAsia="Times New Roman" w:hAnsi="Calibri" w:cs="Calibri"/>
          <w:color w:val="212121"/>
          <w:lang w:eastAsia="en-GB"/>
        </w:rPr>
      </w:pPr>
    </w:p>
    <w:p w14:paraId="49DFAF2F" w14:textId="77777777" w:rsidR="009653CA" w:rsidRDefault="009653CA" w:rsidP="00596A18">
      <w:pPr>
        <w:rPr>
          <w:rFonts w:ascii="Calibri" w:eastAsia="Times New Roman" w:hAnsi="Calibri" w:cs="Calibri"/>
          <w:color w:val="212121"/>
          <w:lang w:eastAsia="en-GB"/>
        </w:rPr>
      </w:pPr>
    </w:p>
    <w:p w14:paraId="371F6B3F" w14:textId="77777777" w:rsidR="009653CA" w:rsidRDefault="009653CA" w:rsidP="00596A18">
      <w:pPr>
        <w:rPr>
          <w:rFonts w:ascii="Calibri" w:eastAsia="Times New Roman" w:hAnsi="Calibri" w:cs="Calibri"/>
          <w:color w:val="212121"/>
          <w:lang w:eastAsia="en-GB"/>
        </w:rPr>
      </w:pPr>
    </w:p>
    <w:p w14:paraId="6517C9D1" w14:textId="77777777" w:rsidR="006A7577" w:rsidRDefault="006A7577" w:rsidP="00596A18">
      <w:pPr>
        <w:rPr>
          <w:rFonts w:ascii="Calibri" w:eastAsia="Times New Roman" w:hAnsi="Calibri" w:cs="Calibri"/>
          <w:color w:val="212121"/>
          <w:lang w:eastAsia="en-GB"/>
        </w:rPr>
      </w:pPr>
    </w:p>
    <w:p w14:paraId="2FD07E8E" w14:textId="77777777" w:rsidR="0022646B" w:rsidRDefault="0022646B" w:rsidP="00596A18">
      <w:pPr>
        <w:rPr>
          <w:rFonts w:ascii="Calibri" w:eastAsia="Times New Roman" w:hAnsi="Calibri" w:cs="Calibri"/>
          <w:color w:val="212121"/>
          <w:lang w:eastAsia="en-GB"/>
        </w:rPr>
      </w:pPr>
    </w:p>
    <w:p w14:paraId="4D02C85C" w14:textId="77777777" w:rsidR="0022646B" w:rsidRDefault="0022646B" w:rsidP="00596A18">
      <w:pPr>
        <w:rPr>
          <w:rFonts w:ascii="Calibri" w:eastAsia="Times New Roman" w:hAnsi="Calibri" w:cs="Calibri"/>
          <w:color w:val="212121"/>
          <w:lang w:eastAsia="en-GB"/>
        </w:rPr>
      </w:pPr>
    </w:p>
    <w:p w14:paraId="612F5130" w14:textId="77777777" w:rsidR="0022646B" w:rsidRDefault="0022646B" w:rsidP="00596A18">
      <w:pPr>
        <w:rPr>
          <w:rFonts w:ascii="Calibri" w:eastAsia="Times New Roman" w:hAnsi="Calibri" w:cs="Calibri"/>
          <w:color w:val="212121"/>
          <w:lang w:eastAsia="en-GB"/>
        </w:rPr>
      </w:pPr>
    </w:p>
    <w:p w14:paraId="1FE92C0D" w14:textId="77777777" w:rsidR="0022646B" w:rsidRDefault="0022646B" w:rsidP="00596A18">
      <w:pPr>
        <w:rPr>
          <w:rFonts w:ascii="Calibri" w:eastAsia="Times New Roman" w:hAnsi="Calibri" w:cs="Calibri"/>
          <w:color w:val="212121"/>
          <w:lang w:eastAsia="en-GB"/>
        </w:rPr>
      </w:pPr>
    </w:p>
    <w:p w14:paraId="50C2DEFB" w14:textId="77777777" w:rsidR="0022646B" w:rsidRDefault="0022646B" w:rsidP="00596A18">
      <w:pPr>
        <w:rPr>
          <w:rFonts w:ascii="Calibri" w:eastAsia="Times New Roman" w:hAnsi="Calibri" w:cs="Calibri"/>
          <w:color w:val="212121"/>
          <w:lang w:eastAsia="en-GB"/>
        </w:rPr>
      </w:pPr>
    </w:p>
    <w:p w14:paraId="40FA14D3" w14:textId="77777777" w:rsidR="00DB0BA1" w:rsidRDefault="00DB0BA1" w:rsidP="00596A18">
      <w:pPr>
        <w:rPr>
          <w:rFonts w:ascii="Calibri" w:eastAsia="Times New Roman" w:hAnsi="Calibri" w:cs="Calibri"/>
          <w:color w:val="212121"/>
          <w:lang w:eastAsia="en-GB"/>
        </w:rPr>
      </w:pPr>
    </w:p>
    <w:p w14:paraId="26741118" w14:textId="77777777" w:rsidR="00DB0BA1" w:rsidRDefault="00DB0BA1" w:rsidP="00596A18">
      <w:pPr>
        <w:rPr>
          <w:rFonts w:ascii="Calibri" w:eastAsia="Times New Roman" w:hAnsi="Calibri" w:cs="Calibri"/>
          <w:color w:val="212121"/>
          <w:lang w:eastAsia="en-GB"/>
        </w:rPr>
      </w:pPr>
    </w:p>
    <w:p w14:paraId="6C552091" w14:textId="77777777" w:rsidR="00DB0BA1" w:rsidRDefault="00DB0BA1" w:rsidP="00596A18">
      <w:pPr>
        <w:rPr>
          <w:rFonts w:ascii="Calibri" w:eastAsia="Times New Roman" w:hAnsi="Calibri" w:cs="Calibri"/>
          <w:color w:val="212121"/>
          <w:lang w:eastAsia="en-GB"/>
        </w:rPr>
      </w:pPr>
    </w:p>
    <w:p w14:paraId="62AB0044" w14:textId="77777777" w:rsidR="00DB0BA1" w:rsidRDefault="00DB0BA1" w:rsidP="00596A18">
      <w:pPr>
        <w:rPr>
          <w:rFonts w:ascii="Calibri" w:eastAsia="Times New Roman" w:hAnsi="Calibri" w:cs="Calibri"/>
          <w:color w:val="212121"/>
          <w:lang w:eastAsia="en-GB"/>
        </w:rPr>
      </w:pPr>
    </w:p>
    <w:p w14:paraId="18B78035" w14:textId="77777777" w:rsidR="00DB0BA1" w:rsidRDefault="00DB0BA1" w:rsidP="00596A18">
      <w:pPr>
        <w:rPr>
          <w:rFonts w:ascii="Calibri" w:eastAsia="Times New Roman" w:hAnsi="Calibri" w:cs="Calibri"/>
          <w:color w:val="212121"/>
          <w:lang w:eastAsia="en-GB"/>
        </w:rPr>
      </w:pPr>
    </w:p>
    <w:p w14:paraId="24972E61" w14:textId="77777777" w:rsidR="00A513ED" w:rsidRDefault="00A513ED" w:rsidP="00596A18">
      <w:pPr>
        <w:rPr>
          <w:rFonts w:ascii="Calibri" w:eastAsia="Times New Roman" w:hAnsi="Calibri" w:cs="Calibri"/>
          <w:color w:val="212121"/>
          <w:lang w:eastAsia="en-GB"/>
        </w:rPr>
      </w:pPr>
    </w:p>
    <w:p w14:paraId="0F0C2C80" w14:textId="77777777" w:rsidR="008952F0" w:rsidRDefault="008952F0" w:rsidP="00596A18">
      <w:pPr>
        <w:rPr>
          <w:rFonts w:ascii="Calibri" w:eastAsia="Times New Roman" w:hAnsi="Calibri" w:cs="Calibri"/>
          <w:color w:val="212121"/>
          <w:lang w:eastAsia="en-GB"/>
        </w:rPr>
      </w:pPr>
    </w:p>
    <w:p w14:paraId="16C31722" w14:textId="77777777" w:rsidR="003C0070" w:rsidRDefault="003C0070" w:rsidP="00596A18">
      <w:pPr>
        <w:rPr>
          <w:rFonts w:ascii="Calibri" w:eastAsia="Times New Roman" w:hAnsi="Calibri" w:cs="Calibri"/>
          <w:color w:val="212121"/>
          <w:lang w:eastAsia="en-GB"/>
        </w:rPr>
      </w:pPr>
    </w:p>
    <w:p w14:paraId="255A8573" w14:textId="77777777" w:rsidR="003C0070" w:rsidRDefault="003C0070" w:rsidP="00596A18">
      <w:pPr>
        <w:rPr>
          <w:rFonts w:ascii="Calibri" w:eastAsia="Times New Roman" w:hAnsi="Calibri" w:cs="Calibri"/>
          <w:color w:val="212121"/>
          <w:lang w:eastAsia="en-GB"/>
        </w:rPr>
      </w:pPr>
    </w:p>
    <w:p w14:paraId="48BAFCA1" w14:textId="26A9CDF5" w:rsidR="00596A18" w:rsidRPr="00596A18" w:rsidRDefault="00596A18" w:rsidP="003E7243">
      <w:pPr>
        <w:pStyle w:val="Heading2"/>
        <w:rPr>
          <w:rFonts w:eastAsia="Times New Roman"/>
          <w:lang w:eastAsia="en-GB"/>
        </w:rPr>
      </w:pPr>
      <w:bookmarkStart w:id="53" w:name="_Toc166854017"/>
      <w:r w:rsidRPr="00596A18">
        <w:rPr>
          <w:rFonts w:eastAsia="Times New Roman"/>
          <w:lang w:eastAsia="en-GB"/>
        </w:rPr>
        <w:lastRenderedPageBreak/>
        <w:t>Reference</w:t>
      </w:r>
      <w:r w:rsidR="00C124A2">
        <w:rPr>
          <w:rFonts w:eastAsia="Times New Roman"/>
          <w:lang w:eastAsia="en-GB"/>
        </w:rPr>
        <w:t>s</w:t>
      </w:r>
      <w:bookmarkEnd w:id="53"/>
    </w:p>
    <w:p w14:paraId="3D3BB2C2" w14:textId="756DE1A2" w:rsidR="00A3126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val="en-US" w:eastAsia="en-GB"/>
        </w:rPr>
        <w:t xml:space="preserve">Abasi, S., Yazdani, A., Kiani, S., &amp; </w:t>
      </w:r>
      <w:proofErr w:type="spellStart"/>
      <w:r w:rsidRPr="26F64964">
        <w:rPr>
          <w:rFonts w:asciiTheme="minorHAnsi" w:eastAsia="Times New Roman" w:hAnsiTheme="minorHAnsi" w:cstheme="minorBidi"/>
          <w:lang w:val="en-US" w:eastAsia="en-GB"/>
        </w:rPr>
        <w:t>Mahmoudzadeh‐Sagheb</w:t>
      </w:r>
      <w:proofErr w:type="spellEnd"/>
      <w:r w:rsidRPr="26F64964">
        <w:rPr>
          <w:rFonts w:asciiTheme="minorHAnsi" w:eastAsia="Times New Roman" w:hAnsiTheme="minorHAnsi" w:cstheme="minorBidi"/>
          <w:lang w:val="en-US" w:eastAsia="en-GB"/>
        </w:rPr>
        <w:t xml:space="preserve">, Z. (2021). Effectiveness of mobile health‐based self‐management application for posttransplant cares: A </w:t>
      </w:r>
      <w:r w:rsidRPr="26F64964">
        <w:rPr>
          <w:rFonts w:asciiTheme="minorHAnsi" w:eastAsia="Times New Roman" w:hAnsiTheme="minorHAnsi" w:cstheme="minorBidi"/>
          <w:highlight w:val="white"/>
          <w:lang w:val="en-US" w:eastAsia="en-GB"/>
        </w:rPr>
        <w:t>systematic review. </w:t>
      </w:r>
      <w:r w:rsidRPr="26F64964">
        <w:rPr>
          <w:rFonts w:asciiTheme="minorHAnsi" w:eastAsia="Times New Roman" w:hAnsiTheme="minorHAnsi" w:cstheme="minorBidi"/>
          <w:i/>
          <w:iCs/>
          <w:highlight w:val="white"/>
          <w:lang w:val="en-US" w:eastAsia="en-GB"/>
        </w:rPr>
        <w:t>Health Science Reports</w:t>
      </w:r>
      <w:r w:rsidRPr="26F64964">
        <w:rPr>
          <w:rFonts w:asciiTheme="minorHAnsi" w:eastAsia="Times New Roman" w:hAnsiTheme="minorHAnsi" w:cstheme="minorBidi"/>
          <w:highlight w:val="white"/>
          <w:lang w:val="en-US" w:eastAsia="en-GB"/>
        </w:rPr>
        <w:t>, </w:t>
      </w:r>
      <w:r w:rsidRPr="26F64964">
        <w:rPr>
          <w:rFonts w:asciiTheme="minorHAnsi" w:eastAsia="Times New Roman" w:hAnsiTheme="minorHAnsi" w:cstheme="minorBidi"/>
          <w:i/>
          <w:iCs/>
          <w:highlight w:val="white"/>
          <w:lang w:val="en-US" w:eastAsia="en-GB"/>
        </w:rPr>
        <w:t>4</w:t>
      </w:r>
      <w:r w:rsidRPr="26F64964">
        <w:rPr>
          <w:rFonts w:asciiTheme="minorHAnsi" w:eastAsia="Times New Roman" w:hAnsiTheme="minorHAnsi" w:cstheme="minorBidi"/>
          <w:highlight w:val="white"/>
          <w:lang w:val="en-US" w:eastAsia="en-GB"/>
        </w:rPr>
        <w:t>(4</w:t>
      </w:r>
      <w:r w:rsidRPr="26F64964">
        <w:rPr>
          <w:rFonts w:asciiTheme="minorHAnsi" w:eastAsia="Times New Roman" w:hAnsiTheme="minorHAnsi" w:cstheme="minorBidi"/>
          <w:lang w:val="en-US" w:eastAsia="en-GB"/>
        </w:rPr>
        <w:t xml:space="preserve">), </w:t>
      </w:r>
      <w:r w:rsidR="009E12F9" w:rsidRPr="26F64964">
        <w:rPr>
          <w:rFonts w:asciiTheme="minorHAnsi" w:eastAsia="Times New Roman" w:hAnsiTheme="minorHAnsi" w:cstheme="minorBidi"/>
          <w:lang w:val="en-US" w:eastAsia="en-GB"/>
        </w:rPr>
        <w:t xml:space="preserve">Article </w:t>
      </w:r>
      <w:r w:rsidRPr="26F64964">
        <w:rPr>
          <w:rFonts w:asciiTheme="minorHAnsi" w:eastAsia="Times New Roman" w:hAnsiTheme="minorHAnsi" w:cstheme="minorBidi"/>
          <w:highlight w:val="white"/>
          <w:lang w:val="en-US" w:eastAsia="en-GB"/>
        </w:rPr>
        <w:t>e434</w:t>
      </w:r>
      <w:r w:rsidRPr="26F64964">
        <w:rPr>
          <w:rFonts w:asciiTheme="minorHAnsi" w:eastAsia="Times New Roman" w:hAnsiTheme="minorHAnsi" w:cstheme="minorBidi"/>
          <w:lang w:val="en-US" w:eastAsia="en-GB"/>
        </w:rPr>
        <w:t>.</w:t>
      </w:r>
    </w:p>
    <w:p w14:paraId="3B3A222B" w14:textId="3205C311" w:rsidR="00F36AD7" w:rsidRPr="009E12F9" w:rsidRDefault="00F36AD7" w:rsidP="00413528">
      <w:pPr>
        <w:spacing w:line="240" w:lineRule="auto"/>
        <w:ind w:hanging="720"/>
        <w:rPr>
          <w:rFonts w:asciiTheme="minorHAnsi" w:eastAsia="Times New Roman" w:hAnsiTheme="minorHAnsi" w:cstheme="minorBidi"/>
          <w:lang w:val="en-US" w:eastAsia="en-GB"/>
        </w:rPr>
      </w:pPr>
      <w:r w:rsidRPr="00F36AD7">
        <w:rPr>
          <w:rFonts w:asciiTheme="minorHAnsi" w:eastAsia="Times New Roman" w:hAnsiTheme="minorHAnsi" w:cstheme="minorBidi"/>
          <w:lang w:eastAsia="en-GB"/>
        </w:rPr>
        <w:t xml:space="preserve">Adib, R., Das, D., Ahamed, S. I., &amp; </w:t>
      </w:r>
      <w:proofErr w:type="spellStart"/>
      <w:r w:rsidRPr="00F36AD7">
        <w:rPr>
          <w:rFonts w:asciiTheme="minorHAnsi" w:eastAsia="Times New Roman" w:hAnsiTheme="minorHAnsi" w:cstheme="minorBidi"/>
          <w:lang w:eastAsia="en-GB"/>
        </w:rPr>
        <w:t>Lerret</w:t>
      </w:r>
      <w:proofErr w:type="spellEnd"/>
      <w:r w:rsidRPr="00F36AD7">
        <w:rPr>
          <w:rFonts w:asciiTheme="minorHAnsi" w:eastAsia="Times New Roman" w:hAnsiTheme="minorHAnsi" w:cstheme="minorBidi"/>
          <w:lang w:eastAsia="en-GB"/>
        </w:rPr>
        <w:t xml:space="preserve">, S. M. (2022). An mHealth </w:t>
      </w:r>
      <w:r>
        <w:rPr>
          <w:rFonts w:asciiTheme="minorHAnsi" w:eastAsia="Times New Roman" w:hAnsiTheme="minorHAnsi" w:cstheme="minorBidi"/>
          <w:lang w:eastAsia="en-GB"/>
        </w:rPr>
        <w:t>a</w:t>
      </w:r>
      <w:r w:rsidRPr="00F36AD7">
        <w:rPr>
          <w:rFonts w:asciiTheme="minorHAnsi" w:eastAsia="Times New Roman" w:hAnsiTheme="minorHAnsi" w:cstheme="minorBidi"/>
          <w:lang w:eastAsia="en-GB"/>
        </w:rPr>
        <w:t>pp-</w:t>
      </w:r>
      <w:r>
        <w:rPr>
          <w:rFonts w:asciiTheme="minorHAnsi" w:eastAsia="Times New Roman" w:hAnsiTheme="minorHAnsi" w:cstheme="minorBidi"/>
          <w:lang w:eastAsia="en-GB"/>
        </w:rPr>
        <w:t>b</w:t>
      </w:r>
      <w:r w:rsidRPr="00F36AD7">
        <w:rPr>
          <w:rFonts w:asciiTheme="minorHAnsi" w:eastAsia="Times New Roman" w:hAnsiTheme="minorHAnsi" w:cstheme="minorBidi"/>
          <w:lang w:eastAsia="en-GB"/>
        </w:rPr>
        <w:t xml:space="preserve">ased </w:t>
      </w:r>
      <w:r>
        <w:rPr>
          <w:rFonts w:asciiTheme="minorHAnsi" w:eastAsia="Times New Roman" w:hAnsiTheme="minorHAnsi" w:cstheme="minorBidi"/>
          <w:lang w:eastAsia="en-GB"/>
        </w:rPr>
        <w:t>s</w:t>
      </w:r>
      <w:r w:rsidRPr="00F36AD7">
        <w:rPr>
          <w:rFonts w:asciiTheme="minorHAnsi" w:eastAsia="Times New Roman" w:hAnsiTheme="minorHAnsi" w:cstheme="minorBidi"/>
          <w:lang w:eastAsia="en-GB"/>
        </w:rPr>
        <w:t xml:space="preserve">elf-management </w:t>
      </w:r>
      <w:r>
        <w:rPr>
          <w:rFonts w:asciiTheme="minorHAnsi" w:eastAsia="Times New Roman" w:hAnsiTheme="minorHAnsi" w:cstheme="minorBidi"/>
          <w:lang w:eastAsia="en-GB"/>
        </w:rPr>
        <w:t>i</w:t>
      </w:r>
      <w:r w:rsidRPr="00F36AD7">
        <w:rPr>
          <w:rFonts w:asciiTheme="minorHAnsi" w:eastAsia="Times New Roman" w:hAnsiTheme="minorHAnsi" w:cstheme="minorBidi"/>
          <w:lang w:eastAsia="en-GB"/>
        </w:rPr>
        <w:t xml:space="preserve">ntervention for </w:t>
      </w:r>
      <w:r>
        <w:rPr>
          <w:rFonts w:asciiTheme="minorHAnsi" w:eastAsia="Times New Roman" w:hAnsiTheme="minorHAnsi" w:cstheme="minorBidi"/>
          <w:lang w:eastAsia="en-GB"/>
        </w:rPr>
        <w:t>f</w:t>
      </w:r>
      <w:r w:rsidRPr="00F36AD7">
        <w:rPr>
          <w:rFonts w:asciiTheme="minorHAnsi" w:eastAsia="Times New Roman" w:hAnsiTheme="minorHAnsi" w:cstheme="minorBidi"/>
          <w:lang w:eastAsia="en-GB"/>
        </w:rPr>
        <w:t xml:space="preserve">amily </w:t>
      </w:r>
      <w:r>
        <w:rPr>
          <w:rFonts w:asciiTheme="minorHAnsi" w:eastAsia="Times New Roman" w:hAnsiTheme="minorHAnsi" w:cstheme="minorBidi"/>
          <w:lang w:eastAsia="en-GB"/>
        </w:rPr>
        <w:t>m</w:t>
      </w:r>
      <w:r w:rsidRPr="00F36AD7">
        <w:rPr>
          <w:rFonts w:asciiTheme="minorHAnsi" w:eastAsia="Times New Roman" w:hAnsiTheme="minorHAnsi" w:cstheme="minorBidi"/>
          <w:lang w:eastAsia="en-GB"/>
        </w:rPr>
        <w:t xml:space="preserve">embers of </w:t>
      </w:r>
      <w:proofErr w:type="spellStart"/>
      <w:r>
        <w:rPr>
          <w:rFonts w:asciiTheme="minorHAnsi" w:eastAsia="Times New Roman" w:hAnsiTheme="minorHAnsi" w:cstheme="minorBidi"/>
          <w:lang w:eastAsia="en-GB"/>
        </w:rPr>
        <w:t>p</w:t>
      </w:r>
      <w:r w:rsidRPr="00F36AD7">
        <w:rPr>
          <w:rFonts w:asciiTheme="minorHAnsi" w:eastAsia="Times New Roman" w:hAnsiTheme="minorHAnsi" w:cstheme="minorBidi"/>
          <w:lang w:eastAsia="en-GB"/>
        </w:rPr>
        <w:t>ediatric</w:t>
      </w:r>
      <w:proofErr w:type="spellEnd"/>
      <w:r w:rsidRPr="00F36AD7">
        <w:rPr>
          <w:rFonts w:asciiTheme="minorHAnsi" w:eastAsia="Times New Roman" w:hAnsiTheme="minorHAnsi" w:cstheme="minorBidi"/>
          <w:lang w:eastAsia="en-GB"/>
        </w:rPr>
        <w:t xml:space="preserve"> </w:t>
      </w:r>
      <w:r>
        <w:rPr>
          <w:rFonts w:asciiTheme="minorHAnsi" w:eastAsia="Times New Roman" w:hAnsiTheme="minorHAnsi" w:cstheme="minorBidi"/>
          <w:lang w:eastAsia="en-GB"/>
        </w:rPr>
        <w:t>t</w:t>
      </w:r>
      <w:r w:rsidRPr="00F36AD7">
        <w:rPr>
          <w:rFonts w:asciiTheme="minorHAnsi" w:eastAsia="Times New Roman" w:hAnsiTheme="minorHAnsi" w:cstheme="minorBidi"/>
          <w:lang w:eastAsia="en-GB"/>
        </w:rPr>
        <w:t xml:space="preserve">ransplant </w:t>
      </w:r>
      <w:r>
        <w:rPr>
          <w:rFonts w:asciiTheme="minorHAnsi" w:eastAsia="Times New Roman" w:hAnsiTheme="minorHAnsi" w:cstheme="minorBidi"/>
          <w:lang w:eastAsia="en-GB"/>
        </w:rPr>
        <w:t>r</w:t>
      </w:r>
      <w:r w:rsidRPr="00F36AD7">
        <w:rPr>
          <w:rFonts w:asciiTheme="minorHAnsi" w:eastAsia="Times New Roman" w:hAnsiTheme="minorHAnsi" w:cstheme="minorBidi"/>
          <w:lang w:eastAsia="en-GB"/>
        </w:rPr>
        <w:t>ecipients (</w:t>
      </w:r>
      <w:proofErr w:type="spellStart"/>
      <w:r w:rsidRPr="00F36AD7">
        <w:rPr>
          <w:rFonts w:asciiTheme="minorHAnsi" w:eastAsia="Times New Roman" w:hAnsiTheme="minorHAnsi" w:cstheme="minorBidi"/>
          <w:lang w:eastAsia="en-GB"/>
        </w:rPr>
        <w:t>myFAMI</w:t>
      </w:r>
      <w:proofErr w:type="spellEnd"/>
      <w:r w:rsidRPr="00F36AD7">
        <w:rPr>
          <w:rFonts w:asciiTheme="minorHAnsi" w:eastAsia="Times New Roman" w:hAnsiTheme="minorHAnsi" w:cstheme="minorBidi"/>
          <w:lang w:eastAsia="en-GB"/>
        </w:rPr>
        <w:t xml:space="preserve">): Framework </w:t>
      </w:r>
      <w:r>
        <w:rPr>
          <w:rFonts w:asciiTheme="minorHAnsi" w:eastAsia="Times New Roman" w:hAnsiTheme="minorHAnsi" w:cstheme="minorBidi"/>
          <w:lang w:eastAsia="en-GB"/>
        </w:rPr>
        <w:t>d</w:t>
      </w:r>
      <w:r w:rsidRPr="00F36AD7">
        <w:rPr>
          <w:rFonts w:asciiTheme="minorHAnsi" w:eastAsia="Times New Roman" w:hAnsiTheme="minorHAnsi" w:cstheme="minorBidi"/>
          <w:lang w:eastAsia="en-GB"/>
        </w:rPr>
        <w:t xml:space="preserve">esign and </w:t>
      </w:r>
      <w:r>
        <w:rPr>
          <w:rFonts w:asciiTheme="minorHAnsi" w:eastAsia="Times New Roman" w:hAnsiTheme="minorHAnsi" w:cstheme="minorBidi"/>
          <w:lang w:eastAsia="en-GB"/>
        </w:rPr>
        <w:t>d</w:t>
      </w:r>
      <w:r w:rsidRPr="00F36AD7">
        <w:rPr>
          <w:rFonts w:asciiTheme="minorHAnsi" w:eastAsia="Times New Roman" w:hAnsiTheme="minorHAnsi" w:cstheme="minorBidi"/>
          <w:lang w:eastAsia="en-GB"/>
        </w:rPr>
        <w:t xml:space="preserve">evelopment </w:t>
      </w:r>
      <w:r>
        <w:rPr>
          <w:rFonts w:asciiTheme="minorHAnsi" w:eastAsia="Times New Roman" w:hAnsiTheme="minorHAnsi" w:cstheme="minorBidi"/>
          <w:lang w:eastAsia="en-GB"/>
        </w:rPr>
        <w:t>s</w:t>
      </w:r>
      <w:r w:rsidRPr="00F36AD7">
        <w:rPr>
          <w:rFonts w:asciiTheme="minorHAnsi" w:eastAsia="Times New Roman" w:hAnsiTheme="minorHAnsi" w:cstheme="minorBidi"/>
          <w:lang w:eastAsia="en-GB"/>
        </w:rPr>
        <w:t>tudy. </w:t>
      </w:r>
      <w:r w:rsidRPr="00F36AD7">
        <w:rPr>
          <w:rFonts w:asciiTheme="minorHAnsi" w:eastAsia="Times New Roman" w:hAnsiTheme="minorHAnsi" w:cstheme="minorBidi"/>
          <w:i/>
          <w:iCs/>
          <w:lang w:eastAsia="en-GB"/>
        </w:rPr>
        <w:t>JMIR Nursing</w:t>
      </w:r>
      <w:r w:rsidRPr="00F36AD7">
        <w:rPr>
          <w:rFonts w:asciiTheme="minorHAnsi" w:eastAsia="Times New Roman" w:hAnsiTheme="minorHAnsi" w:cstheme="minorBidi"/>
          <w:lang w:eastAsia="en-GB"/>
        </w:rPr>
        <w:t>, </w:t>
      </w:r>
      <w:r w:rsidRPr="00F36AD7">
        <w:rPr>
          <w:rFonts w:asciiTheme="minorHAnsi" w:eastAsia="Times New Roman" w:hAnsiTheme="minorHAnsi" w:cstheme="minorBidi"/>
          <w:i/>
          <w:iCs/>
          <w:lang w:eastAsia="en-GB"/>
        </w:rPr>
        <w:t>5</w:t>
      </w:r>
      <w:r w:rsidRPr="00F36AD7">
        <w:rPr>
          <w:rFonts w:asciiTheme="minorHAnsi" w:eastAsia="Times New Roman" w:hAnsiTheme="minorHAnsi" w:cstheme="minorBidi"/>
          <w:lang w:eastAsia="en-GB"/>
        </w:rPr>
        <w:t xml:space="preserve">(1), </w:t>
      </w:r>
      <w:r w:rsidR="00BA5733">
        <w:rPr>
          <w:rFonts w:asciiTheme="minorHAnsi" w:eastAsia="Times New Roman" w:hAnsiTheme="minorHAnsi" w:cstheme="minorBidi"/>
          <w:lang w:eastAsia="en-GB"/>
        </w:rPr>
        <w:t xml:space="preserve">Article </w:t>
      </w:r>
      <w:r w:rsidRPr="00F36AD7">
        <w:rPr>
          <w:rFonts w:asciiTheme="minorHAnsi" w:eastAsia="Times New Roman" w:hAnsiTheme="minorHAnsi" w:cstheme="minorBidi"/>
          <w:lang w:eastAsia="en-GB"/>
        </w:rPr>
        <w:t>e32785.</w:t>
      </w:r>
    </w:p>
    <w:p w14:paraId="515FE247" w14:textId="56F5B5F3" w:rsidR="007027B6" w:rsidRPr="009E12F9" w:rsidRDefault="007027B6" w:rsidP="00413528">
      <w:pPr>
        <w:spacing w:line="240" w:lineRule="auto"/>
        <w:ind w:hanging="720"/>
        <w:rPr>
          <w:rFonts w:asciiTheme="minorHAnsi" w:eastAsia="Times New Roman" w:hAnsiTheme="minorHAnsi" w:cstheme="minorBidi"/>
          <w:lang w:val="en-US" w:eastAsia="en-GB"/>
        </w:rPr>
      </w:pPr>
      <w:proofErr w:type="spellStart"/>
      <w:r w:rsidRPr="6A640EE8">
        <w:rPr>
          <w:rFonts w:asciiTheme="minorHAnsi" w:eastAsia="Times New Roman" w:hAnsiTheme="minorHAnsi" w:cstheme="minorBidi"/>
          <w:highlight w:val="white"/>
          <w:lang w:eastAsia="en-GB"/>
        </w:rPr>
        <w:t>Alkinoon</w:t>
      </w:r>
      <w:proofErr w:type="spellEnd"/>
      <w:r w:rsidRPr="6A640EE8">
        <w:rPr>
          <w:rFonts w:asciiTheme="minorHAnsi" w:eastAsia="Times New Roman" w:hAnsiTheme="minorHAnsi" w:cstheme="minorBidi"/>
          <w:highlight w:val="white"/>
          <w:lang w:eastAsia="en-GB"/>
        </w:rPr>
        <w:t xml:space="preserve">, M., Choi, S. J., &amp; </w:t>
      </w:r>
      <w:proofErr w:type="spellStart"/>
      <w:r w:rsidRPr="6A640EE8">
        <w:rPr>
          <w:rFonts w:asciiTheme="minorHAnsi" w:eastAsia="Times New Roman" w:hAnsiTheme="minorHAnsi" w:cstheme="minorBidi"/>
          <w:highlight w:val="white"/>
          <w:lang w:eastAsia="en-GB"/>
        </w:rPr>
        <w:t>Mohaisen</w:t>
      </w:r>
      <w:proofErr w:type="spellEnd"/>
      <w:r w:rsidRPr="6A640EE8">
        <w:rPr>
          <w:rFonts w:asciiTheme="minorHAnsi" w:eastAsia="Times New Roman" w:hAnsiTheme="minorHAnsi" w:cstheme="minorBidi"/>
          <w:highlight w:val="white"/>
          <w:lang w:eastAsia="en-GB"/>
        </w:rPr>
        <w:t xml:space="preserve">, D. (2021). Measuring healthcare data breaches. </w:t>
      </w:r>
      <w:r w:rsidRPr="6A640EE8">
        <w:rPr>
          <w:rFonts w:asciiTheme="minorHAnsi" w:eastAsia="Times New Roman" w:hAnsiTheme="minorHAnsi" w:cstheme="minorBidi"/>
          <w:i/>
          <w:highlight w:val="white"/>
          <w:lang w:eastAsia="en-GB"/>
        </w:rPr>
        <w:t>Information Security Applications</w:t>
      </w:r>
      <w:r w:rsidR="009E12F9" w:rsidRPr="6A640EE8">
        <w:rPr>
          <w:rFonts w:asciiTheme="minorHAnsi" w:eastAsia="Times New Roman" w:hAnsiTheme="minorHAnsi" w:cstheme="minorBidi"/>
          <w:highlight w:val="white"/>
          <w:lang w:eastAsia="en-GB"/>
        </w:rPr>
        <w:t xml:space="preserve">, </w:t>
      </w:r>
      <w:r w:rsidRPr="6A640EE8">
        <w:rPr>
          <w:rFonts w:asciiTheme="minorHAnsi" w:eastAsia="Times New Roman" w:hAnsiTheme="minorHAnsi" w:cstheme="minorBidi"/>
          <w:highlight w:val="white"/>
          <w:lang w:eastAsia="en-GB"/>
        </w:rPr>
        <w:t>265-277</w:t>
      </w:r>
      <w:r w:rsidR="009E12F9" w:rsidRPr="6A640EE8">
        <w:rPr>
          <w:rFonts w:asciiTheme="minorHAnsi" w:eastAsia="Times New Roman" w:hAnsiTheme="minorHAnsi" w:cstheme="minorBidi"/>
          <w:highlight w:val="white"/>
          <w:lang w:eastAsia="en-GB"/>
        </w:rPr>
        <w:t>.</w:t>
      </w:r>
      <w:r w:rsidR="009E12F9" w:rsidRPr="26F64964">
        <w:rPr>
          <w:rFonts w:asciiTheme="minorHAnsi" w:eastAsia="Times New Roman" w:hAnsiTheme="minorHAnsi" w:cstheme="minorBidi"/>
          <w:lang w:eastAsia="en-GB"/>
        </w:rPr>
        <w:t xml:space="preserve"> </w:t>
      </w:r>
    </w:p>
    <w:p w14:paraId="36459963" w14:textId="435D085C" w:rsidR="00A3126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val="en-US" w:eastAsia="en-GB"/>
        </w:rPr>
        <w:t xml:space="preserve">Alvarez‐Perea, A., Dimov, V., Popescu, F. D., &amp; Zubeldia, J. M. (2021). The </w:t>
      </w:r>
      <w:r w:rsidRPr="26F64964">
        <w:rPr>
          <w:rFonts w:asciiTheme="minorHAnsi" w:eastAsia="Times New Roman" w:hAnsiTheme="minorHAnsi" w:cstheme="minorBidi"/>
          <w:highlight w:val="white"/>
          <w:lang w:val="en-US" w:eastAsia="en-GB"/>
        </w:rPr>
        <w:t>applications of eHealth technologies in the management of asthma and allergic</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diseases. </w:t>
      </w:r>
      <w:r w:rsidRPr="26F64964">
        <w:rPr>
          <w:rFonts w:asciiTheme="minorHAnsi" w:eastAsia="Times New Roman" w:hAnsiTheme="minorHAnsi" w:cstheme="minorBidi"/>
          <w:i/>
          <w:iCs/>
          <w:highlight w:val="white"/>
          <w:lang w:val="en-US" w:eastAsia="en-GB"/>
        </w:rPr>
        <w:t>Clinical and Translational Allergy</w:t>
      </w:r>
      <w:r w:rsidRPr="26F64964">
        <w:rPr>
          <w:rFonts w:asciiTheme="minorHAnsi" w:eastAsia="Times New Roman" w:hAnsiTheme="minorHAnsi" w:cstheme="minorBidi"/>
          <w:highlight w:val="white"/>
          <w:lang w:val="en-US" w:eastAsia="en-GB"/>
        </w:rPr>
        <w:t>, </w:t>
      </w:r>
      <w:r w:rsidRPr="26F64964">
        <w:rPr>
          <w:rFonts w:asciiTheme="minorHAnsi" w:eastAsia="Times New Roman" w:hAnsiTheme="minorHAnsi" w:cstheme="minorBidi"/>
          <w:i/>
          <w:iCs/>
          <w:highlight w:val="white"/>
          <w:lang w:val="en-US" w:eastAsia="en-GB"/>
        </w:rPr>
        <w:t>11</w:t>
      </w:r>
      <w:r w:rsidRPr="26F64964">
        <w:rPr>
          <w:rFonts w:asciiTheme="minorHAnsi" w:eastAsia="Times New Roman" w:hAnsiTheme="minorHAnsi" w:cstheme="minorBidi"/>
          <w:highlight w:val="white"/>
          <w:lang w:val="en-US" w:eastAsia="en-GB"/>
        </w:rPr>
        <w:t>(7</w:t>
      </w:r>
      <w:r w:rsidRPr="26F64964">
        <w:rPr>
          <w:rFonts w:asciiTheme="minorHAnsi" w:eastAsia="Times New Roman" w:hAnsiTheme="minorHAnsi" w:cstheme="minorBidi"/>
          <w:lang w:val="en-US" w:eastAsia="en-GB"/>
        </w:rPr>
        <w:t xml:space="preserve">), </w:t>
      </w:r>
      <w:r w:rsidR="00962EE0" w:rsidRPr="26F64964">
        <w:rPr>
          <w:rFonts w:asciiTheme="minorHAnsi" w:eastAsia="Times New Roman" w:hAnsiTheme="minorHAnsi" w:cstheme="minorBidi"/>
          <w:lang w:val="en-US" w:eastAsia="en-GB"/>
        </w:rPr>
        <w:t xml:space="preserve">Article </w:t>
      </w:r>
      <w:r w:rsidRPr="26F64964">
        <w:rPr>
          <w:rFonts w:asciiTheme="minorHAnsi" w:eastAsia="Times New Roman" w:hAnsiTheme="minorHAnsi" w:cstheme="minorBidi"/>
          <w:highlight w:val="white"/>
          <w:lang w:val="en-US" w:eastAsia="en-GB"/>
        </w:rPr>
        <w:t>e12061</w:t>
      </w:r>
      <w:r w:rsidRPr="26F64964">
        <w:rPr>
          <w:rFonts w:asciiTheme="minorHAnsi" w:eastAsia="Times New Roman" w:hAnsiTheme="minorHAnsi" w:cstheme="minorBidi"/>
          <w:lang w:val="en-US" w:eastAsia="en-GB"/>
        </w:rPr>
        <w:t>.</w:t>
      </w:r>
    </w:p>
    <w:p w14:paraId="393D1B9C" w14:textId="24F01DDF" w:rsidR="0023098F" w:rsidRPr="00D33C9F" w:rsidRDefault="0023098F"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 xml:space="preserve">Alvesson, M., &amp; Sandberg, J. (2020). The problematizing review: A counterpoint to </w:t>
      </w:r>
      <w:proofErr w:type="spellStart"/>
      <w:r w:rsidRPr="00D33C9F">
        <w:rPr>
          <w:rFonts w:asciiTheme="minorHAnsi" w:eastAsia="Times New Roman" w:hAnsiTheme="minorHAnsi" w:cstheme="minorBidi"/>
          <w:lang w:eastAsia="en-GB"/>
        </w:rPr>
        <w:t>Elsbach</w:t>
      </w:r>
      <w:proofErr w:type="spellEnd"/>
      <w:r w:rsidRPr="00D33C9F">
        <w:rPr>
          <w:rFonts w:asciiTheme="minorHAnsi" w:eastAsia="Times New Roman" w:hAnsiTheme="minorHAnsi" w:cstheme="minorBidi"/>
          <w:lang w:eastAsia="en-GB"/>
        </w:rPr>
        <w:t xml:space="preserve"> and Van Knippenberg’s argument for integrative reviews. </w:t>
      </w:r>
      <w:r w:rsidRPr="00D33C9F">
        <w:rPr>
          <w:rFonts w:asciiTheme="minorHAnsi" w:eastAsia="Times New Roman" w:hAnsiTheme="minorHAnsi" w:cstheme="minorBidi"/>
          <w:i/>
          <w:iCs/>
          <w:lang w:eastAsia="en-GB"/>
        </w:rPr>
        <w:t>Journal of Management Studies, 57</w:t>
      </w:r>
      <w:r w:rsidRPr="00D33C9F">
        <w:rPr>
          <w:rFonts w:asciiTheme="minorHAnsi" w:eastAsia="Times New Roman" w:hAnsiTheme="minorHAnsi" w:cstheme="minorBidi"/>
          <w:lang w:eastAsia="en-GB"/>
        </w:rPr>
        <w:t>(6), 1290-1304.</w:t>
      </w:r>
    </w:p>
    <w:p w14:paraId="4E3C1693" w14:textId="3057F41F" w:rsidR="00815963" w:rsidRPr="009E12F9" w:rsidRDefault="00815963" w:rsidP="00413528">
      <w:pPr>
        <w:spacing w:line="240" w:lineRule="auto"/>
        <w:ind w:hanging="720"/>
        <w:rPr>
          <w:rFonts w:asciiTheme="minorHAnsi" w:eastAsia="Times New Roman" w:hAnsiTheme="minorHAnsi" w:cstheme="minorBidi"/>
          <w:lang w:val="en-US" w:eastAsia="en-GB"/>
        </w:rPr>
      </w:pPr>
      <w:r w:rsidRPr="00815963">
        <w:rPr>
          <w:rFonts w:asciiTheme="minorHAnsi" w:eastAsia="Times New Roman" w:hAnsiTheme="minorHAnsi" w:cstheme="minorBidi"/>
          <w:lang w:eastAsia="en-GB"/>
        </w:rPr>
        <w:t xml:space="preserve">Anton, C. M., Drake, M. B., Butts, R. J., Cao, T., </w:t>
      </w:r>
      <w:proofErr w:type="spellStart"/>
      <w:r w:rsidRPr="00815963">
        <w:rPr>
          <w:rFonts w:asciiTheme="minorHAnsi" w:eastAsia="Times New Roman" w:hAnsiTheme="minorHAnsi" w:cstheme="minorBidi"/>
          <w:lang w:eastAsia="en-GB"/>
        </w:rPr>
        <w:t>Rezaeizadeh</w:t>
      </w:r>
      <w:proofErr w:type="spellEnd"/>
      <w:r w:rsidRPr="00815963">
        <w:rPr>
          <w:rFonts w:asciiTheme="minorHAnsi" w:eastAsia="Times New Roman" w:hAnsiTheme="minorHAnsi" w:cstheme="minorBidi"/>
          <w:lang w:eastAsia="en-GB"/>
        </w:rPr>
        <w:t xml:space="preserve">, A., Trivedi, M. H., &amp; Triplett, K. N. (2021). Electronic mental health screening in a </w:t>
      </w:r>
      <w:proofErr w:type="spellStart"/>
      <w:r w:rsidRPr="00815963">
        <w:rPr>
          <w:rFonts w:asciiTheme="minorHAnsi" w:eastAsia="Times New Roman" w:hAnsiTheme="minorHAnsi" w:cstheme="minorBidi"/>
          <w:lang w:eastAsia="en-GB"/>
        </w:rPr>
        <w:t>pediatric</w:t>
      </w:r>
      <w:proofErr w:type="spellEnd"/>
      <w:r w:rsidRPr="00815963">
        <w:rPr>
          <w:rFonts w:asciiTheme="minorHAnsi" w:eastAsia="Times New Roman" w:hAnsiTheme="minorHAnsi" w:cstheme="minorBidi"/>
          <w:lang w:eastAsia="en-GB"/>
        </w:rPr>
        <w:t xml:space="preserve"> heart failure and transplant clinic. </w:t>
      </w:r>
      <w:r w:rsidRPr="00815963">
        <w:rPr>
          <w:rFonts w:asciiTheme="minorHAnsi" w:eastAsia="Times New Roman" w:hAnsiTheme="minorHAnsi" w:cstheme="minorBidi"/>
          <w:i/>
          <w:iCs/>
          <w:lang w:eastAsia="en-GB"/>
        </w:rPr>
        <w:t>Journal of Clinical Psychology in Medical Settings</w:t>
      </w:r>
      <w:r w:rsidRPr="00815963">
        <w:rPr>
          <w:rFonts w:asciiTheme="minorHAnsi" w:eastAsia="Times New Roman" w:hAnsiTheme="minorHAnsi" w:cstheme="minorBidi"/>
          <w:lang w:eastAsia="en-GB"/>
        </w:rPr>
        <w:t>,</w:t>
      </w:r>
      <w:r w:rsidR="006160E2">
        <w:rPr>
          <w:rFonts w:asciiTheme="minorHAnsi" w:eastAsia="Times New Roman" w:hAnsiTheme="minorHAnsi" w:cstheme="minorBidi"/>
          <w:lang w:eastAsia="en-GB"/>
        </w:rPr>
        <w:t xml:space="preserve"> </w:t>
      </w:r>
      <w:r w:rsidR="006160E2" w:rsidRPr="006160E2">
        <w:rPr>
          <w:rFonts w:asciiTheme="minorHAnsi" w:eastAsia="Times New Roman" w:hAnsiTheme="minorHAnsi" w:cstheme="minorBidi"/>
          <w:i/>
          <w:iCs/>
          <w:lang w:eastAsia="en-GB"/>
        </w:rPr>
        <w:t>28</w:t>
      </w:r>
      <w:r w:rsidR="006160E2">
        <w:rPr>
          <w:rFonts w:asciiTheme="minorHAnsi" w:eastAsia="Times New Roman" w:hAnsiTheme="minorHAnsi" w:cstheme="minorBidi"/>
          <w:lang w:eastAsia="en-GB"/>
        </w:rPr>
        <w:t>,</w:t>
      </w:r>
      <w:r w:rsidRPr="00815963">
        <w:rPr>
          <w:rFonts w:asciiTheme="minorHAnsi" w:eastAsia="Times New Roman" w:hAnsiTheme="minorHAnsi" w:cstheme="minorBidi"/>
          <w:lang w:eastAsia="en-GB"/>
        </w:rPr>
        <w:t xml:space="preserve"> 1-11.</w:t>
      </w:r>
    </w:p>
    <w:p w14:paraId="56AA4C62" w14:textId="7F2AAD00" w:rsidR="00912DF0" w:rsidRPr="009E12F9" w:rsidRDefault="00912DF0" w:rsidP="00413528">
      <w:pPr>
        <w:spacing w:line="240" w:lineRule="auto"/>
        <w:ind w:hanging="720"/>
        <w:rPr>
          <w:rFonts w:asciiTheme="minorHAnsi" w:eastAsia="Times New Roman" w:hAnsiTheme="minorHAnsi" w:cstheme="minorBidi"/>
          <w:lang w:eastAsia="en-GB"/>
        </w:rPr>
      </w:pPr>
      <w:r w:rsidRPr="6A640EE8">
        <w:rPr>
          <w:rFonts w:asciiTheme="minorHAnsi" w:eastAsia="Times New Roman" w:hAnsiTheme="minorHAnsi" w:cstheme="minorBidi"/>
          <w:highlight w:val="white"/>
          <w:lang w:eastAsia="en-GB"/>
        </w:rPr>
        <w:t>Axelrod, D. A., Kynard‐Amerson, C. S., Wojciechowski, D., Jacobs, M., Lentine,</w:t>
      </w:r>
      <w:r w:rsidRPr="6A640EE8">
        <w:rPr>
          <w:rFonts w:asciiTheme="minorHAnsi" w:eastAsia="Times New Roman" w:hAnsiTheme="minorHAnsi" w:cstheme="minorBidi"/>
          <w:lang w:eastAsia="en-GB"/>
        </w:rPr>
        <w:t xml:space="preserve"> </w:t>
      </w:r>
      <w:r w:rsidRPr="6A640EE8">
        <w:rPr>
          <w:rFonts w:asciiTheme="minorHAnsi" w:eastAsia="Times New Roman" w:hAnsiTheme="minorHAnsi" w:cstheme="minorBidi"/>
          <w:highlight w:val="white"/>
          <w:lang w:eastAsia="en-GB"/>
        </w:rPr>
        <w:t xml:space="preserve">K. L., Schnitzler, M., </w:t>
      </w:r>
      <w:proofErr w:type="spellStart"/>
      <w:r w:rsidR="00EE5968" w:rsidRPr="6A640EE8">
        <w:rPr>
          <w:rFonts w:asciiTheme="minorHAnsi" w:eastAsia="Times New Roman" w:hAnsiTheme="minorHAnsi" w:cstheme="minorBidi"/>
          <w:highlight w:val="white"/>
          <w:lang w:eastAsia="en-GB"/>
        </w:rPr>
        <w:t>Peipert</w:t>
      </w:r>
      <w:proofErr w:type="spellEnd"/>
      <w:r w:rsidR="00EE5968" w:rsidRPr="6A640EE8">
        <w:rPr>
          <w:rFonts w:asciiTheme="minorHAnsi" w:eastAsia="Times New Roman" w:hAnsiTheme="minorHAnsi" w:cstheme="minorBidi"/>
          <w:highlight w:val="white"/>
          <w:lang w:eastAsia="en-GB"/>
        </w:rPr>
        <w:t>, J. D.,</w:t>
      </w:r>
      <w:r w:rsidRPr="6A640EE8">
        <w:rPr>
          <w:rFonts w:asciiTheme="minorHAnsi" w:eastAsia="Times New Roman" w:hAnsiTheme="minorHAnsi" w:cstheme="minorBidi"/>
          <w:highlight w:val="white"/>
          <w:lang w:eastAsia="en-GB"/>
        </w:rPr>
        <w:t xml:space="preserve"> &amp; Waterman, A. D. (2017). Cultural competency of a mobile, customized patient education tool for improving potential kidney transplant recipients’ knowledge and decision‐making. </w:t>
      </w:r>
      <w:r w:rsidRPr="6A640EE8">
        <w:rPr>
          <w:rFonts w:asciiTheme="minorHAnsi" w:eastAsia="Times New Roman" w:hAnsiTheme="minorHAnsi" w:cstheme="minorBidi"/>
          <w:i/>
          <w:highlight w:val="white"/>
          <w:lang w:eastAsia="en-GB"/>
        </w:rPr>
        <w:t>Clinical</w:t>
      </w:r>
      <w:r w:rsidRPr="6A640EE8">
        <w:rPr>
          <w:rFonts w:asciiTheme="minorHAnsi" w:eastAsia="Times New Roman" w:hAnsiTheme="minorHAnsi" w:cstheme="minorBidi"/>
          <w:i/>
          <w:iCs/>
          <w:lang w:eastAsia="en-GB"/>
        </w:rPr>
        <w:t xml:space="preserve"> </w:t>
      </w:r>
      <w:r w:rsidR="00071989" w:rsidRPr="6A640EE8">
        <w:rPr>
          <w:rFonts w:asciiTheme="minorHAnsi" w:eastAsia="Times New Roman" w:hAnsiTheme="minorHAnsi" w:cstheme="minorBidi"/>
          <w:i/>
          <w:highlight w:val="white"/>
          <w:lang w:eastAsia="en-GB"/>
        </w:rPr>
        <w:t>T</w:t>
      </w:r>
      <w:r w:rsidRPr="6A640EE8">
        <w:rPr>
          <w:rFonts w:asciiTheme="minorHAnsi" w:eastAsia="Times New Roman" w:hAnsiTheme="minorHAnsi" w:cstheme="minorBidi"/>
          <w:i/>
          <w:highlight w:val="white"/>
          <w:lang w:eastAsia="en-GB"/>
        </w:rPr>
        <w:t>ransplantation</w:t>
      </w:r>
      <w:r w:rsidRPr="6A640EE8">
        <w:rPr>
          <w:rFonts w:asciiTheme="minorHAnsi" w:eastAsia="Times New Roman" w:hAnsiTheme="minorHAnsi" w:cstheme="minorBidi"/>
          <w:highlight w:val="white"/>
          <w:lang w:eastAsia="en-GB"/>
        </w:rPr>
        <w:t>, </w:t>
      </w:r>
      <w:r w:rsidRPr="6A640EE8">
        <w:rPr>
          <w:rFonts w:asciiTheme="minorHAnsi" w:eastAsia="Times New Roman" w:hAnsiTheme="minorHAnsi" w:cstheme="minorBidi"/>
          <w:i/>
          <w:highlight w:val="white"/>
          <w:lang w:eastAsia="en-GB"/>
        </w:rPr>
        <w:t>31</w:t>
      </w:r>
      <w:r w:rsidRPr="6A640EE8">
        <w:rPr>
          <w:rFonts w:asciiTheme="minorHAnsi" w:eastAsia="Times New Roman" w:hAnsiTheme="minorHAnsi" w:cstheme="minorBidi"/>
          <w:highlight w:val="white"/>
          <w:lang w:eastAsia="en-GB"/>
        </w:rPr>
        <w:t>(5),</w:t>
      </w:r>
      <w:r w:rsidR="00962EE0" w:rsidRPr="6A640EE8">
        <w:rPr>
          <w:rFonts w:asciiTheme="minorHAnsi" w:eastAsia="Times New Roman" w:hAnsiTheme="minorHAnsi" w:cstheme="minorBidi"/>
          <w:highlight w:val="white"/>
          <w:lang w:eastAsia="en-GB"/>
        </w:rPr>
        <w:t xml:space="preserve"> Article</w:t>
      </w:r>
      <w:r w:rsidRPr="6A640EE8">
        <w:rPr>
          <w:rFonts w:asciiTheme="minorHAnsi" w:eastAsia="Times New Roman" w:hAnsiTheme="minorHAnsi" w:cstheme="minorBidi"/>
          <w:highlight w:val="white"/>
          <w:lang w:eastAsia="en-GB"/>
        </w:rPr>
        <w:t xml:space="preserve"> e12944.</w:t>
      </w:r>
    </w:p>
    <w:p w14:paraId="758332E0" w14:textId="7E204FEB" w:rsidR="0052123D" w:rsidRPr="009E12F9" w:rsidRDefault="0052123D"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Bakker, A., Riper, H., &amp; Olff, M. (2020). E-health applications in the field of traumatic</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stress. </w:t>
      </w:r>
      <w:r w:rsidRPr="26F64964">
        <w:rPr>
          <w:rFonts w:asciiTheme="minorHAnsi" w:eastAsia="Times New Roman" w:hAnsiTheme="minorHAnsi" w:cstheme="minorBidi"/>
          <w:i/>
          <w:iCs/>
          <w:highlight w:val="white"/>
          <w:lang w:eastAsia="en-GB"/>
        </w:rPr>
        <w:t xml:space="preserve">European Journal of </w:t>
      </w:r>
      <w:proofErr w:type="spellStart"/>
      <w:r w:rsidRPr="26F64964">
        <w:rPr>
          <w:rFonts w:asciiTheme="minorHAnsi" w:eastAsia="Times New Roman" w:hAnsiTheme="minorHAnsi" w:cstheme="minorBidi"/>
          <w:i/>
          <w:iCs/>
          <w:highlight w:val="white"/>
          <w:lang w:eastAsia="en-GB"/>
        </w:rPr>
        <w:t>Psychotraumatology</w:t>
      </w:r>
      <w:proofErr w:type="spellEnd"/>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11</w:t>
      </w:r>
      <w:r w:rsidRPr="26F64964">
        <w:rPr>
          <w:rFonts w:asciiTheme="minorHAnsi" w:eastAsia="Times New Roman" w:hAnsiTheme="minorHAnsi" w:cstheme="minorBidi"/>
          <w:highlight w:val="white"/>
          <w:lang w:eastAsia="en-GB"/>
        </w:rPr>
        <w:t>(1),</w:t>
      </w:r>
      <w:r w:rsidR="00C905A9" w:rsidRPr="26F64964">
        <w:rPr>
          <w:rFonts w:asciiTheme="minorHAnsi" w:eastAsia="Times New Roman" w:hAnsiTheme="minorHAnsi" w:cstheme="minorBidi"/>
          <w:highlight w:val="white"/>
          <w:lang w:eastAsia="en-GB"/>
        </w:rPr>
        <w:t xml:space="preserve"> Article</w:t>
      </w:r>
      <w:r w:rsidRPr="26F64964">
        <w:rPr>
          <w:rFonts w:asciiTheme="minorHAnsi" w:eastAsia="Times New Roman" w:hAnsiTheme="minorHAnsi" w:cstheme="minorBidi"/>
          <w:highlight w:val="white"/>
          <w:lang w:eastAsia="en-GB"/>
        </w:rPr>
        <w:t xml:space="preserve"> 1762317</w:t>
      </w:r>
      <w:r w:rsidRPr="26F64964">
        <w:rPr>
          <w:rFonts w:asciiTheme="minorHAnsi" w:eastAsia="Times New Roman" w:hAnsiTheme="minorHAnsi" w:cstheme="minorBidi"/>
          <w:lang w:eastAsia="en-GB"/>
        </w:rPr>
        <w:t>.</w:t>
      </w:r>
    </w:p>
    <w:p w14:paraId="24E528A4" w14:textId="5E03D86D" w:rsidR="00C83BBE" w:rsidRDefault="00C83BBE"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 xml:space="preserve">Bandara, W., </w:t>
      </w:r>
      <w:proofErr w:type="spellStart"/>
      <w:r w:rsidRPr="26F64964">
        <w:rPr>
          <w:rFonts w:asciiTheme="minorHAnsi" w:eastAsia="Times New Roman" w:hAnsiTheme="minorHAnsi" w:cstheme="minorBidi"/>
          <w:highlight w:val="white"/>
          <w:lang w:eastAsia="en-GB"/>
        </w:rPr>
        <w:t>Miskon</w:t>
      </w:r>
      <w:proofErr w:type="spellEnd"/>
      <w:r w:rsidRPr="26F64964">
        <w:rPr>
          <w:rFonts w:asciiTheme="minorHAnsi" w:eastAsia="Times New Roman" w:hAnsiTheme="minorHAnsi" w:cstheme="minorBidi"/>
          <w:highlight w:val="white"/>
          <w:lang w:eastAsia="en-GB"/>
        </w:rPr>
        <w:t xml:space="preserve">, S., &amp; </w:t>
      </w:r>
      <w:proofErr w:type="spellStart"/>
      <w:r w:rsidRPr="26F64964">
        <w:rPr>
          <w:rFonts w:asciiTheme="minorHAnsi" w:eastAsia="Times New Roman" w:hAnsiTheme="minorHAnsi" w:cstheme="minorBidi"/>
          <w:highlight w:val="white"/>
          <w:lang w:eastAsia="en-GB"/>
        </w:rPr>
        <w:t>Fielt</w:t>
      </w:r>
      <w:proofErr w:type="spellEnd"/>
      <w:r w:rsidRPr="26F64964">
        <w:rPr>
          <w:rFonts w:asciiTheme="minorHAnsi" w:eastAsia="Times New Roman" w:hAnsiTheme="minorHAnsi" w:cstheme="minorBidi"/>
          <w:highlight w:val="white"/>
          <w:lang w:eastAsia="en-GB"/>
        </w:rPr>
        <w:t>, E. (2011). A systematic, tool-supported method for</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 xml:space="preserve">conducting literature reviews in information systems. </w:t>
      </w:r>
      <w:r w:rsidRPr="26F64964">
        <w:rPr>
          <w:rFonts w:asciiTheme="minorHAnsi" w:eastAsia="Times New Roman" w:hAnsiTheme="minorHAnsi" w:cstheme="minorBidi"/>
          <w:i/>
          <w:iCs/>
          <w:highlight w:val="white"/>
          <w:lang w:eastAsia="en-GB"/>
        </w:rPr>
        <w:t>ECIS 2011 proceedings [19th</w:t>
      </w:r>
      <w:r w:rsidRPr="26F64964">
        <w:rPr>
          <w:rFonts w:asciiTheme="minorHAnsi" w:eastAsia="Times New Roman" w:hAnsiTheme="minorHAnsi" w:cstheme="minorBidi"/>
          <w:i/>
          <w:iCs/>
          <w:lang w:eastAsia="en-GB"/>
        </w:rPr>
        <w:t xml:space="preserve"> </w:t>
      </w:r>
      <w:r w:rsidRPr="26F64964">
        <w:rPr>
          <w:rFonts w:asciiTheme="minorHAnsi" w:eastAsia="Times New Roman" w:hAnsiTheme="minorHAnsi" w:cstheme="minorBidi"/>
          <w:i/>
          <w:iCs/>
          <w:highlight w:val="white"/>
          <w:lang w:eastAsia="en-GB"/>
        </w:rPr>
        <w:t>European conference on information systems</w:t>
      </w:r>
      <w:r w:rsidR="00C905A9" w:rsidRPr="26F64964">
        <w:rPr>
          <w:rFonts w:asciiTheme="minorHAnsi" w:eastAsia="Times New Roman" w:hAnsiTheme="minorHAnsi" w:cstheme="minorBidi"/>
          <w:i/>
          <w:iCs/>
          <w:highlight w:val="white"/>
          <w:lang w:eastAsia="en-GB"/>
        </w:rPr>
        <w:t xml:space="preserve">], </w:t>
      </w:r>
      <w:r w:rsidRPr="26F64964">
        <w:rPr>
          <w:rFonts w:asciiTheme="minorHAnsi" w:eastAsia="Times New Roman" w:hAnsiTheme="minorHAnsi" w:cstheme="minorBidi"/>
          <w:highlight w:val="white"/>
          <w:lang w:eastAsia="en-GB"/>
        </w:rPr>
        <w:t>1</w:t>
      </w:r>
      <w:r w:rsidRPr="26F64964">
        <w:rPr>
          <w:rFonts w:asciiTheme="minorHAnsi" w:eastAsia="Times New Roman" w:hAnsiTheme="minorHAnsi" w:cstheme="minorBidi"/>
          <w:lang w:eastAsia="en-GB"/>
        </w:rPr>
        <w:t>-13).</w:t>
      </w:r>
    </w:p>
    <w:p w14:paraId="76CA607F" w14:textId="59851E93" w:rsidR="004F7515" w:rsidRDefault="00671A7D" w:rsidP="00413528">
      <w:pPr>
        <w:spacing w:line="240" w:lineRule="auto"/>
        <w:ind w:hanging="720"/>
        <w:rPr>
          <w:rFonts w:asciiTheme="minorHAnsi" w:eastAsia="Times New Roman" w:hAnsiTheme="minorHAnsi" w:cstheme="minorBidi"/>
          <w:lang w:eastAsia="en-GB"/>
        </w:rPr>
      </w:pPr>
      <w:r w:rsidRPr="00671A7D">
        <w:rPr>
          <w:rFonts w:asciiTheme="minorHAnsi" w:eastAsia="Times New Roman" w:hAnsiTheme="minorHAnsi" w:cstheme="minorBidi"/>
          <w:lang w:eastAsia="en-GB"/>
        </w:rPr>
        <w:t xml:space="preserve">Bangerter, L. R., Looze, M., Barry, B., Harder, K., Griffin, J., Dezutter, M., Khera, N., Ailawadhi, S., </w:t>
      </w:r>
      <w:proofErr w:type="spellStart"/>
      <w:r w:rsidRPr="00671A7D">
        <w:rPr>
          <w:rFonts w:asciiTheme="minorHAnsi" w:eastAsia="Times New Roman" w:hAnsiTheme="minorHAnsi" w:cstheme="minorBidi"/>
          <w:lang w:eastAsia="en-GB"/>
        </w:rPr>
        <w:t>Schaepe</w:t>
      </w:r>
      <w:proofErr w:type="spellEnd"/>
      <w:r w:rsidRPr="00671A7D">
        <w:rPr>
          <w:rFonts w:asciiTheme="minorHAnsi" w:eastAsia="Times New Roman" w:hAnsiTheme="minorHAnsi" w:cstheme="minorBidi"/>
          <w:lang w:eastAsia="en-GB"/>
        </w:rPr>
        <w:t>, K., Fischer, K. (2022)</w:t>
      </w:r>
      <w:r>
        <w:rPr>
          <w:rFonts w:asciiTheme="minorHAnsi" w:eastAsia="Times New Roman" w:hAnsiTheme="minorHAnsi" w:cstheme="minorBidi"/>
          <w:lang w:eastAsia="en-GB"/>
        </w:rPr>
        <w:t xml:space="preserve">. </w:t>
      </w:r>
      <w:r w:rsidR="008A431E" w:rsidRPr="008A431E">
        <w:rPr>
          <w:rFonts w:asciiTheme="minorHAnsi" w:eastAsia="Times New Roman" w:hAnsiTheme="minorHAnsi" w:cstheme="minorBidi"/>
          <w:lang w:eastAsia="en-GB"/>
        </w:rPr>
        <w:t>A hybrid method of healthcare delivery research and human-</w:t>
      </w:r>
      <w:proofErr w:type="spellStart"/>
      <w:r w:rsidR="008A431E" w:rsidRPr="008A431E">
        <w:rPr>
          <w:rFonts w:asciiTheme="minorHAnsi" w:eastAsia="Times New Roman" w:hAnsiTheme="minorHAnsi" w:cstheme="minorBidi"/>
          <w:lang w:eastAsia="en-GB"/>
        </w:rPr>
        <w:t>centered</w:t>
      </w:r>
      <w:proofErr w:type="spellEnd"/>
      <w:r w:rsidR="008A431E" w:rsidRPr="008A431E">
        <w:rPr>
          <w:rFonts w:asciiTheme="minorHAnsi" w:eastAsia="Times New Roman" w:hAnsiTheme="minorHAnsi" w:cstheme="minorBidi"/>
          <w:lang w:eastAsia="en-GB"/>
        </w:rPr>
        <w:t xml:space="preserve"> design to develop technology-enabled support for caregivers of hematopoietic stem cell transplant recipients. </w:t>
      </w:r>
      <w:r w:rsidR="008A431E" w:rsidRPr="008A431E">
        <w:rPr>
          <w:rFonts w:asciiTheme="minorHAnsi" w:eastAsia="Times New Roman" w:hAnsiTheme="minorHAnsi" w:cstheme="minorBidi"/>
          <w:i/>
          <w:iCs/>
          <w:lang w:eastAsia="en-GB"/>
        </w:rPr>
        <w:t>Supportive Care in Cancer</w:t>
      </w:r>
      <w:r w:rsidR="008A431E" w:rsidRPr="008A431E">
        <w:rPr>
          <w:rFonts w:asciiTheme="minorHAnsi" w:eastAsia="Times New Roman" w:hAnsiTheme="minorHAnsi" w:cstheme="minorBidi"/>
          <w:lang w:eastAsia="en-GB"/>
        </w:rPr>
        <w:t>, </w:t>
      </w:r>
      <w:r w:rsidR="008A431E" w:rsidRPr="008A431E">
        <w:rPr>
          <w:rFonts w:asciiTheme="minorHAnsi" w:eastAsia="Times New Roman" w:hAnsiTheme="minorHAnsi" w:cstheme="minorBidi"/>
          <w:i/>
          <w:iCs/>
          <w:lang w:eastAsia="en-GB"/>
        </w:rPr>
        <w:t>30</w:t>
      </w:r>
      <w:r w:rsidR="008A431E" w:rsidRPr="008A431E">
        <w:rPr>
          <w:rFonts w:asciiTheme="minorHAnsi" w:eastAsia="Times New Roman" w:hAnsiTheme="minorHAnsi" w:cstheme="minorBidi"/>
          <w:lang w:eastAsia="en-GB"/>
        </w:rPr>
        <w:t>, 227-235.</w:t>
      </w:r>
    </w:p>
    <w:p w14:paraId="7B9A5DC0" w14:textId="499C68A8" w:rsidR="00211360" w:rsidRPr="009E12F9" w:rsidRDefault="00211360" w:rsidP="00413528">
      <w:pPr>
        <w:spacing w:line="240" w:lineRule="auto"/>
        <w:ind w:hanging="720"/>
        <w:rPr>
          <w:rFonts w:asciiTheme="minorHAnsi" w:eastAsia="Times New Roman" w:hAnsiTheme="minorHAnsi" w:cstheme="minorBidi"/>
          <w:lang w:eastAsia="en-GB"/>
        </w:rPr>
      </w:pPr>
      <w:r w:rsidRPr="00211360">
        <w:rPr>
          <w:rFonts w:asciiTheme="minorHAnsi" w:eastAsia="Times New Roman" w:hAnsiTheme="minorHAnsi" w:cstheme="minorBidi"/>
          <w:lang w:eastAsia="en-GB"/>
        </w:rPr>
        <w:t>Barnett, A., Campbell, K. L., Mayr, H. L., Keating, S. E., Macdonald, G. A., &amp; Hickman, I. J. (2021). Liver transplant recipients’ experiences and perspectives of a telehealth-delivered lifestyle programme: a qualitative study. </w:t>
      </w:r>
      <w:r w:rsidRPr="00211360">
        <w:rPr>
          <w:rFonts w:asciiTheme="minorHAnsi" w:eastAsia="Times New Roman" w:hAnsiTheme="minorHAnsi" w:cstheme="minorBidi"/>
          <w:i/>
          <w:iCs/>
          <w:lang w:eastAsia="en-GB"/>
        </w:rPr>
        <w:t>Journal of Telemedicine and Telecare</w:t>
      </w:r>
      <w:r w:rsidRPr="00211360">
        <w:rPr>
          <w:rFonts w:asciiTheme="minorHAnsi" w:eastAsia="Times New Roman" w:hAnsiTheme="minorHAnsi" w:cstheme="minorBidi"/>
          <w:lang w:eastAsia="en-GB"/>
        </w:rPr>
        <w:t>, </w:t>
      </w:r>
      <w:r w:rsidRPr="00211360">
        <w:rPr>
          <w:rFonts w:asciiTheme="minorHAnsi" w:eastAsia="Times New Roman" w:hAnsiTheme="minorHAnsi" w:cstheme="minorBidi"/>
          <w:i/>
          <w:iCs/>
          <w:lang w:eastAsia="en-GB"/>
        </w:rPr>
        <w:t>27</w:t>
      </w:r>
      <w:r w:rsidRPr="00211360">
        <w:rPr>
          <w:rFonts w:asciiTheme="minorHAnsi" w:eastAsia="Times New Roman" w:hAnsiTheme="minorHAnsi" w:cstheme="minorBidi"/>
          <w:lang w:eastAsia="en-GB"/>
        </w:rPr>
        <w:t>(9), 590-598.</w:t>
      </w:r>
    </w:p>
    <w:p w14:paraId="54FA5504" w14:textId="68E8821B" w:rsidR="004865AD" w:rsidRPr="009E12F9" w:rsidRDefault="004865AD" w:rsidP="00413528">
      <w:pPr>
        <w:spacing w:line="240" w:lineRule="auto"/>
        <w:ind w:hanging="720"/>
        <w:rPr>
          <w:rFonts w:asciiTheme="minorHAnsi" w:eastAsia="Times New Roman" w:hAnsiTheme="minorHAnsi" w:cstheme="minorBidi"/>
          <w:lang w:val="en-US" w:eastAsia="en-GB"/>
        </w:rPr>
      </w:pPr>
      <w:r w:rsidRPr="6A640EE8">
        <w:rPr>
          <w:rFonts w:asciiTheme="minorHAnsi" w:eastAsia="Times New Roman" w:hAnsiTheme="minorHAnsi" w:cstheme="minorBidi"/>
          <w:highlight w:val="white"/>
          <w:lang w:eastAsia="en-GB"/>
        </w:rPr>
        <w:t>Baumann, L. A., Baker, J., &amp; Elshaug, A. G. (2018). The impact of electronic health record systems on clinical documentation times: A systematic review. </w:t>
      </w:r>
      <w:r w:rsidRPr="6A640EE8">
        <w:rPr>
          <w:rFonts w:asciiTheme="minorHAnsi" w:eastAsia="Times New Roman" w:hAnsiTheme="minorHAnsi" w:cstheme="minorBidi"/>
          <w:i/>
          <w:highlight w:val="white"/>
          <w:lang w:eastAsia="en-GB"/>
        </w:rPr>
        <w:t xml:space="preserve">Health </w:t>
      </w:r>
      <w:r w:rsidR="000A0E81" w:rsidRPr="6A640EE8">
        <w:rPr>
          <w:rFonts w:asciiTheme="minorHAnsi" w:eastAsia="Times New Roman" w:hAnsiTheme="minorHAnsi" w:cstheme="minorBidi"/>
          <w:i/>
          <w:highlight w:val="white"/>
          <w:lang w:eastAsia="en-GB"/>
        </w:rPr>
        <w:t>P</w:t>
      </w:r>
      <w:r w:rsidRPr="6A640EE8">
        <w:rPr>
          <w:rFonts w:asciiTheme="minorHAnsi" w:eastAsia="Times New Roman" w:hAnsiTheme="minorHAnsi" w:cstheme="minorBidi"/>
          <w:i/>
          <w:highlight w:val="white"/>
          <w:lang w:eastAsia="en-GB"/>
        </w:rPr>
        <w:t>olicy</w:t>
      </w:r>
      <w:r w:rsidRPr="6A640EE8">
        <w:rPr>
          <w:rFonts w:asciiTheme="minorHAnsi" w:eastAsia="Times New Roman" w:hAnsiTheme="minorHAnsi" w:cstheme="minorBidi"/>
          <w:highlight w:val="white"/>
          <w:lang w:eastAsia="en-GB"/>
        </w:rPr>
        <w:t>, </w:t>
      </w:r>
      <w:r w:rsidRPr="6A640EE8">
        <w:rPr>
          <w:rFonts w:asciiTheme="minorHAnsi" w:eastAsia="Times New Roman" w:hAnsiTheme="minorHAnsi" w:cstheme="minorBidi"/>
          <w:i/>
          <w:highlight w:val="white"/>
          <w:lang w:eastAsia="en-GB"/>
        </w:rPr>
        <w:t>122</w:t>
      </w:r>
      <w:r w:rsidRPr="6A640EE8">
        <w:rPr>
          <w:rFonts w:asciiTheme="minorHAnsi" w:eastAsia="Times New Roman" w:hAnsiTheme="minorHAnsi" w:cstheme="minorBidi"/>
          <w:highlight w:val="white"/>
          <w:lang w:eastAsia="en-GB"/>
        </w:rPr>
        <w:t>(8), 827-836.</w:t>
      </w:r>
      <w:r w:rsidR="00211360">
        <w:rPr>
          <w:rFonts w:asciiTheme="minorHAnsi" w:eastAsia="Times New Roman" w:hAnsiTheme="minorHAnsi" w:cstheme="minorBidi"/>
          <w:lang w:eastAsia="en-GB"/>
        </w:rPr>
        <w:t xml:space="preserve"> </w:t>
      </w:r>
    </w:p>
    <w:p w14:paraId="3501F090" w14:textId="4043F5B5" w:rsidR="008F58B8" w:rsidRPr="009E12F9" w:rsidRDefault="008F58B8"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eastAsia="en-GB"/>
        </w:rPr>
        <w:t xml:space="preserve">Black, C. </w:t>
      </w:r>
      <w:r w:rsidRPr="26F64964">
        <w:rPr>
          <w:rFonts w:asciiTheme="minorHAnsi" w:eastAsia="Times New Roman" w:hAnsiTheme="minorHAnsi" w:cstheme="minorBidi"/>
          <w:highlight w:val="white"/>
          <w:lang w:eastAsia="en-GB"/>
        </w:rPr>
        <w:t xml:space="preserve">K., </w:t>
      </w:r>
      <w:proofErr w:type="spellStart"/>
      <w:r w:rsidRPr="26F64964">
        <w:rPr>
          <w:rFonts w:asciiTheme="minorHAnsi" w:eastAsia="Times New Roman" w:hAnsiTheme="minorHAnsi" w:cstheme="minorBidi"/>
          <w:highlight w:val="white"/>
          <w:lang w:eastAsia="en-GB"/>
        </w:rPr>
        <w:t>Termanini</w:t>
      </w:r>
      <w:proofErr w:type="spellEnd"/>
      <w:r w:rsidRPr="26F64964">
        <w:rPr>
          <w:rFonts w:asciiTheme="minorHAnsi" w:eastAsia="Times New Roman" w:hAnsiTheme="minorHAnsi" w:cstheme="minorBidi"/>
          <w:highlight w:val="white"/>
          <w:lang w:eastAsia="en-GB"/>
        </w:rPr>
        <w:t>, K. M., Aguirre, O., Hawksworth, J. S., &amp; Sosin, M. (2018).</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Solid organ transplantation in the 21st century. </w:t>
      </w:r>
      <w:r w:rsidRPr="26F64964">
        <w:rPr>
          <w:rFonts w:asciiTheme="minorHAnsi" w:eastAsia="Times New Roman" w:hAnsiTheme="minorHAnsi" w:cstheme="minorBidi"/>
          <w:i/>
          <w:iCs/>
          <w:highlight w:val="white"/>
          <w:lang w:eastAsia="en-GB"/>
        </w:rPr>
        <w:t xml:space="preserve">Annals of </w:t>
      </w:r>
      <w:r w:rsidR="000A0E81" w:rsidRPr="26F64964">
        <w:rPr>
          <w:rFonts w:asciiTheme="minorHAnsi" w:eastAsia="Times New Roman" w:hAnsiTheme="minorHAnsi" w:cstheme="minorBidi"/>
          <w:i/>
          <w:iCs/>
          <w:highlight w:val="white"/>
          <w:lang w:eastAsia="en-GB"/>
        </w:rPr>
        <w:t>T</w:t>
      </w:r>
      <w:r w:rsidRPr="26F64964">
        <w:rPr>
          <w:rFonts w:asciiTheme="minorHAnsi" w:eastAsia="Times New Roman" w:hAnsiTheme="minorHAnsi" w:cstheme="minorBidi"/>
          <w:i/>
          <w:iCs/>
          <w:highlight w:val="white"/>
          <w:lang w:eastAsia="en-GB"/>
        </w:rPr>
        <w:t xml:space="preserve">ranslational </w:t>
      </w:r>
      <w:r w:rsidR="000A0E81" w:rsidRPr="26F64964">
        <w:rPr>
          <w:rFonts w:asciiTheme="minorHAnsi" w:eastAsia="Times New Roman" w:hAnsiTheme="minorHAnsi" w:cstheme="minorBidi"/>
          <w:i/>
          <w:iCs/>
          <w:highlight w:val="white"/>
          <w:lang w:eastAsia="en-GB"/>
        </w:rPr>
        <w:t>M</w:t>
      </w:r>
      <w:r w:rsidRPr="26F64964">
        <w:rPr>
          <w:rFonts w:asciiTheme="minorHAnsi" w:eastAsia="Times New Roman" w:hAnsiTheme="minorHAnsi" w:cstheme="minorBidi"/>
          <w:i/>
          <w:iCs/>
          <w:highlight w:val="white"/>
          <w:lang w:eastAsia="en-GB"/>
        </w:rPr>
        <w:t>edicine</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6</w:t>
      </w:r>
      <w:r w:rsidRPr="26F64964">
        <w:rPr>
          <w:rFonts w:asciiTheme="minorHAnsi" w:eastAsia="Times New Roman" w:hAnsiTheme="minorHAnsi" w:cstheme="minorBidi"/>
          <w:highlight w:val="white"/>
          <w:lang w:eastAsia="en-GB"/>
        </w:rPr>
        <w:t>(20</w:t>
      </w:r>
      <w:r w:rsidRPr="26F64964">
        <w:rPr>
          <w:rFonts w:asciiTheme="minorHAnsi" w:eastAsia="Times New Roman" w:hAnsiTheme="minorHAnsi" w:cstheme="minorBidi"/>
          <w:lang w:eastAsia="en-GB"/>
        </w:rPr>
        <w:t>)</w:t>
      </w:r>
      <w:r w:rsidR="007A44D5" w:rsidRPr="26F64964">
        <w:rPr>
          <w:rFonts w:asciiTheme="minorHAnsi" w:eastAsia="Times New Roman" w:hAnsiTheme="minorHAnsi" w:cstheme="minorBidi"/>
          <w:lang w:eastAsia="en-GB"/>
        </w:rPr>
        <w:t>, Article 409</w:t>
      </w:r>
      <w:r w:rsidRPr="26F64964">
        <w:rPr>
          <w:rFonts w:asciiTheme="minorHAnsi" w:eastAsia="Times New Roman" w:hAnsiTheme="minorHAnsi" w:cstheme="minorBidi"/>
          <w:lang w:eastAsia="en-GB"/>
        </w:rPr>
        <w:t>.</w:t>
      </w:r>
    </w:p>
    <w:p w14:paraId="271A4DCC" w14:textId="1E6F432D" w:rsidR="00A31269" w:rsidRPr="009E12F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val="en-US" w:eastAsia="en-GB"/>
        </w:rPr>
        <w:t xml:space="preserve">Boogerd, E. </w:t>
      </w:r>
      <w:r w:rsidRPr="26F64964">
        <w:rPr>
          <w:rFonts w:asciiTheme="minorHAnsi" w:eastAsia="Times New Roman" w:hAnsiTheme="minorHAnsi" w:cstheme="minorBidi"/>
          <w:highlight w:val="white"/>
          <w:lang w:val="en-US" w:eastAsia="en-GB"/>
        </w:rPr>
        <w:t>A., Arts, T., Engelen, L</w:t>
      </w:r>
      <w:r w:rsidRPr="26F64964">
        <w:rPr>
          <w:rFonts w:asciiTheme="minorHAnsi" w:eastAsia="Times New Roman" w:hAnsiTheme="minorHAnsi" w:cstheme="minorBidi"/>
          <w:lang w:val="en-US" w:eastAsia="en-GB"/>
        </w:rPr>
        <w:t xml:space="preserve">. J., &amp; </w:t>
      </w:r>
      <w:r w:rsidRPr="26F64964">
        <w:rPr>
          <w:rFonts w:asciiTheme="minorHAnsi" w:eastAsia="Times New Roman" w:hAnsiTheme="minorHAnsi" w:cstheme="minorBidi"/>
          <w:highlight w:val="white"/>
          <w:lang w:val="en-US" w:eastAsia="en-GB"/>
        </w:rPr>
        <w:t>van De Belt, T</w:t>
      </w:r>
      <w:r w:rsidRPr="26F64964">
        <w:rPr>
          <w:rFonts w:asciiTheme="minorHAnsi" w:eastAsia="Times New Roman" w:hAnsiTheme="minorHAnsi" w:cstheme="minorBidi"/>
          <w:lang w:val="en-US" w:eastAsia="en-GB"/>
        </w:rPr>
        <w:t xml:space="preserve">. (2015). </w:t>
      </w:r>
      <w:r w:rsidRPr="26F64964">
        <w:rPr>
          <w:rFonts w:asciiTheme="minorHAnsi" w:eastAsia="Times New Roman" w:hAnsiTheme="minorHAnsi" w:cstheme="minorBidi"/>
          <w:highlight w:val="white"/>
          <w:lang w:val="en-US" w:eastAsia="en-GB"/>
        </w:rPr>
        <w:t>What is eHealth: time</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 xml:space="preserve">for an update? </w:t>
      </w:r>
      <w:r w:rsidRPr="26F64964">
        <w:rPr>
          <w:rFonts w:asciiTheme="minorHAnsi" w:eastAsia="Times New Roman" w:hAnsiTheme="minorHAnsi" w:cstheme="minorBidi"/>
          <w:i/>
          <w:iCs/>
          <w:highlight w:val="white"/>
          <w:lang w:val="en-US" w:eastAsia="en-GB"/>
        </w:rPr>
        <w:t xml:space="preserve">Journal of </w:t>
      </w:r>
      <w:r w:rsidR="000A0E81" w:rsidRPr="26F64964">
        <w:rPr>
          <w:rFonts w:asciiTheme="minorHAnsi" w:eastAsia="Times New Roman" w:hAnsiTheme="minorHAnsi" w:cstheme="minorBidi"/>
          <w:i/>
          <w:iCs/>
          <w:highlight w:val="white"/>
          <w:lang w:val="en-US" w:eastAsia="en-GB"/>
        </w:rPr>
        <w:t>M</w:t>
      </w:r>
      <w:r w:rsidRPr="26F64964">
        <w:rPr>
          <w:rFonts w:asciiTheme="minorHAnsi" w:eastAsia="Times New Roman" w:hAnsiTheme="minorHAnsi" w:cstheme="minorBidi"/>
          <w:i/>
          <w:iCs/>
          <w:highlight w:val="white"/>
          <w:lang w:val="en-US" w:eastAsia="en-GB"/>
        </w:rPr>
        <w:t xml:space="preserve">edical </w:t>
      </w:r>
      <w:r w:rsidR="000A0E81" w:rsidRPr="26F64964">
        <w:rPr>
          <w:rFonts w:asciiTheme="minorHAnsi" w:eastAsia="Times New Roman" w:hAnsiTheme="minorHAnsi" w:cstheme="minorBidi"/>
          <w:i/>
          <w:iCs/>
          <w:highlight w:val="white"/>
          <w:lang w:val="en-US" w:eastAsia="en-GB"/>
        </w:rPr>
        <w:t>I</w:t>
      </w:r>
      <w:r w:rsidRPr="26F64964">
        <w:rPr>
          <w:rFonts w:asciiTheme="minorHAnsi" w:eastAsia="Times New Roman" w:hAnsiTheme="minorHAnsi" w:cstheme="minorBidi"/>
          <w:i/>
          <w:iCs/>
          <w:highlight w:val="white"/>
          <w:lang w:val="en-US" w:eastAsia="en-GB"/>
        </w:rPr>
        <w:t xml:space="preserve">nternet </w:t>
      </w:r>
      <w:r w:rsidR="000A0E81" w:rsidRPr="26F64964">
        <w:rPr>
          <w:rFonts w:asciiTheme="minorHAnsi" w:eastAsia="Times New Roman" w:hAnsiTheme="minorHAnsi" w:cstheme="minorBidi"/>
          <w:i/>
          <w:iCs/>
          <w:highlight w:val="white"/>
          <w:lang w:val="en-US" w:eastAsia="en-GB"/>
        </w:rPr>
        <w:t>R</w:t>
      </w:r>
      <w:r w:rsidRPr="26F64964">
        <w:rPr>
          <w:rFonts w:asciiTheme="minorHAnsi" w:eastAsia="Times New Roman" w:hAnsiTheme="minorHAnsi" w:cstheme="minorBidi"/>
          <w:i/>
          <w:iCs/>
          <w:highlight w:val="white"/>
          <w:lang w:val="en-US" w:eastAsia="en-GB"/>
        </w:rPr>
        <w:t>esearch</w:t>
      </w:r>
      <w:r w:rsidR="006A142D" w:rsidRPr="26F64964">
        <w:rPr>
          <w:rFonts w:asciiTheme="minorHAnsi" w:eastAsia="Times New Roman" w:hAnsiTheme="minorHAnsi" w:cstheme="minorBidi"/>
          <w:highlight w:val="white"/>
          <w:lang w:val="en-US" w:eastAsia="en-GB"/>
        </w:rPr>
        <w:t>,</w:t>
      </w:r>
      <w:r w:rsidR="006A142D" w:rsidRPr="26F64964">
        <w:rPr>
          <w:rFonts w:asciiTheme="minorHAnsi" w:eastAsia="Times New Roman" w:hAnsiTheme="minorHAnsi" w:cstheme="minorBidi"/>
          <w:i/>
          <w:iCs/>
          <w:highlight w:val="white"/>
          <w:lang w:val="en-US" w:eastAsia="en-GB"/>
        </w:rPr>
        <w:t xml:space="preserve"> 4</w:t>
      </w:r>
      <w:r w:rsidR="006A142D" w:rsidRPr="26F64964">
        <w:rPr>
          <w:rFonts w:asciiTheme="minorHAnsi" w:eastAsia="Times New Roman" w:hAnsiTheme="minorHAnsi" w:cstheme="minorBidi"/>
          <w:highlight w:val="white"/>
          <w:lang w:val="en-US" w:eastAsia="en-GB"/>
        </w:rPr>
        <w:t>(1</w:t>
      </w:r>
      <w:r w:rsidR="006A142D" w:rsidRPr="26F64964">
        <w:rPr>
          <w:rFonts w:asciiTheme="minorHAnsi" w:eastAsia="Times New Roman" w:hAnsiTheme="minorHAnsi" w:cstheme="minorBidi"/>
          <w:lang w:val="en-US" w:eastAsia="en-GB"/>
        </w:rPr>
        <w:t xml:space="preserve">), Article </w:t>
      </w:r>
      <w:r w:rsidR="006A142D" w:rsidRPr="26F64964">
        <w:rPr>
          <w:rFonts w:asciiTheme="minorHAnsi" w:eastAsia="Times New Roman" w:hAnsiTheme="minorHAnsi" w:cstheme="minorBidi"/>
          <w:highlight w:val="white"/>
          <w:lang w:val="en-US" w:eastAsia="en-GB"/>
        </w:rPr>
        <w:t>e29</w:t>
      </w:r>
      <w:r w:rsidR="006A142D" w:rsidRPr="26F64964">
        <w:rPr>
          <w:rFonts w:asciiTheme="minorHAnsi" w:eastAsia="Times New Roman" w:hAnsiTheme="minorHAnsi" w:cstheme="minorBidi"/>
          <w:lang w:val="en-US" w:eastAsia="en-GB"/>
        </w:rPr>
        <w:t xml:space="preserve">. </w:t>
      </w:r>
    </w:p>
    <w:p w14:paraId="372754FD" w14:textId="77777777" w:rsidR="00A31269" w:rsidRPr="009E12F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 xml:space="preserve">Braun, V., &amp; Clarke, V. (2012). Thematic Analysis. </w:t>
      </w:r>
      <w:r w:rsidRPr="26F64964">
        <w:rPr>
          <w:rFonts w:asciiTheme="minorHAnsi" w:eastAsia="Times New Roman" w:hAnsiTheme="minorHAnsi" w:cstheme="minorBidi"/>
          <w:i/>
          <w:iCs/>
          <w:highlight w:val="white"/>
          <w:lang w:val="en-US" w:eastAsia="en-GB"/>
        </w:rPr>
        <w:t>APA Handbook of research</w:t>
      </w:r>
      <w:r w:rsidRPr="26F64964">
        <w:rPr>
          <w:rFonts w:asciiTheme="minorHAnsi" w:eastAsia="Times New Roman" w:hAnsiTheme="minorHAnsi" w:cstheme="minorBidi"/>
          <w:i/>
          <w:iCs/>
          <w:lang w:val="en-US" w:eastAsia="en-GB"/>
        </w:rPr>
        <w:t xml:space="preserve"> </w:t>
      </w:r>
      <w:r w:rsidRPr="26F64964">
        <w:rPr>
          <w:rFonts w:asciiTheme="minorHAnsi" w:eastAsia="Times New Roman" w:hAnsiTheme="minorHAnsi" w:cstheme="minorBidi"/>
          <w:i/>
          <w:iCs/>
          <w:highlight w:val="white"/>
          <w:lang w:val="en-US" w:eastAsia="en-GB"/>
        </w:rPr>
        <w:t>methods in psychology</w:t>
      </w:r>
      <w:r w:rsidRPr="26F64964">
        <w:rPr>
          <w:rFonts w:asciiTheme="minorHAnsi" w:eastAsia="Times New Roman" w:hAnsiTheme="minorHAnsi" w:cstheme="minorBidi"/>
          <w:lang w:val="en-US" w:eastAsia="en-GB"/>
        </w:rPr>
        <w:t>, 57-71.</w:t>
      </w:r>
    </w:p>
    <w:p w14:paraId="7AF44B7E" w14:textId="3C8A829C" w:rsidR="00A31269" w:rsidRPr="009E12F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lastRenderedPageBreak/>
        <w:t xml:space="preserve">Bul, K. C., Bannon, C., Krishnan, N., Dunlop, A., &amp; </w:t>
      </w:r>
      <w:proofErr w:type="spellStart"/>
      <w:r w:rsidRPr="26F64964">
        <w:rPr>
          <w:rFonts w:asciiTheme="minorHAnsi" w:eastAsia="Times New Roman" w:hAnsiTheme="minorHAnsi" w:cstheme="minorBidi"/>
          <w:highlight w:val="white"/>
          <w:lang w:val="en-US" w:eastAsia="en-GB"/>
        </w:rPr>
        <w:t>Szczepura</w:t>
      </w:r>
      <w:proofErr w:type="spellEnd"/>
      <w:r w:rsidRPr="26F64964">
        <w:rPr>
          <w:rFonts w:asciiTheme="minorHAnsi" w:eastAsia="Times New Roman" w:hAnsiTheme="minorHAnsi" w:cstheme="minorBidi"/>
          <w:highlight w:val="white"/>
          <w:lang w:val="en-US" w:eastAsia="en-GB"/>
        </w:rPr>
        <w:t>, A. (2023). Can eHealth</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applications improve renal transplant outcomes for adolescents and young</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adults? </w:t>
      </w:r>
      <w:r w:rsidRPr="26F64964">
        <w:rPr>
          <w:rFonts w:asciiTheme="minorHAnsi" w:eastAsia="Times New Roman" w:hAnsiTheme="minorHAnsi" w:cstheme="minorBidi"/>
          <w:i/>
          <w:iCs/>
          <w:highlight w:val="white"/>
          <w:lang w:val="en-US" w:eastAsia="en-GB"/>
        </w:rPr>
        <w:t>Transplantation Reviews</w:t>
      </w:r>
      <w:r w:rsidRPr="26F64964">
        <w:rPr>
          <w:rFonts w:asciiTheme="minorHAnsi" w:eastAsia="Times New Roman" w:hAnsiTheme="minorHAnsi" w:cstheme="minorBidi"/>
          <w:lang w:val="en-US" w:eastAsia="en-GB"/>
        </w:rPr>
        <w:t xml:space="preserve">, </w:t>
      </w:r>
      <w:r w:rsidR="009116E8" w:rsidRPr="26F64964">
        <w:rPr>
          <w:rFonts w:asciiTheme="minorHAnsi" w:eastAsia="Times New Roman" w:hAnsiTheme="minorHAnsi" w:cstheme="minorBidi"/>
          <w:i/>
          <w:iCs/>
          <w:lang w:val="en-US" w:eastAsia="en-GB"/>
        </w:rPr>
        <w:t>37</w:t>
      </w:r>
      <w:r w:rsidR="009116E8" w:rsidRPr="26F64964">
        <w:rPr>
          <w:rFonts w:asciiTheme="minorHAnsi" w:eastAsia="Times New Roman" w:hAnsiTheme="minorHAnsi" w:cstheme="minorBidi"/>
          <w:lang w:val="en-US" w:eastAsia="en-GB"/>
        </w:rPr>
        <w:t xml:space="preserve">(2), Article </w:t>
      </w:r>
      <w:r w:rsidR="009116E8" w:rsidRPr="26F64964">
        <w:rPr>
          <w:rFonts w:asciiTheme="minorHAnsi" w:eastAsia="Times New Roman" w:hAnsiTheme="minorHAnsi" w:cstheme="minorBidi"/>
          <w:highlight w:val="white"/>
          <w:lang w:val="en-US" w:eastAsia="en-GB"/>
        </w:rPr>
        <w:t>100760</w:t>
      </w:r>
      <w:r w:rsidR="009116E8" w:rsidRPr="26F64964">
        <w:rPr>
          <w:rFonts w:asciiTheme="minorHAnsi" w:eastAsia="Times New Roman" w:hAnsiTheme="minorHAnsi" w:cstheme="minorBidi"/>
          <w:lang w:val="en-US" w:eastAsia="en-GB"/>
        </w:rPr>
        <w:t xml:space="preserve">. </w:t>
      </w:r>
    </w:p>
    <w:p w14:paraId="2465320B" w14:textId="703C30B6" w:rsidR="007944B8" w:rsidRPr="009E12F9" w:rsidRDefault="007944B8" w:rsidP="00413528">
      <w:pPr>
        <w:spacing w:line="240" w:lineRule="auto"/>
        <w:ind w:hanging="720"/>
        <w:rPr>
          <w:rFonts w:asciiTheme="minorHAnsi" w:eastAsia="Times New Roman" w:hAnsiTheme="minorHAnsi" w:cstheme="minorBidi"/>
          <w:lang w:val="en-US" w:eastAsia="en-GB"/>
        </w:rPr>
      </w:pPr>
      <w:r w:rsidRPr="6A640EE8">
        <w:rPr>
          <w:rFonts w:asciiTheme="minorHAnsi" w:eastAsia="Times New Roman" w:hAnsiTheme="minorHAnsi" w:cstheme="minorBidi"/>
          <w:highlight w:val="white"/>
          <w:lang w:eastAsia="en-GB"/>
        </w:rPr>
        <w:t xml:space="preserve">Campanella, P., Lovato, E., Marone, C., </w:t>
      </w:r>
      <w:proofErr w:type="spellStart"/>
      <w:r w:rsidRPr="6A640EE8">
        <w:rPr>
          <w:rFonts w:asciiTheme="minorHAnsi" w:eastAsia="Times New Roman" w:hAnsiTheme="minorHAnsi" w:cstheme="minorBidi"/>
          <w:highlight w:val="white"/>
          <w:lang w:eastAsia="en-GB"/>
        </w:rPr>
        <w:t>Fallacara</w:t>
      </w:r>
      <w:proofErr w:type="spellEnd"/>
      <w:r w:rsidRPr="6A640EE8">
        <w:rPr>
          <w:rFonts w:asciiTheme="minorHAnsi" w:eastAsia="Times New Roman" w:hAnsiTheme="minorHAnsi" w:cstheme="minorBidi"/>
          <w:highlight w:val="white"/>
          <w:lang w:eastAsia="en-GB"/>
        </w:rPr>
        <w:t xml:space="preserve">, L., Mancuso, A., Ricciardi, W., &amp; </w:t>
      </w:r>
      <w:proofErr w:type="spellStart"/>
      <w:r w:rsidRPr="6A640EE8">
        <w:rPr>
          <w:rFonts w:asciiTheme="minorHAnsi" w:eastAsia="Times New Roman" w:hAnsiTheme="minorHAnsi" w:cstheme="minorBidi"/>
          <w:highlight w:val="white"/>
          <w:lang w:eastAsia="en-GB"/>
        </w:rPr>
        <w:t>Specchia</w:t>
      </w:r>
      <w:proofErr w:type="spellEnd"/>
      <w:r w:rsidRPr="6A640EE8">
        <w:rPr>
          <w:rFonts w:asciiTheme="minorHAnsi" w:eastAsia="Times New Roman" w:hAnsiTheme="minorHAnsi" w:cstheme="minorBidi"/>
          <w:highlight w:val="white"/>
          <w:lang w:eastAsia="en-GB"/>
        </w:rPr>
        <w:t>, M. L. (2016). The impact of electronic health records on healthcare quality: a systematic review and meta-analysis. </w:t>
      </w:r>
      <w:r w:rsidRPr="6A640EE8">
        <w:rPr>
          <w:rFonts w:asciiTheme="minorHAnsi" w:eastAsia="Times New Roman" w:hAnsiTheme="minorHAnsi" w:cstheme="minorBidi"/>
          <w:i/>
          <w:highlight w:val="white"/>
          <w:lang w:eastAsia="en-GB"/>
        </w:rPr>
        <w:t>The European Journal</w:t>
      </w:r>
      <w:r w:rsidRPr="6A640EE8">
        <w:rPr>
          <w:rFonts w:asciiTheme="minorHAnsi" w:eastAsia="Times New Roman" w:hAnsiTheme="minorHAnsi" w:cstheme="minorBidi"/>
          <w:i/>
          <w:iCs/>
          <w:highlight w:val="white"/>
          <w:lang w:eastAsia="en-GB"/>
        </w:rPr>
        <w:t xml:space="preserve"> </w:t>
      </w:r>
      <w:r w:rsidRPr="6A640EE8">
        <w:rPr>
          <w:rFonts w:asciiTheme="minorHAnsi" w:eastAsia="Times New Roman" w:hAnsiTheme="minorHAnsi" w:cstheme="minorBidi"/>
          <w:i/>
          <w:highlight w:val="white"/>
          <w:lang w:eastAsia="en-GB"/>
        </w:rPr>
        <w:t>of Public Health</w:t>
      </w:r>
      <w:r w:rsidRPr="6A640EE8">
        <w:rPr>
          <w:rFonts w:asciiTheme="minorHAnsi" w:eastAsia="Times New Roman" w:hAnsiTheme="minorHAnsi" w:cstheme="minorBidi"/>
          <w:highlight w:val="white"/>
          <w:lang w:eastAsia="en-GB"/>
        </w:rPr>
        <w:t>, </w:t>
      </w:r>
      <w:r w:rsidRPr="6A640EE8">
        <w:rPr>
          <w:rFonts w:asciiTheme="minorHAnsi" w:eastAsia="Times New Roman" w:hAnsiTheme="minorHAnsi" w:cstheme="minorBidi"/>
          <w:i/>
          <w:highlight w:val="white"/>
          <w:lang w:eastAsia="en-GB"/>
        </w:rPr>
        <w:t>26</w:t>
      </w:r>
      <w:r w:rsidRPr="6A640EE8">
        <w:rPr>
          <w:rFonts w:asciiTheme="minorHAnsi" w:eastAsia="Times New Roman" w:hAnsiTheme="minorHAnsi" w:cstheme="minorBidi"/>
          <w:highlight w:val="white"/>
          <w:lang w:eastAsia="en-GB"/>
        </w:rPr>
        <w:t>(1), 60-64.</w:t>
      </w:r>
    </w:p>
    <w:p w14:paraId="0AE7961F" w14:textId="6E81B802" w:rsidR="00D860EB" w:rsidRDefault="00D860EB"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lang w:eastAsia="en-GB"/>
        </w:rPr>
        <w:t xml:space="preserve">Castor, C., Lindkvist, R. M., </w:t>
      </w:r>
      <w:r w:rsidRPr="26F64964">
        <w:rPr>
          <w:rFonts w:asciiTheme="minorHAnsi" w:eastAsia="Times New Roman" w:hAnsiTheme="minorHAnsi" w:cstheme="minorBidi"/>
          <w:highlight w:val="white"/>
          <w:lang w:eastAsia="en-GB"/>
        </w:rPr>
        <w:t>Hallström, I. K., &amp; Holmberg, R. (2023). Health Care</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 xml:space="preserve">Professionals’ Experiences and Views of eHealth in </w:t>
      </w:r>
      <w:proofErr w:type="spellStart"/>
      <w:r w:rsidRPr="26F64964">
        <w:rPr>
          <w:rFonts w:asciiTheme="minorHAnsi" w:eastAsia="Times New Roman" w:hAnsiTheme="minorHAnsi" w:cstheme="minorBidi"/>
          <w:highlight w:val="white"/>
          <w:lang w:eastAsia="en-GB"/>
        </w:rPr>
        <w:t>Pediatric</w:t>
      </w:r>
      <w:proofErr w:type="spellEnd"/>
      <w:r w:rsidRPr="26F64964">
        <w:rPr>
          <w:rFonts w:asciiTheme="minorHAnsi" w:eastAsia="Times New Roman" w:hAnsiTheme="minorHAnsi" w:cstheme="minorBidi"/>
          <w:highlight w:val="white"/>
          <w:lang w:eastAsia="en-GB"/>
        </w:rPr>
        <w:t xml:space="preserve"> Care: Qualitative</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Interview Study Applying a Theoretical Framework for Implementation. </w:t>
      </w:r>
      <w:r w:rsidRPr="26F64964">
        <w:rPr>
          <w:rFonts w:asciiTheme="minorHAnsi" w:eastAsia="Times New Roman" w:hAnsiTheme="minorHAnsi" w:cstheme="minorBidi"/>
          <w:i/>
          <w:iCs/>
          <w:highlight w:val="white"/>
          <w:lang w:eastAsia="en-GB"/>
        </w:rPr>
        <w:t xml:space="preserve">JMIR </w:t>
      </w:r>
      <w:proofErr w:type="spellStart"/>
      <w:r w:rsidRPr="26F64964">
        <w:rPr>
          <w:rFonts w:asciiTheme="minorHAnsi" w:eastAsia="Times New Roman" w:hAnsiTheme="minorHAnsi" w:cstheme="minorBidi"/>
          <w:i/>
          <w:iCs/>
          <w:highlight w:val="white"/>
          <w:lang w:eastAsia="en-GB"/>
        </w:rPr>
        <w:t>Pediatrics</w:t>
      </w:r>
      <w:proofErr w:type="spellEnd"/>
      <w:r w:rsidRPr="26F64964">
        <w:rPr>
          <w:rFonts w:asciiTheme="minorHAnsi" w:eastAsia="Times New Roman" w:hAnsiTheme="minorHAnsi" w:cstheme="minorBidi"/>
          <w:i/>
          <w:iCs/>
          <w:lang w:eastAsia="en-GB"/>
        </w:rPr>
        <w:t xml:space="preserve"> </w:t>
      </w:r>
      <w:r w:rsidRPr="26F64964">
        <w:rPr>
          <w:rFonts w:asciiTheme="minorHAnsi" w:eastAsia="Times New Roman" w:hAnsiTheme="minorHAnsi" w:cstheme="minorBidi"/>
          <w:i/>
          <w:iCs/>
          <w:highlight w:val="white"/>
          <w:lang w:eastAsia="en-GB"/>
        </w:rPr>
        <w:t>and Parenting</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6</w:t>
      </w:r>
      <w:r w:rsidRPr="26F64964">
        <w:rPr>
          <w:rFonts w:asciiTheme="minorHAnsi" w:eastAsia="Times New Roman" w:hAnsiTheme="minorHAnsi" w:cstheme="minorBidi"/>
          <w:lang w:eastAsia="en-GB"/>
        </w:rPr>
        <w:t xml:space="preserve">, </w:t>
      </w:r>
      <w:r w:rsidR="00B03EA0" w:rsidRPr="26F64964">
        <w:rPr>
          <w:rFonts w:asciiTheme="minorHAnsi" w:eastAsia="Times New Roman" w:hAnsiTheme="minorHAnsi" w:cstheme="minorBidi"/>
          <w:lang w:eastAsia="en-GB"/>
        </w:rPr>
        <w:t xml:space="preserve">Article </w:t>
      </w:r>
      <w:r w:rsidRPr="26F64964">
        <w:rPr>
          <w:rFonts w:asciiTheme="minorHAnsi" w:eastAsia="Times New Roman" w:hAnsiTheme="minorHAnsi" w:cstheme="minorBidi"/>
          <w:highlight w:val="white"/>
          <w:lang w:eastAsia="en-GB"/>
        </w:rPr>
        <w:t>e47663</w:t>
      </w:r>
      <w:r w:rsidRPr="26F64964">
        <w:rPr>
          <w:rFonts w:asciiTheme="minorHAnsi" w:eastAsia="Times New Roman" w:hAnsiTheme="minorHAnsi" w:cstheme="minorBidi"/>
          <w:lang w:eastAsia="en-GB"/>
        </w:rPr>
        <w:t>.</w:t>
      </w:r>
    </w:p>
    <w:p w14:paraId="2E836010" w14:textId="0613CC14" w:rsidR="00676BDB" w:rsidRPr="009E12F9" w:rsidRDefault="00676BDB" w:rsidP="00413528">
      <w:pPr>
        <w:spacing w:line="240" w:lineRule="auto"/>
        <w:ind w:hanging="720"/>
        <w:rPr>
          <w:rFonts w:asciiTheme="minorHAnsi" w:eastAsia="Times New Roman" w:hAnsiTheme="minorHAnsi" w:cstheme="minorBidi"/>
          <w:lang w:eastAsia="en-GB"/>
        </w:rPr>
      </w:pPr>
      <w:r w:rsidRPr="00676BDB">
        <w:rPr>
          <w:rFonts w:asciiTheme="minorHAnsi" w:eastAsia="Times New Roman" w:hAnsiTheme="minorHAnsi" w:cstheme="minorBidi"/>
          <w:lang w:eastAsia="en-GB"/>
        </w:rPr>
        <w:t xml:space="preserve">Chang, J. H., Sritharan, S., Schmitt, K., Patel, S., Crew, R. J., &amp; </w:t>
      </w:r>
      <w:proofErr w:type="spellStart"/>
      <w:r w:rsidRPr="00676BDB">
        <w:rPr>
          <w:rFonts w:asciiTheme="minorHAnsi" w:eastAsia="Times New Roman" w:hAnsiTheme="minorHAnsi" w:cstheme="minorBidi"/>
          <w:lang w:eastAsia="en-GB"/>
        </w:rPr>
        <w:t>Tsapepas</w:t>
      </w:r>
      <w:proofErr w:type="spellEnd"/>
      <w:r w:rsidRPr="00676BDB">
        <w:rPr>
          <w:rFonts w:asciiTheme="minorHAnsi" w:eastAsia="Times New Roman" w:hAnsiTheme="minorHAnsi" w:cstheme="minorBidi"/>
          <w:lang w:eastAsia="en-GB"/>
        </w:rPr>
        <w:t>, D. S. (2021). Home care delivery and remote patient monitoring of kidney transplant recipients during COVID-19 pandemic. </w:t>
      </w:r>
      <w:r w:rsidRPr="00676BDB">
        <w:rPr>
          <w:rFonts w:asciiTheme="minorHAnsi" w:eastAsia="Times New Roman" w:hAnsiTheme="minorHAnsi" w:cstheme="minorBidi"/>
          <w:i/>
          <w:iCs/>
          <w:lang w:eastAsia="en-GB"/>
        </w:rPr>
        <w:t>Progress in Transplantation</w:t>
      </w:r>
      <w:r w:rsidRPr="00676BDB">
        <w:rPr>
          <w:rFonts w:asciiTheme="minorHAnsi" w:eastAsia="Times New Roman" w:hAnsiTheme="minorHAnsi" w:cstheme="minorBidi"/>
          <w:lang w:eastAsia="en-GB"/>
        </w:rPr>
        <w:t>, </w:t>
      </w:r>
      <w:r w:rsidRPr="00676BDB">
        <w:rPr>
          <w:rFonts w:asciiTheme="minorHAnsi" w:eastAsia="Times New Roman" w:hAnsiTheme="minorHAnsi" w:cstheme="minorBidi"/>
          <w:i/>
          <w:iCs/>
          <w:lang w:eastAsia="en-GB"/>
        </w:rPr>
        <w:t>31</w:t>
      </w:r>
      <w:r w:rsidRPr="00676BDB">
        <w:rPr>
          <w:rFonts w:asciiTheme="minorHAnsi" w:eastAsia="Times New Roman" w:hAnsiTheme="minorHAnsi" w:cstheme="minorBidi"/>
          <w:lang w:eastAsia="en-GB"/>
        </w:rPr>
        <w:t>(4), 381-384.</w:t>
      </w:r>
    </w:p>
    <w:p w14:paraId="3309DE03" w14:textId="108B581C" w:rsidR="004E3FF0" w:rsidRDefault="004E3FF0"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 xml:space="preserve">da Fonseca, M. H., Kovaleski, F., </w:t>
      </w:r>
      <w:proofErr w:type="spellStart"/>
      <w:r w:rsidRPr="26F64964">
        <w:rPr>
          <w:rFonts w:asciiTheme="minorHAnsi" w:eastAsia="Times New Roman" w:hAnsiTheme="minorHAnsi" w:cstheme="minorBidi"/>
          <w:highlight w:val="white"/>
          <w:lang w:eastAsia="en-GB"/>
        </w:rPr>
        <w:t>Picinin</w:t>
      </w:r>
      <w:proofErr w:type="spellEnd"/>
      <w:r w:rsidRPr="26F64964">
        <w:rPr>
          <w:rFonts w:asciiTheme="minorHAnsi" w:eastAsia="Times New Roman" w:hAnsiTheme="minorHAnsi" w:cstheme="minorBidi"/>
          <w:highlight w:val="white"/>
          <w:lang w:eastAsia="en-GB"/>
        </w:rPr>
        <w:t>, C. T., Pedroso, B., &amp; Rubbo, P. (2021). E-health practices and technologies: a systematic review from 2014 to 2019.</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i/>
          <w:iCs/>
          <w:highlight w:val="white"/>
          <w:lang w:eastAsia="en-GB"/>
        </w:rPr>
        <w:t>Healthcare</w:t>
      </w:r>
      <w:r w:rsidR="00C20799" w:rsidRPr="26F64964">
        <w:rPr>
          <w:rFonts w:asciiTheme="minorHAnsi" w:eastAsia="Times New Roman" w:hAnsiTheme="minorHAnsi" w:cstheme="minorBidi"/>
          <w:i/>
          <w:iCs/>
          <w:highlight w:val="white"/>
          <w:lang w:eastAsia="en-GB"/>
        </w:rPr>
        <w:t>,</w:t>
      </w:r>
      <w:r w:rsidRPr="26F64964">
        <w:rPr>
          <w:rFonts w:asciiTheme="minorHAnsi" w:eastAsia="Times New Roman" w:hAnsiTheme="minorHAnsi" w:cstheme="minorBidi"/>
          <w:i/>
          <w:iCs/>
          <w:highlight w:val="white"/>
          <w:lang w:eastAsia="en-GB"/>
        </w:rPr>
        <w:t> 9</w:t>
      </w:r>
      <w:r w:rsidR="001706F9" w:rsidRPr="26F64964">
        <w:rPr>
          <w:rFonts w:asciiTheme="minorHAnsi" w:eastAsia="Times New Roman" w:hAnsiTheme="minorHAnsi" w:cstheme="minorBidi"/>
          <w:highlight w:val="white"/>
          <w:lang w:eastAsia="en-GB"/>
        </w:rPr>
        <w:t>(</w:t>
      </w:r>
      <w:r w:rsidRPr="26F64964">
        <w:rPr>
          <w:rFonts w:asciiTheme="minorHAnsi" w:eastAsia="Times New Roman" w:hAnsiTheme="minorHAnsi" w:cstheme="minorBidi"/>
          <w:highlight w:val="white"/>
          <w:lang w:eastAsia="en-GB"/>
        </w:rPr>
        <w:t>9</w:t>
      </w:r>
      <w:r w:rsidR="001706F9" w:rsidRPr="26F64964">
        <w:rPr>
          <w:rFonts w:asciiTheme="minorHAnsi" w:eastAsia="Times New Roman" w:hAnsiTheme="minorHAnsi" w:cstheme="minorBidi"/>
          <w:highlight w:val="white"/>
          <w:lang w:eastAsia="en-GB"/>
        </w:rPr>
        <w:t>)</w:t>
      </w:r>
      <w:r w:rsidRPr="26F64964">
        <w:rPr>
          <w:rFonts w:asciiTheme="minorHAnsi" w:eastAsia="Times New Roman" w:hAnsiTheme="minorHAnsi" w:cstheme="minorBidi"/>
          <w:highlight w:val="white"/>
          <w:lang w:eastAsia="en-GB"/>
        </w:rPr>
        <w:t>, 1192</w:t>
      </w:r>
      <w:r w:rsidR="003D0EB6">
        <w:rPr>
          <w:rFonts w:asciiTheme="minorHAnsi" w:eastAsia="Times New Roman" w:hAnsiTheme="minorHAnsi" w:cstheme="minorBidi"/>
          <w:lang w:eastAsia="en-GB"/>
        </w:rPr>
        <w:t>.</w:t>
      </w:r>
    </w:p>
    <w:p w14:paraId="2E8F15D2" w14:textId="788F1CD7" w:rsidR="00654DB6" w:rsidRDefault="00654DB6" w:rsidP="00413528">
      <w:pPr>
        <w:spacing w:line="240" w:lineRule="auto"/>
        <w:ind w:hanging="720"/>
        <w:rPr>
          <w:rFonts w:asciiTheme="minorHAnsi" w:eastAsia="Times New Roman" w:hAnsiTheme="minorHAnsi" w:cstheme="minorBidi"/>
          <w:lang w:eastAsia="en-GB"/>
        </w:rPr>
      </w:pPr>
      <w:proofErr w:type="spellStart"/>
      <w:r w:rsidRPr="00654DB6">
        <w:rPr>
          <w:rFonts w:asciiTheme="minorHAnsi" w:eastAsia="Times New Roman" w:hAnsiTheme="minorHAnsi" w:cstheme="minorBidi"/>
          <w:lang w:eastAsia="en-GB"/>
        </w:rPr>
        <w:t>Deboni</w:t>
      </w:r>
      <w:proofErr w:type="spellEnd"/>
      <w:r w:rsidRPr="00654DB6">
        <w:rPr>
          <w:rFonts w:asciiTheme="minorHAnsi" w:eastAsia="Times New Roman" w:hAnsiTheme="minorHAnsi" w:cstheme="minorBidi"/>
          <w:lang w:eastAsia="en-GB"/>
        </w:rPr>
        <w:t xml:space="preserve">, L. M., Neermann, E. M. V., Calice-Silva, V., Hanauer, M. A., Moreira, A., Ambrósio, A., Guterres, D. B., Vieira, M. A., </w:t>
      </w:r>
      <w:proofErr w:type="spellStart"/>
      <w:r w:rsidRPr="00654DB6">
        <w:rPr>
          <w:rFonts w:asciiTheme="minorHAnsi" w:eastAsia="Times New Roman" w:hAnsiTheme="minorHAnsi" w:cstheme="minorBidi"/>
          <w:lang w:eastAsia="en-GB"/>
        </w:rPr>
        <w:t>Nerbass</w:t>
      </w:r>
      <w:proofErr w:type="spellEnd"/>
      <w:r w:rsidRPr="00654DB6">
        <w:rPr>
          <w:rFonts w:asciiTheme="minorHAnsi" w:eastAsia="Times New Roman" w:hAnsiTheme="minorHAnsi" w:cstheme="minorBidi"/>
          <w:lang w:eastAsia="en-GB"/>
        </w:rPr>
        <w:t>, F. B. (2020)</w:t>
      </w:r>
      <w:r>
        <w:rPr>
          <w:rFonts w:asciiTheme="minorHAnsi" w:eastAsia="Times New Roman" w:hAnsiTheme="minorHAnsi" w:cstheme="minorBidi"/>
          <w:lang w:eastAsia="en-GB"/>
        </w:rPr>
        <w:t xml:space="preserve">. </w:t>
      </w:r>
      <w:r w:rsidR="009C0C75" w:rsidRPr="009C0C75">
        <w:rPr>
          <w:rFonts w:asciiTheme="minorHAnsi" w:eastAsia="Times New Roman" w:hAnsiTheme="minorHAnsi" w:cstheme="minorBidi"/>
          <w:lang w:eastAsia="en-GB"/>
        </w:rPr>
        <w:t>Development and implementation of telehealth for peritoneal dialysis and kidney transplant patients monitoring during the COVID-19 pandemic. </w:t>
      </w:r>
      <w:r w:rsidR="009C0C75" w:rsidRPr="009C0C75">
        <w:rPr>
          <w:rFonts w:asciiTheme="minorHAnsi" w:eastAsia="Times New Roman" w:hAnsiTheme="minorHAnsi" w:cstheme="minorBidi"/>
          <w:i/>
          <w:iCs/>
          <w:lang w:eastAsia="en-GB"/>
        </w:rPr>
        <w:t>Brazilian Journal of Nephrology</w:t>
      </w:r>
      <w:r w:rsidR="009C0C75" w:rsidRPr="009C0C75">
        <w:rPr>
          <w:rFonts w:asciiTheme="minorHAnsi" w:eastAsia="Times New Roman" w:hAnsiTheme="minorHAnsi" w:cstheme="minorBidi"/>
          <w:lang w:eastAsia="en-GB"/>
        </w:rPr>
        <w:t>, </w:t>
      </w:r>
      <w:r w:rsidR="009C0C75" w:rsidRPr="009C0C75">
        <w:rPr>
          <w:rFonts w:asciiTheme="minorHAnsi" w:eastAsia="Times New Roman" w:hAnsiTheme="minorHAnsi" w:cstheme="minorBidi"/>
          <w:i/>
          <w:iCs/>
          <w:lang w:eastAsia="en-GB"/>
        </w:rPr>
        <w:t>43</w:t>
      </w:r>
      <w:r w:rsidR="009C0C75" w:rsidRPr="009C0C75">
        <w:rPr>
          <w:rFonts w:asciiTheme="minorHAnsi" w:eastAsia="Times New Roman" w:hAnsiTheme="minorHAnsi" w:cstheme="minorBidi"/>
          <w:lang w:eastAsia="en-GB"/>
        </w:rPr>
        <w:t>, 422-428.</w:t>
      </w:r>
    </w:p>
    <w:p w14:paraId="4974FAAB" w14:textId="32939E89" w:rsidR="00332C8B" w:rsidRDefault="00332C8B" w:rsidP="00413528">
      <w:pPr>
        <w:spacing w:line="240" w:lineRule="auto"/>
        <w:ind w:hanging="720"/>
        <w:rPr>
          <w:rFonts w:asciiTheme="minorHAnsi" w:eastAsia="Times New Roman" w:hAnsiTheme="minorHAnsi" w:cstheme="minorBidi"/>
          <w:lang w:eastAsia="en-GB"/>
        </w:rPr>
      </w:pPr>
      <w:r w:rsidRPr="00332C8B">
        <w:rPr>
          <w:rFonts w:asciiTheme="minorHAnsi" w:eastAsia="Times New Roman" w:hAnsiTheme="minorHAnsi" w:cstheme="minorBidi"/>
          <w:lang w:eastAsia="en-GB"/>
        </w:rPr>
        <w:t xml:space="preserve">Delman, A. M., Turner, K. M., Jones, C. R., </w:t>
      </w:r>
      <w:proofErr w:type="spellStart"/>
      <w:r w:rsidRPr="00332C8B">
        <w:rPr>
          <w:rFonts w:asciiTheme="minorHAnsi" w:eastAsia="Times New Roman" w:hAnsiTheme="minorHAnsi" w:cstheme="minorBidi"/>
          <w:lang w:eastAsia="en-GB"/>
        </w:rPr>
        <w:t>Vaysburg</w:t>
      </w:r>
      <w:proofErr w:type="spellEnd"/>
      <w:r w:rsidRPr="00332C8B">
        <w:rPr>
          <w:rFonts w:asciiTheme="minorHAnsi" w:eastAsia="Times New Roman" w:hAnsiTheme="minorHAnsi" w:cstheme="minorBidi"/>
          <w:lang w:eastAsia="en-GB"/>
        </w:rPr>
        <w:t>, D. M., Silski, L. S., King, C., Luckett, K., Safdar, K., Quillin, R. C., &amp; Shah, S. A. (2021)</w:t>
      </w:r>
      <w:r w:rsidR="0056380C">
        <w:rPr>
          <w:rFonts w:asciiTheme="minorHAnsi" w:eastAsia="Times New Roman" w:hAnsiTheme="minorHAnsi" w:cstheme="minorBidi"/>
          <w:lang w:eastAsia="en-GB"/>
        </w:rPr>
        <w:t xml:space="preserve">. </w:t>
      </w:r>
      <w:r w:rsidR="00705B3C" w:rsidRPr="00705B3C">
        <w:rPr>
          <w:rFonts w:asciiTheme="minorHAnsi" w:eastAsia="Times New Roman" w:hAnsiTheme="minorHAnsi" w:cstheme="minorBidi"/>
          <w:lang w:eastAsia="en-GB"/>
        </w:rPr>
        <w:t>Keeping the lights on: telehealth, testing, and 6-month outcomes for orthotopic liver transplantation during the COVID-19 pandemic. </w:t>
      </w:r>
      <w:r w:rsidR="00705B3C" w:rsidRPr="00705B3C">
        <w:rPr>
          <w:rFonts w:asciiTheme="minorHAnsi" w:eastAsia="Times New Roman" w:hAnsiTheme="minorHAnsi" w:cstheme="minorBidi"/>
          <w:i/>
          <w:iCs/>
          <w:lang w:eastAsia="en-GB"/>
        </w:rPr>
        <w:t>Surgery</w:t>
      </w:r>
      <w:r w:rsidR="00705B3C" w:rsidRPr="00705B3C">
        <w:rPr>
          <w:rFonts w:asciiTheme="minorHAnsi" w:eastAsia="Times New Roman" w:hAnsiTheme="minorHAnsi" w:cstheme="minorBidi"/>
          <w:lang w:eastAsia="en-GB"/>
        </w:rPr>
        <w:t>, </w:t>
      </w:r>
      <w:r w:rsidR="00705B3C" w:rsidRPr="00705B3C">
        <w:rPr>
          <w:rFonts w:asciiTheme="minorHAnsi" w:eastAsia="Times New Roman" w:hAnsiTheme="minorHAnsi" w:cstheme="minorBidi"/>
          <w:i/>
          <w:iCs/>
          <w:lang w:eastAsia="en-GB"/>
        </w:rPr>
        <w:t>169</w:t>
      </w:r>
      <w:r w:rsidR="00705B3C" w:rsidRPr="00705B3C">
        <w:rPr>
          <w:rFonts w:asciiTheme="minorHAnsi" w:eastAsia="Times New Roman" w:hAnsiTheme="minorHAnsi" w:cstheme="minorBidi"/>
          <w:lang w:eastAsia="en-GB"/>
        </w:rPr>
        <w:t>(6), 1519-1524.</w:t>
      </w:r>
    </w:p>
    <w:p w14:paraId="4BCFDF0C" w14:textId="5C51BD67" w:rsidR="00A8500F" w:rsidRPr="009E12F9" w:rsidRDefault="00A8500F" w:rsidP="00413528">
      <w:pPr>
        <w:spacing w:line="240" w:lineRule="auto"/>
        <w:ind w:hanging="720"/>
        <w:rPr>
          <w:rFonts w:asciiTheme="minorHAnsi" w:eastAsia="Times New Roman" w:hAnsiTheme="minorHAnsi" w:cstheme="minorBidi"/>
          <w:lang w:eastAsia="en-GB"/>
        </w:rPr>
      </w:pPr>
      <w:proofErr w:type="spellStart"/>
      <w:r w:rsidRPr="00A8500F">
        <w:rPr>
          <w:rFonts w:asciiTheme="minorHAnsi" w:eastAsia="Times New Roman" w:hAnsiTheme="minorHAnsi" w:cstheme="minorBidi"/>
          <w:lang w:eastAsia="en-GB"/>
        </w:rPr>
        <w:t>Divard</w:t>
      </w:r>
      <w:proofErr w:type="spellEnd"/>
      <w:r w:rsidRPr="00A8500F">
        <w:rPr>
          <w:rFonts w:asciiTheme="minorHAnsi" w:eastAsia="Times New Roman" w:hAnsiTheme="minorHAnsi" w:cstheme="minorBidi"/>
          <w:lang w:eastAsia="en-GB"/>
        </w:rPr>
        <w:t xml:space="preserve">, G., Raynaud, M., </w:t>
      </w:r>
      <w:proofErr w:type="spellStart"/>
      <w:r w:rsidRPr="00A8500F">
        <w:rPr>
          <w:rFonts w:asciiTheme="minorHAnsi" w:eastAsia="Times New Roman" w:hAnsiTheme="minorHAnsi" w:cstheme="minorBidi"/>
          <w:lang w:eastAsia="en-GB"/>
        </w:rPr>
        <w:t>Tatapudi</w:t>
      </w:r>
      <w:proofErr w:type="spellEnd"/>
      <w:r w:rsidRPr="00A8500F">
        <w:rPr>
          <w:rFonts w:asciiTheme="minorHAnsi" w:eastAsia="Times New Roman" w:hAnsiTheme="minorHAnsi" w:cstheme="minorBidi"/>
          <w:lang w:eastAsia="en-GB"/>
        </w:rPr>
        <w:t xml:space="preserve">, V. S., Abdalla, B., Bailly, E., Assayag, M., Binois, Y., Cohen, R., Zhang, H., Ulloa, C., Linhares, K., Tedesco, H. S., Legendre, C., </w:t>
      </w:r>
      <w:proofErr w:type="spellStart"/>
      <w:r w:rsidRPr="00A8500F">
        <w:rPr>
          <w:rFonts w:asciiTheme="minorHAnsi" w:eastAsia="Times New Roman" w:hAnsiTheme="minorHAnsi" w:cstheme="minorBidi"/>
          <w:lang w:eastAsia="en-GB"/>
        </w:rPr>
        <w:t>Jouven</w:t>
      </w:r>
      <w:proofErr w:type="spellEnd"/>
      <w:r w:rsidRPr="00A8500F">
        <w:rPr>
          <w:rFonts w:asciiTheme="minorHAnsi" w:eastAsia="Times New Roman" w:hAnsiTheme="minorHAnsi" w:cstheme="minorBidi"/>
          <w:lang w:eastAsia="en-GB"/>
        </w:rPr>
        <w:t xml:space="preserve">, X., Montgomery, R. A., </w:t>
      </w:r>
      <w:proofErr w:type="spellStart"/>
      <w:r w:rsidRPr="00A8500F">
        <w:rPr>
          <w:rFonts w:asciiTheme="minorHAnsi" w:eastAsia="Times New Roman" w:hAnsiTheme="minorHAnsi" w:cstheme="minorBidi"/>
          <w:lang w:eastAsia="en-GB"/>
        </w:rPr>
        <w:t>Lefaucheur</w:t>
      </w:r>
      <w:proofErr w:type="spellEnd"/>
      <w:r w:rsidRPr="00A8500F">
        <w:rPr>
          <w:rFonts w:asciiTheme="minorHAnsi" w:eastAsia="Times New Roman" w:hAnsiTheme="minorHAnsi" w:cstheme="minorBidi"/>
          <w:lang w:eastAsia="en-GB"/>
        </w:rPr>
        <w:t xml:space="preserve">, C., Aubert, O., &amp; </w:t>
      </w:r>
      <w:proofErr w:type="spellStart"/>
      <w:r w:rsidRPr="00A8500F">
        <w:rPr>
          <w:rFonts w:asciiTheme="minorHAnsi" w:eastAsia="Times New Roman" w:hAnsiTheme="minorHAnsi" w:cstheme="minorBidi"/>
          <w:lang w:eastAsia="en-GB"/>
        </w:rPr>
        <w:t>Loupy</w:t>
      </w:r>
      <w:proofErr w:type="spellEnd"/>
      <w:r w:rsidRPr="00A8500F">
        <w:rPr>
          <w:rFonts w:asciiTheme="minorHAnsi" w:eastAsia="Times New Roman" w:hAnsiTheme="minorHAnsi" w:cstheme="minorBidi"/>
          <w:lang w:eastAsia="en-GB"/>
        </w:rPr>
        <w:t>, A. (2022)</w:t>
      </w:r>
      <w:r w:rsidR="001D0E99">
        <w:rPr>
          <w:rFonts w:asciiTheme="minorHAnsi" w:eastAsia="Times New Roman" w:hAnsiTheme="minorHAnsi" w:cstheme="minorBidi"/>
          <w:lang w:eastAsia="en-GB"/>
        </w:rPr>
        <w:t xml:space="preserve">. </w:t>
      </w:r>
      <w:r w:rsidR="001D0E99" w:rsidRPr="001D0E99">
        <w:rPr>
          <w:rFonts w:asciiTheme="minorHAnsi" w:eastAsia="Times New Roman" w:hAnsiTheme="minorHAnsi" w:cstheme="minorBidi"/>
          <w:lang w:eastAsia="en-GB"/>
        </w:rPr>
        <w:t>Comparison of artificial intelligence and human-based prediction and stratification of the risk of long-term kidney allograft failure. </w:t>
      </w:r>
      <w:r w:rsidR="001D0E99" w:rsidRPr="001D0E99">
        <w:rPr>
          <w:rFonts w:asciiTheme="minorHAnsi" w:eastAsia="Times New Roman" w:hAnsiTheme="minorHAnsi" w:cstheme="minorBidi"/>
          <w:i/>
          <w:iCs/>
          <w:lang w:eastAsia="en-GB"/>
        </w:rPr>
        <w:t>Communications Medicine</w:t>
      </w:r>
      <w:r w:rsidR="001D0E99" w:rsidRPr="001D0E99">
        <w:rPr>
          <w:rFonts w:asciiTheme="minorHAnsi" w:eastAsia="Times New Roman" w:hAnsiTheme="minorHAnsi" w:cstheme="minorBidi"/>
          <w:lang w:eastAsia="en-GB"/>
        </w:rPr>
        <w:t>, </w:t>
      </w:r>
      <w:r w:rsidR="001D0E99" w:rsidRPr="001D0E99">
        <w:rPr>
          <w:rFonts w:asciiTheme="minorHAnsi" w:eastAsia="Times New Roman" w:hAnsiTheme="minorHAnsi" w:cstheme="minorBidi"/>
          <w:i/>
          <w:iCs/>
          <w:lang w:eastAsia="en-GB"/>
        </w:rPr>
        <w:t>2</w:t>
      </w:r>
      <w:r w:rsidR="001D0E99" w:rsidRPr="001D0E99">
        <w:rPr>
          <w:rFonts w:asciiTheme="minorHAnsi" w:eastAsia="Times New Roman" w:hAnsiTheme="minorHAnsi" w:cstheme="minorBidi"/>
          <w:lang w:eastAsia="en-GB"/>
        </w:rPr>
        <w:t>(1), 150.</w:t>
      </w:r>
    </w:p>
    <w:p w14:paraId="149A6BB2" w14:textId="69E20A8C" w:rsidR="00737827" w:rsidRDefault="00737827"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Doyle-</w:t>
      </w:r>
      <w:proofErr w:type="spellStart"/>
      <w:r w:rsidRPr="26F64964">
        <w:rPr>
          <w:rFonts w:asciiTheme="minorHAnsi" w:eastAsia="Times New Roman" w:hAnsiTheme="minorHAnsi" w:cstheme="minorBidi"/>
          <w:highlight w:val="white"/>
          <w:lang w:eastAsia="en-GB"/>
        </w:rPr>
        <w:t>Lindrud</w:t>
      </w:r>
      <w:proofErr w:type="spellEnd"/>
      <w:r w:rsidRPr="26F64964">
        <w:rPr>
          <w:rFonts w:asciiTheme="minorHAnsi" w:eastAsia="Times New Roman" w:hAnsiTheme="minorHAnsi" w:cstheme="minorBidi"/>
          <w:highlight w:val="white"/>
          <w:lang w:eastAsia="en-GB"/>
        </w:rPr>
        <w:t>, S. (2020). State of eHealth in cancer care: review of the benefits and</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 xml:space="preserve">limitations of </w:t>
      </w:r>
      <w:proofErr w:type="spellStart"/>
      <w:r w:rsidRPr="26F64964">
        <w:rPr>
          <w:rFonts w:asciiTheme="minorHAnsi" w:eastAsia="Times New Roman" w:hAnsiTheme="minorHAnsi" w:cstheme="minorBidi"/>
          <w:highlight w:val="white"/>
          <w:lang w:eastAsia="en-GB"/>
        </w:rPr>
        <w:t>ehealth</w:t>
      </w:r>
      <w:proofErr w:type="spellEnd"/>
      <w:r w:rsidRPr="26F64964">
        <w:rPr>
          <w:rFonts w:asciiTheme="minorHAnsi" w:eastAsia="Times New Roman" w:hAnsiTheme="minorHAnsi" w:cstheme="minorBidi"/>
          <w:highlight w:val="white"/>
          <w:lang w:eastAsia="en-GB"/>
        </w:rPr>
        <w:t xml:space="preserve"> tools. </w:t>
      </w:r>
      <w:r w:rsidR="00B03EA0" w:rsidRPr="26F64964">
        <w:rPr>
          <w:rFonts w:asciiTheme="minorHAnsi" w:eastAsia="Times New Roman" w:hAnsiTheme="minorHAnsi" w:cstheme="minorBidi"/>
          <w:i/>
          <w:iCs/>
          <w:highlight w:val="white"/>
          <w:lang w:eastAsia="en-GB"/>
        </w:rPr>
        <w:t>Clinical Journal of Oncology Nursing</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24</w:t>
      </w:r>
      <w:r w:rsidRPr="26F64964">
        <w:rPr>
          <w:rFonts w:asciiTheme="minorHAnsi" w:eastAsia="Times New Roman" w:hAnsiTheme="minorHAnsi" w:cstheme="minorBidi"/>
          <w:highlight w:val="white"/>
          <w:lang w:eastAsia="en-GB"/>
        </w:rPr>
        <w:t>(3), 10-15</w:t>
      </w:r>
      <w:r w:rsidRPr="26F64964">
        <w:rPr>
          <w:rFonts w:asciiTheme="minorHAnsi" w:eastAsia="Times New Roman" w:hAnsiTheme="minorHAnsi" w:cstheme="minorBidi"/>
          <w:lang w:eastAsia="en-GB"/>
        </w:rPr>
        <w:t>.</w:t>
      </w:r>
    </w:p>
    <w:p w14:paraId="6656F3AB" w14:textId="1DE65526" w:rsidR="00E5472B" w:rsidRPr="00D33C9F" w:rsidRDefault="00E83F78" w:rsidP="00413528">
      <w:pPr>
        <w:spacing w:line="240" w:lineRule="auto"/>
        <w:ind w:hanging="720"/>
        <w:rPr>
          <w:rFonts w:asciiTheme="minorHAnsi" w:eastAsia="Times New Roman" w:hAnsiTheme="minorHAnsi" w:cstheme="minorBidi"/>
          <w:lang w:eastAsia="en-GB"/>
        </w:rPr>
      </w:pPr>
      <w:r w:rsidRPr="00E83F78">
        <w:rPr>
          <w:rFonts w:asciiTheme="minorHAnsi" w:eastAsia="Times New Roman" w:hAnsiTheme="minorHAnsi" w:cstheme="minorBidi"/>
          <w:lang w:eastAsia="en-GB"/>
        </w:rPr>
        <w:t xml:space="preserve">Duarte-Rojo, A., Brown, R. A., Bloomer, P. M., Duarte, M. N., Grubbs, R. K., &amp; Hernaez, R. (2022). A Telemedicine Alternative to the 6-Minute Walk Test Using Personal Activity Trackers in Liver </w:t>
      </w:r>
      <w:r w:rsidRPr="00D33C9F">
        <w:rPr>
          <w:rFonts w:asciiTheme="minorHAnsi" w:eastAsia="Times New Roman" w:hAnsiTheme="minorHAnsi" w:cstheme="minorBidi"/>
          <w:lang w:eastAsia="en-GB"/>
        </w:rPr>
        <w:t>Transplant Candidates. </w:t>
      </w:r>
      <w:r w:rsidRPr="00D33C9F">
        <w:rPr>
          <w:rFonts w:asciiTheme="minorHAnsi" w:eastAsia="Times New Roman" w:hAnsiTheme="minorHAnsi" w:cstheme="minorBidi"/>
          <w:i/>
          <w:iCs/>
          <w:lang w:eastAsia="en-GB"/>
        </w:rPr>
        <w:t>Transplantation Direct</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8</w:t>
      </w:r>
      <w:r w:rsidRPr="00D33C9F">
        <w:rPr>
          <w:rFonts w:asciiTheme="minorHAnsi" w:eastAsia="Times New Roman" w:hAnsiTheme="minorHAnsi" w:cstheme="minorBidi"/>
          <w:lang w:eastAsia="en-GB"/>
        </w:rPr>
        <w:t>(8)</w:t>
      </w:r>
      <w:r w:rsidR="00C11853" w:rsidRPr="00D33C9F">
        <w:rPr>
          <w:rFonts w:asciiTheme="minorHAnsi" w:eastAsia="Times New Roman" w:hAnsiTheme="minorHAnsi" w:cstheme="minorBidi"/>
          <w:lang w:eastAsia="en-GB"/>
        </w:rPr>
        <w:t>, Article e1347.</w:t>
      </w:r>
    </w:p>
    <w:p w14:paraId="24167A53" w14:textId="52C000D7" w:rsidR="009F3591" w:rsidRPr="00D33C9F" w:rsidRDefault="009F3591"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highlight w:val="white"/>
          <w:lang w:eastAsia="en-GB"/>
        </w:rPr>
        <w:t xml:space="preserve">Dutta, S., &amp; Mia, I. (2010). </w:t>
      </w:r>
      <w:r w:rsidRPr="00D33C9F">
        <w:rPr>
          <w:rFonts w:asciiTheme="minorHAnsi" w:eastAsia="Times New Roman" w:hAnsiTheme="minorHAnsi" w:cstheme="minorBidi"/>
          <w:i/>
          <w:iCs/>
          <w:highlight w:val="white"/>
          <w:lang w:eastAsia="en-GB"/>
        </w:rPr>
        <w:t>The global information technology report 2009–2010</w:t>
      </w:r>
      <w:r w:rsidRPr="00D33C9F">
        <w:rPr>
          <w:rFonts w:asciiTheme="minorHAnsi" w:eastAsia="Times New Roman" w:hAnsiTheme="minorHAnsi" w:cstheme="minorBidi"/>
          <w:i/>
          <w:iCs/>
          <w:lang w:eastAsia="en-GB"/>
        </w:rPr>
        <w:t>.</w:t>
      </w:r>
      <w:r w:rsidRPr="00D33C9F">
        <w:rPr>
          <w:rFonts w:asciiTheme="minorHAnsi" w:eastAsia="Times New Roman" w:hAnsiTheme="minorHAnsi" w:cstheme="minorBidi"/>
          <w:lang w:eastAsia="en-GB"/>
        </w:rPr>
        <w:t xml:space="preserve"> </w:t>
      </w:r>
      <w:hyperlink r:id="rId15">
        <w:r w:rsidR="00B03EA0" w:rsidRPr="00D33C9F">
          <w:rPr>
            <w:rStyle w:val="Hyperlink"/>
            <w:rFonts w:asciiTheme="minorHAnsi" w:eastAsia="Times New Roman" w:hAnsiTheme="minorHAnsi" w:cstheme="minorBidi"/>
            <w:color w:val="auto"/>
            <w:lang w:eastAsia="en-GB"/>
          </w:rPr>
          <w:t>https://www.ifap.ru/library/book466.pdf</w:t>
        </w:r>
      </w:hyperlink>
      <w:r w:rsidR="00B03EA0" w:rsidRPr="00D33C9F">
        <w:rPr>
          <w:rFonts w:asciiTheme="minorHAnsi" w:eastAsia="Times New Roman" w:hAnsiTheme="minorHAnsi" w:cstheme="minorBidi"/>
          <w:lang w:eastAsia="en-GB"/>
        </w:rPr>
        <w:t xml:space="preserve"> </w:t>
      </w:r>
    </w:p>
    <w:p w14:paraId="67DEF2D6" w14:textId="434E0B5B" w:rsidR="006C63C7" w:rsidRDefault="006C63C7" w:rsidP="00413528">
      <w:pPr>
        <w:spacing w:line="240" w:lineRule="auto"/>
        <w:ind w:hanging="720"/>
        <w:rPr>
          <w:rFonts w:asciiTheme="minorHAnsi" w:eastAsia="Times New Roman" w:hAnsiTheme="minorHAnsi" w:cstheme="minorBidi"/>
          <w:lang w:eastAsia="en-GB"/>
        </w:rPr>
      </w:pPr>
      <w:proofErr w:type="spellStart"/>
      <w:r w:rsidRPr="26F64964">
        <w:rPr>
          <w:rFonts w:asciiTheme="minorHAnsi" w:eastAsia="Times New Roman" w:hAnsiTheme="minorHAnsi" w:cstheme="minorBidi"/>
          <w:highlight w:val="white"/>
          <w:lang w:eastAsia="en-GB"/>
        </w:rPr>
        <w:t>Duettmann</w:t>
      </w:r>
      <w:proofErr w:type="spellEnd"/>
      <w:r w:rsidRPr="26F64964">
        <w:rPr>
          <w:rFonts w:asciiTheme="minorHAnsi" w:eastAsia="Times New Roman" w:hAnsiTheme="minorHAnsi" w:cstheme="minorBidi"/>
          <w:highlight w:val="white"/>
          <w:lang w:eastAsia="en-GB"/>
        </w:rPr>
        <w:t xml:space="preserve">, W., Naik, M. G., Zukunft, B., </w:t>
      </w:r>
      <w:proofErr w:type="spellStart"/>
      <w:r w:rsidRPr="26F64964">
        <w:rPr>
          <w:rFonts w:asciiTheme="minorHAnsi" w:eastAsia="Times New Roman" w:hAnsiTheme="minorHAnsi" w:cstheme="minorBidi"/>
          <w:highlight w:val="white"/>
          <w:lang w:eastAsia="en-GB"/>
        </w:rPr>
        <w:t>Osmonodja</w:t>
      </w:r>
      <w:proofErr w:type="spellEnd"/>
      <w:r w:rsidRPr="26F64964">
        <w:rPr>
          <w:rFonts w:asciiTheme="minorHAnsi" w:eastAsia="Times New Roman" w:hAnsiTheme="minorHAnsi" w:cstheme="minorBidi"/>
          <w:highlight w:val="white"/>
          <w:lang w:eastAsia="en-GB"/>
        </w:rPr>
        <w:t>, B., Bachmann, F., Choi, M.,</w:t>
      </w:r>
      <w:r w:rsidR="00960B63" w:rsidRPr="26F64964">
        <w:rPr>
          <w:rFonts w:asciiTheme="minorHAnsi" w:eastAsia="Times New Roman" w:hAnsiTheme="minorHAnsi" w:cstheme="minorBidi"/>
          <w:lang w:eastAsia="en-GB"/>
        </w:rPr>
        <w:t xml:space="preserve"> </w:t>
      </w:r>
      <w:r w:rsidR="00960B63" w:rsidRPr="26F64964">
        <w:rPr>
          <w:rFonts w:asciiTheme="minorHAnsi" w:eastAsia="Times New Roman" w:hAnsiTheme="minorHAnsi" w:cstheme="minorBidi"/>
          <w:highlight w:val="white"/>
          <w:lang w:eastAsia="en-GB"/>
        </w:rPr>
        <w:t xml:space="preserve">Roller, R., </w:t>
      </w:r>
      <w:proofErr w:type="spellStart"/>
      <w:r w:rsidR="00960B63" w:rsidRPr="26F64964">
        <w:rPr>
          <w:rFonts w:asciiTheme="minorHAnsi" w:eastAsia="Times New Roman" w:hAnsiTheme="minorHAnsi" w:cstheme="minorBidi"/>
          <w:highlight w:val="white"/>
          <w:lang w:eastAsia="en-GB"/>
        </w:rPr>
        <w:t>Mayrdorfer</w:t>
      </w:r>
      <w:proofErr w:type="spellEnd"/>
      <w:r w:rsidR="00960B63" w:rsidRPr="26F64964">
        <w:rPr>
          <w:rFonts w:asciiTheme="minorHAnsi" w:eastAsia="Times New Roman" w:hAnsiTheme="minorHAnsi" w:cstheme="minorBidi"/>
          <w:highlight w:val="white"/>
          <w:lang w:eastAsia="en-GB"/>
        </w:rPr>
        <w:t>, M., Halleck, F., Schmidt, D.,</w:t>
      </w:r>
      <w:r w:rsidRPr="26F64964">
        <w:rPr>
          <w:rFonts w:asciiTheme="minorHAnsi" w:eastAsia="Times New Roman" w:hAnsiTheme="minorHAnsi" w:cstheme="minorBidi"/>
          <w:highlight w:val="white"/>
          <w:lang w:eastAsia="en-GB"/>
        </w:rPr>
        <w:t xml:space="preserve"> &amp; Budde, K. (2021). eHealth in</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transplantation. </w:t>
      </w:r>
      <w:r w:rsidRPr="26F64964">
        <w:rPr>
          <w:rFonts w:asciiTheme="minorHAnsi" w:eastAsia="Times New Roman" w:hAnsiTheme="minorHAnsi" w:cstheme="minorBidi"/>
          <w:i/>
          <w:iCs/>
          <w:highlight w:val="white"/>
          <w:lang w:eastAsia="en-GB"/>
        </w:rPr>
        <w:t>Transplant International</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34</w:t>
      </w:r>
      <w:r w:rsidRPr="26F64964">
        <w:rPr>
          <w:rFonts w:asciiTheme="minorHAnsi" w:eastAsia="Times New Roman" w:hAnsiTheme="minorHAnsi" w:cstheme="minorBidi"/>
          <w:highlight w:val="white"/>
          <w:lang w:eastAsia="en-GB"/>
        </w:rPr>
        <w:t>(1), 16-26</w:t>
      </w:r>
      <w:r w:rsidRPr="26F64964">
        <w:rPr>
          <w:rFonts w:asciiTheme="minorHAnsi" w:eastAsia="Times New Roman" w:hAnsiTheme="minorHAnsi" w:cstheme="minorBidi"/>
          <w:lang w:eastAsia="en-GB"/>
        </w:rPr>
        <w:t>.</w:t>
      </w:r>
    </w:p>
    <w:p w14:paraId="16D09F37" w14:textId="712AFAEB" w:rsidR="00E52229" w:rsidRDefault="00E52229" w:rsidP="00413528">
      <w:pPr>
        <w:spacing w:line="240" w:lineRule="auto"/>
        <w:ind w:hanging="720"/>
        <w:rPr>
          <w:rFonts w:asciiTheme="minorHAnsi" w:eastAsia="Times New Roman" w:hAnsiTheme="minorHAnsi" w:cstheme="minorBidi"/>
          <w:lang w:eastAsia="en-GB"/>
        </w:rPr>
      </w:pPr>
      <w:r w:rsidRPr="00E52229">
        <w:rPr>
          <w:rFonts w:asciiTheme="minorHAnsi" w:eastAsia="Times New Roman" w:hAnsiTheme="minorHAnsi" w:cstheme="minorBidi"/>
          <w:lang w:eastAsia="en-GB"/>
        </w:rPr>
        <w:t xml:space="preserve">Eno, A. K., Thomas, A. G., Ruck, J. M., Rasmussen, S. E. V. P., Halpern, S. E., Waldram, M. M., </w:t>
      </w:r>
      <w:proofErr w:type="spellStart"/>
      <w:r w:rsidRPr="00E52229">
        <w:rPr>
          <w:rFonts w:asciiTheme="minorHAnsi" w:eastAsia="Times New Roman" w:hAnsiTheme="minorHAnsi" w:cstheme="minorBidi"/>
          <w:lang w:eastAsia="en-GB"/>
        </w:rPr>
        <w:t>Muzaale</w:t>
      </w:r>
      <w:proofErr w:type="spellEnd"/>
      <w:r w:rsidRPr="00E52229">
        <w:rPr>
          <w:rFonts w:asciiTheme="minorHAnsi" w:eastAsia="Times New Roman" w:hAnsiTheme="minorHAnsi" w:cstheme="minorBidi"/>
          <w:lang w:eastAsia="en-GB"/>
        </w:rPr>
        <w:t>, A. D., Purnell, T. S., Massie, A. B., Wang, J. M. G., Lentine, K. L., Segev, D. L., Henderson, M. L. (2018)</w:t>
      </w:r>
      <w:r>
        <w:rPr>
          <w:rFonts w:asciiTheme="minorHAnsi" w:eastAsia="Times New Roman" w:hAnsiTheme="minorHAnsi" w:cstheme="minorBidi"/>
          <w:lang w:eastAsia="en-GB"/>
        </w:rPr>
        <w:t xml:space="preserve">. </w:t>
      </w:r>
      <w:r w:rsidR="00D578CA" w:rsidRPr="00D578CA">
        <w:rPr>
          <w:rFonts w:asciiTheme="minorHAnsi" w:eastAsia="Times New Roman" w:hAnsiTheme="minorHAnsi" w:cstheme="minorBidi"/>
          <w:lang w:eastAsia="en-GB"/>
        </w:rPr>
        <w:t>Assessing the attitudes and perceptions regarding the use of mobile health technologies for living kidney donor follow-up: survey study. </w:t>
      </w:r>
      <w:r w:rsidR="00D578CA" w:rsidRPr="00D578CA">
        <w:rPr>
          <w:rFonts w:asciiTheme="minorHAnsi" w:eastAsia="Times New Roman" w:hAnsiTheme="minorHAnsi" w:cstheme="minorBidi"/>
          <w:i/>
          <w:iCs/>
          <w:lang w:eastAsia="en-GB"/>
        </w:rPr>
        <w:t>J</w:t>
      </w:r>
      <w:r w:rsidR="00692B5D">
        <w:rPr>
          <w:rFonts w:asciiTheme="minorHAnsi" w:eastAsia="Times New Roman" w:hAnsiTheme="minorHAnsi" w:cstheme="minorBidi"/>
          <w:i/>
          <w:iCs/>
          <w:lang w:eastAsia="en-GB"/>
        </w:rPr>
        <w:t xml:space="preserve">ournal of </w:t>
      </w:r>
      <w:r w:rsidR="00D578CA" w:rsidRPr="00D578CA">
        <w:rPr>
          <w:rFonts w:asciiTheme="minorHAnsi" w:eastAsia="Times New Roman" w:hAnsiTheme="minorHAnsi" w:cstheme="minorBidi"/>
          <w:i/>
          <w:iCs/>
          <w:lang w:eastAsia="en-GB"/>
        </w:rPr>
        <w:t>M</w:t>
      </w:r>
      <w:r w:rsidR="00692B5D">
        <w:rPr>
          <w:rFonts w:asciiTheme="minorHAnsi" w:eastAsia="Times New Roman" w:hAnsiTheme="minorHAnsi" w:cstheme="minorBidi"/>
          <w:i/>
          <w:iCs/>
          <w:lang w:eastAsia="en-GB"/>
        </w:rPr>
        <w:t xml:space="preserve">edical </w:t>
      </w:r>
      <w:r w:rsidR="00D578CA" w:rsidRPr="00D578CA">
        <w:rPr>
          <w:rFonts w:asciiTheme="minorHAnsi" w:eastAsia="Times New Roman" w:hAnsiTheme="minorHAnsi" w:cstheme="minorBidi"/>
          <w:i/>
          <w:iCs/>
          <w:lang w:eastAsia="en-GB"/>
        </w:rPr>
        <w:t>I</w:t>
      </w:r>
      <w:r w:rsidR="00692B5D">
        <w:rPr>
          <w:rFonts w:asciiTheme="minorHAnsi" w:eastAsia="Times New Roman" w:hAnsiTheme="minorHAnsi" w:cstheme="minorBidi"/>
          <w:i/>
          <w:iCs/>
          <w:lang w:eastAsia="en-GB"/>
        </w:rPr>
        <w:t xml:space="preserve">nternet </w:t>
      </w:r>
      <w:r w:rsidR="00D578CA" w:rsidRPr="00D578CA">
        <w:rPr>
          <w:rFonts w:asciiTheme="minorHAnsi" w:eastAsia="Times New Roman" w:hAnsiTheme="minorHAnsi" w:cstheme="minorBidi"/>
          <w:i/>
          <w:iCs/>
          <w:lang w:eastAsia="en-GB"/>
        </w:rPr>
        <w:t>R</w:t>
      </w:r>
      <w:r w:rsidR="00692B5D">
        <w:rPr>
          <w:rFonts w:asciiTheme="minorHAnsi" w:eastAsia="Times New Roman" w:hAnsiTheme="minorHAnsi" w:cstheme="minorBidi"/>
          <w:i/>
          <w:iCs/>
          <w:lang w:eastAsia="en-GB"/>
        </w:rPr>
        <w:t>esearch</w:t>
      </w:r>
      <w:r w:rsidR="00D578CA" w:rsidRPr="00D578CA">
        <w:rPr>
          <w:rFonts w:asciiTheme="minorHAnsi" w:eastAsia="Times New Roman" w:hAnsiTheme="minorHAnsi" w:cstheme="minorBidi"/>
          <w:i/>
          <w:iCs/>
          <w:lang w:eastAsia="en-GB"/>
        </w:rPr>
        <w:t xml:space="preserve"> mHealth and </w:t>
      </w:r>
      <w:proofErr w:type="spellStart"/>
      <w:r w:rsidR="00D578CA" w:rsidRPr="00D578CA">
        <w:rPr>
          <w:rFonts w:asciiTheme="minorHAnsi" w:eastAsia="Times New Roman" w:hAnsiTheme="minorHAnsi" w:cstheme="minorBidi"/>
          <w:i/>
          <w:iCs/>
          <w:lang w:eastAsia="en-GB"/>
        </w:rPr>
        <w:t>uHealth</w:t>
      </w:r>
      <w:proofErr w:type="spellEnd"/>
      <w:r w:rsidR="00D578CA" w:rsidRPr="00D578CA">
        <w:rPr>
          <w:rFonts w:asciiTheme="minorHAnsi" w:eastAsia="Times New Roman" w:hAnsiTheme="minorHAnsi" w:cstheme="minorBidi"/>
          <w:lang w:eastAsia="en-GB"/>
        </w:rPr>
        <w:t>, </w:t>
      </w:r>
      <w:r w:rsidR="00D578CA" w:rsidRPr="00D578CA">
        <w:rPr>
          <w:rFonts w:asciiTheme="minorHAnsi" w:eastAsia="Times New Roman" w:hAnsiTheme="minorHAnsi" w:cstheme="minorBidi"/>
          <w:i/>
          <w:iCs/>
          <w:lang w:eastAsia="en-GB"/>
        </w:rPr>
        <w:t>6</w:t>
      </w:r>
      <w:r w:rsidR="00D578CA" w:rsidRPr="00D578CA">
        <w:rPr>
          <w:rFonts w:asciiTheme="minorHAnsi" w:eastAsia="Times New Roman" w:hAnsiTheme="minorHAnsi" w:cstheme="minorBidi"/>
          <w:lang w:eastAsia="en-GB"/>
        </w:rPr>
        <w:t xml:space="preserve">(10), </w:t>
      </w:r>
      <w:proofErr w:type="spellStart"/>
      <w:r w:rsidR="00D578CA">
        <w:rPr>
          <w:rFonts w:asciiTheme="minorHAnsi" w:eastAsia="Times New Roman" w:hAnsiTheme="minorHAnsi" w:cstheme="minorBidi"/>
          <w:lang w:eastAsia="en-GB"/>
        </w:rPr>
        <w:t>Artcile</w:t>
      </w:r>
      <w:proofErr w:type="spellEnd"/>
      <w:r w:rsidR="00D578CA">
        <w:rPr>
          <w:rFonts w:asciiTheme="minorHAnsi" w:eastAsia="Times New Roman" w:hAnsiTheme="minorHAnsi" w:cstheme="minorBidi"/>
          <w:lang w:eastAsia="en-GB"/>
        </w:rPr>
        <w:t xml:space="preserve"> </w:t>
      </w:r>
      <w:r w:rsidR="00D578CA" w:rsidRPr="00D578CA">
        <w:rPr>
          <w:rFonts w:asciiTheme="minorHAnsi" w:eastAsia="Times New Roman" w:hAnsiTheme="minorHAnsi" w:cstheme="minorBidi"/>
          <w:lang w:eastAsia="en-GB"/>
        </w:rPr>
        <w:t>e11192.</w:t>
      </w:r>
    </w:p>
    <w:p w14:paraId="36B44283" w14:textId="082F64D5" w:rsidR="00F85191" w:rsidRPr="00216715" w:rsidRDefault="00216715" w:rsidP="008952F0">
      <w:pPr>
        <w:spacing w:line="240" w:lineRule="auto"/>
        <w:ind w:hanging="720"/>
        <w:rPr>
          <w:rFonts w:asciiTheme="minorHAnsi" w:eastAsia="Times New Roman" w:hAnsiTheme="minorHAnsi" w:cstheme="minorBidi"/>
          <w:lang w:eastAsia="en-GB"/>
        </w:rPr>
      </w:pPr>
      <w:r w:rsidRPr="00216715">
        <w:rPr>
          <w:rFonts w:asciiTheme="minorHAnsi" w:eastAsia="Times New Roman" w:hAnsiTheme="minorHAnsi" w:cstheme="minorBidi"/>
          <w:lang w:eastAsia="en-GB"/>
        </w:rPr>
        <w:t xml:space="preserve">Eno, A. L., </w:t>
      </w:r>
      <w:proofErr w:type="spellStart"/>
      <w:r w:rsidRPr="00216715">
        <w:rPr>
          <w:rFonts w:asciiTheme="minorHAnsi" w:eastAsia="Times New Roman" w:hAnsiTheme="minorHAnsi" w:cstheme="minorBidi"/>
          <w:lang w:eastAsia="en-GB"/>
        </w:rPr>
        <w:t>Rucj</w:t>
      </w:r>
      <w:proofErr w:type="spellEnd"/>
      <w:r w:rsidRPr="00216715">
        <w:rPr>
          <w:rFonts w:asciiTheme="minorHAnsi" w:eastAsia="Times New Roman" w:hAnsiTheme="minorHAnsi" w:cstheme="minorBidi"/>
          <w:lang w:eastAsia="en-GB"/>
        </w:rPr>
        <w:t xml:space="preserve">, J. M., Rasmussen, S. E. V. P., Waldram, M. M., Thomas, A. G., Purnell, T. S., Wang, J. M. G., Massie, A. B., </w:t>
      </w:r>
      <w:proofErr w:type="spellStart"/>
      <w:r w:rsidRPr="00216715">
        <w:rPr>
          <w:rFonts w:asciiTheme="minorHAnsi" w:eastAsia="Times New Roman" w:hAnsiTheme="minorHAnsi" w:cstheme="minorBidi"/>
          <w:lang w:eastAsia="en-GB"/>
        </w:rPr>
        <w:t>Almmary</w:t>
      </w:r>
      <w:proofErr w:type="spellEnd"/>
      <w:r w:rsidRPr="00216715">
        <w:rPr>
          <w:rFonts w:asciiTheme="minorHAnsi" w:eastAsia="Times New Roman" w:hAnsiTheme="minorHAnsi" w:cstheme="minorBidi"/>
          <w:lang w:eastAsia="en-GB"/>
        </w:rPr>
        <w:t xml:space="preserve">, F. A., Cooper, L. M., Segev, D. L., Levan, M. A., &amp; Henderson, M. L. </w:t>
      </w:r>
      <w:r w:rsidRPr="00216715">
        <w:rPr>
          <w:rFonts w:asciiTheme="minorHAnsi" w:eastAsia="Times New Roman" w:hAnsiTheme="minorHAnsi" w:cstheme="minorBidi"/>
          <w:lang w:eastAsia="en-GB"/>
        </w:rPr>
        <w:lastRenderedPageBreak/>
        <w:t>(2019)</w:t>
      </w:r>
      <w:r>
        <w:rPr>
          <w:rFonts w:asciiTheme="minorHAnsi" w:eastAsia="Times New Roman" w:hAnsiTheme="minorHAnsi" w:cstheme="minorBidi"/>
          <w:lang w:eastAsia="en-GB"/>
        </w:rPr>
        <w:t xml:space="preserve">. </w:t>
      </w:r>
      <w:r w:rsidR="00C900AE" w:rsidRPr="00C900AE">
        <w:rPr>
          <w:rFonts w:asciiTheme="minorHAnsi" w:eastAsia="Times New Roman" w:hAnsiTheme="minorHAnsi" w:cstheme="minorBidi"/>
          <w:lang w:eastAsia="en-GB"/>
        </w:rPr>
        <w:t>Perspectives on implementing mobile health technology for living kidney donor follow‐up: In‐depth interviews with transplant providers. </w:t>
      </w:r>
      <w:r w:rsidR="00C900AE" w:rsidRPr="00C900AE">
        <w:rPr>
          <w:rFonts w:asciiTheme="minorHAnsi" w:eastAsia="Times New Roman" w:hAnsiTheme="minorHAnsi" w:cstheme="minorBidi"/>
          <w:i/>
          <w:iCs/>
          <w:lang w:eastAsia="en-GB"/>
        </w:rPr>
        <w:t xml:space="preserve">Clinical </w:t>
      </w:r>
      <w:r w:rsidR="00C900AE">
        <w:rPr>
          <w:rFonts w:asciiTheme="minorHAnsi" w:eastAsia="Times New Roman" w:hAnsiTheme="minorHAnsi" w:cstheme="minorBidi"/>
          <w:i/>
          <w:iCs/>
          <w:lang w:eastAsia="en-GB"/>
        </w:rPr>
        <w:t>T</w:t>
      </w:r>
      <w:r w:rsidR="00C900AE" w:rsidRPr="00C900AE">
        <w:rPr>
          <w:rFonts w:asciiTheme="minorHAnsi" w:eastAsia="Times New Roman" w:hAnsiTheme="minorHAnsi" w:cstheme="minorBidi"/>
          <w:i/>
          <w:iCs/>
          <w:lang w:eastAsia="en-GB"/>
        </w:rPr>
        <w:t>ransplantation</w:t>
      </w:r>
      <w:r w:rsidR="00C900AE" w:rsidRPr="00C900AE">
        <w:rPr>
          <w:rFonts w:asciiTheme="minorHAnsi" w:eastAsia="Times New Roman" w:hAnsiTheme="minorHAnsi" w:cstheme="minorBidi"/>
          <w:lang w:eastAsia="en-GB"/>
        </w:rPr>
        <w:t>, </w:t>
      </w:r>
      <w:r w:rsidR="00C900AE" w:rsidRPr="00C900AE">
        <w:rPr>
          <w:rFonts w:asciiTheme="minorHAnsi" w:eastAsia="Times New Roman" w:hAnsiTheme="minorHAnsi" w:cstheme="minorBidi"/>
          <w:i/>
          <w:iCs/>
          <w:lang w:eastAsia="en-GB"/>
        </w:rPr>
        <w:t>33</w:t>
      </w:r>
      <w:r w:rsidR="00C900AE" w:rsidRPr="00C900AE">
        <w:rPr>
          <w:rFonts w:asciiTheme="minorHAnsi" w:eastAsia="Times New Roman" w:hAnsiTheme="minorHAnsi" w:cstheme="minorBidi"/>
          <w:lang w:eastAsia="en-GB"/>
        </w:rPr>
        <w:t xml:space="preserve">(8), </w:t>
      </w:r>
      <w:r w:rsidR="00A1653A">
        <w:rPr>
          <w:rFonts w:asciiTheme="minorHAnsi" w:eastAsia="Times New Roman" w:hAnsiTheme="minorHAnsi" w:cstheme="minorBidi"/>
          <w:lang w:eastAsia="en-GB"/>
        </w:rPr>
        <w:t xml:space="preserve">Article </w:t>
      </w:r>
      <w:r w:rsidR="00C900AE" w:rsidRPr="00C900AE">
        <w:rPr>
          <w:rFonts w:asciiTheme="minorHAnsi" w:eastAsia="Times New Roman" w:hAnsiTheme="minorHAnsi" w:cstheme="minorBidi"/>
          <w:lang w:eastAsia="en-GB"/>
        </w:rPr>
        <w:t>e13637.</w:t>
      </w:r>
    </w:p>
    <w:p w14:paraId="0539B408" w14:textId="160ABC7D" w:rsidR="00216715" w:rsidRDefault="00F85191" w:rsidP="00413528">
      <w:pPr>
        <w:spacing w:line="240" w:lineRule="auto"/>
        <w:ind w:hanging="720"/>
        <w:rPr>
          <w:rFonts w:asciiTheme="minorHAnsi" w:eastAsia="Times New Roman" w:hAnsiTheme="minorHAnsi" w:cstheme="minorBidi"/>
          <w:lang w:eastAsia="en-GB"/>
        </w:rPr>
      </w:pPr>
      <w:r w:rsidRPr="00F85191">
        <w:rPr>
          <w:rFonts w:asciiTheme="minorHAnsi" w:eastAsia="Times New Roman" w:hAnsiTheme="minorHAnsi" w:cstheme="minorBidi"/>
          <w:lang w:eastAsia="en-GB"/>
        </w:rPr>
        <w:t xml:space="preserve">Erez, D. L., </w:t>
      </w:r>
      <w:proofErr w:type="spellStart"/>
      <w:r w:rsidRPr="00F85191">
        <w:rPr>
          <w:rFonts w:asciiTheme="minorHAnsi" w:eastAsia="Times New Roman" w:hAnsiTheme="minorHAnsi" w:cstheme="minorBidi"/>
          <w:lang w:eastAsia="en-GB"/>
        </w:rPr>
        <w:t>Derwick</w:t>
      </w:r>
      <w:proofErr w:type="spellEnd"/>
      <w:r w:rsidRPr="00F85191">
        <w:rPr>
          <w:rFonts w:asciiTheme="minorHAnsi" w:eastAsia="Times New Roman" w:hAnsiTheme="minorHAnsi" w:cstheme="minorBidi"/>
          <w:lang w:eastAsia="en-GB"/>
        </w:rPr>
        <w:t xml:space="preserve">, H., Furth, S., Ballester, L., </w:t>
      </w:r>
      <w:proofErr w:type="spellStart"/>
      <w:r w:rsidRPr="00F85191">
        <w:rPr>
          <w:rFonts w:asciiTheme="minorHAnsi" w:eastAsia="Times New Roman" w:hAnsiTheme="minorHAnsi" w:cstheme="minorBidi"/>
          <w:lang w:eastAsia="en-GB"/>
        </w:rPr>
        <w:t>Omuemu</w:t>
      </w:r>
      <w:proofErr w:type="spellEnd"/>
      <w:r w:rsidRPr="00F85191">
        <w:rPr>
          <w:rFonts w:asciiTheme="minorHAnsi" w:eastAsia="Times New Roman" w:hAnsiTheme="minorHAnsi" w:cstheme="minorBidi"/>
          <w:lang w:eastAsia="en-GB"/>
        </w:rPr>
        <w:t xml:space="preserve">, S., </w:t>
      </w:r>
      <w:proofErr w:type="spellStart"/>
      <w:r w:rsidRPr="00F85191">
        <w:rPr>
          <w:rFonts w:asciiTheme="minorHAnsi" w:eastAsia="Times New Roman" w:hAnsiTheme="minorHAnsi" w:cstheme="minorBidi"/>
          <w:lang w:eastAsia="en-GB"/>
        </w:rPr>
        <w:t>Adiri</w:t>
      </w:r>
      <w:proofErr w:type="spellEnd"/>
      <w:r w:rsidRPr="00F85191">
        <w:rPr>
          <w:rFonts w:asciiTheme="minorHAnsi" w:eastAsia="Times New Roman" w:hAnsiTheme="minorHAnsi" w:cstheme="minorBidi"/>
          <w:lang w:eastAsia="en-GB"/>
        </w:rPr>
        <w:t>, Y., Mink, J., &amp; Denburg, M. (2023)</w:t>
      </w:r>
      <w:r>
        <w:rPr>
          <w:rFonts w:asciiTheme="minorHAnsi" w:eastAsia="Times New Roman" w:hAnsiTheme="minorHAnsi" w:cstheme="minorBidi"/>
          <w:lang w:eastAsia="en-GB"/>
        </w:rPr>
        <w:t xml:space="preserve">. </w:t>
      </w:r>
      <w:r w:rsidR="008626B7" w:rsidRPr="008626B7">
        <w:rPr>
          <w:rFonts w:asciiTheme="minorHAnsi" w:eastAsia="Times New Roman" w:hAnsiTheme="minorHAnsi" w:cstheme="minorBidi"/>
          <w:lang w:eastAsia="en-GB"/>
        </w:rPr>
        <w:t>Dipping at home: is it better, easier, and more convenient? A feasibility and acceptability study of a novel home urinalysis using a smartphone application. </w:t>
      </w:r>
      <w:proofErr w:type="spellStart"/>
      <w:r w:rsidR="008626B7" w:rsidRPr="008626B7">
        <w:rPr>
          <w:rFonts w:asciiTheme="minorHAnsi" w:eastAsia="Times New Roman" w:hAnsiTheme="minorHAnsi" w:cstheme="minorBidi"/>
          <w:i/>
          <w:iCs/>
          <w:lang w:eastAsia="en-GB"/>
        </w:rPr>
        <w:t>Pediatric</w:t>
      </w:r>
      <w:proofErr w:type="spellEnd"/>
      <w:r w:rsidR="008626B7" w:rsidRPr="008626B7">
        <w:rPr>
          <w:rFonts w:asciiTheme="minorHAnsi" w:eastAsia="Times New Roman" w:hAnsiTheme="minorHAnsi" w:cstheme="minorBidi"/>
          <w:i/>
          <w:iCs/>
          <w:lang w:eastAsia="en-GB"/>
        </w:rPr>
        <w:t xml:space="preserve"> Nephrology</w:t>
      </w:r>
      <w:r w:rsidR="008626B7" w:rsidRPr="008626B7">
        <w:rPr>
          <w:rFonts w:asciiTheme="minorHAnsi" w:eastAsia="Times New Roman" w:hAnsiTheme="minorHAnsi" w:cstheme="minorBidi"/>
          <w:lang w:eastAsia="en-GB"/>
        </w:rPr>
        <w:t>, </w:t>
      </w:r>
      <w:r w:rsidR="008626B7" w:rsidRPr="008626B7">
        <w:rPr>
          <w:rFonts w:asciiTheme="minorHAnsi" w:eastAsia="Times New Roman" w:hAnsiTheme="minorHAnsi" w:cstheme="minorBidi"/>
          <w:i/>
          <w:iCs/>
          <w:lang w:eastAsia="en-GB"/>
        </w:rPr>
        <w:t>38</w:t>
      </w:r>
      <w:r w:rsidR="008626B7" w:rsidRPr="008626B7">
        <w:rPr>
          <w:rFonts w:asciiTheme="minorHAnsi" w:eastAsia="Times New Roman" w:hAnsiTheme="minorHAnsi" w:cstheme="minorBidi"/>
          <w:lang w:eastAsia="en-GB"/>
        </w:rPr>
        <w:t>(1), 139-143.</w:t>
      </w:r>
    </w:p>
    <w:p w14:paraId="1D8AA822" w14:textId="6A505229" w:rsidR="008952F0" w:rsidRPr="00E52229" w:rsidRDefault="008952F0" w:rsidP="008952F0">
      <w:pPr>
        <w:spacing w:line="240" w:lineRule="auto"/>
        <w:ind w:hanging="720"/>
        <w:rPr>
          <w:rFonts w:asciiTheme="minorHAnsi" w:eastAsia="Times New Roman" w:hAnsiTheme="minorHAnsi" w:cstheme="minorBidi"/>
          <w:lang w:eastAsia="en-GB"/>
        </w:rPr>
      </w:pPr>
      <w:r w:rsidRPr="008952F0">
        <w:rPr>
          <w:rFonts w:asciiTheme="minorHAnsi" w:eastAsia="Times New Roman" w:hAnsiTheme="minorHAnsi" w:cstheme="minorBidi"/>
          <w:lang w:eastAsia="en-GB"/>
        </w:rPr>
        <w:t xml:space="preserve">Eslami, S., </w:t>
      </w:r>
      <w:proofErr w:type="spellStart"/>
      <w:r w:rsidRPr="008952F0">
        <w:rPr>
          <w:rFonts w:asciiTheme="minorHAnsi" w:eastAsia="Times New Roman" w:hAnsiTheme="minorHAnsi" w:cstheme="minorBidi"/>
          <w:lang w:eastAsia="en-GB"/>
        </w:rPr>
        <w:t>Khoshrounejad</w:t>
      </w:r>
      <w:proofErr w:type="spellEnd"/>
      <w:r w:rsidRPr="008952F0">
        <w:rPr>
          <w:rFonts w:asciiTheme="minorHAnsi" w:eastAsia="Times New Roman" w:hAnsiTheme="minorHAnsi" w:cstheme="minorBidi"/>
          <w:lang w:eastAsia="en-GB"/>
        </w:rPr>
        <w:t xml:space="preserve">, F., </w:t>
      </w:r>
      <w:proofErr w:type="spellStart"/>
      <w:r w:rsidRPr="008952F0">
        <w:rPr>
          <w:rFonts w:asciiTheme="minorHAnsi" w:eastAsia="Times New Roman" w:hAnsiTheme="minorHAnsi" w:cstheme="minorBidi"/>
          <w:lang w:eastAsia="en-GB"/>
        </w:rPr>
        <w:t>Golmakani</w:t>
      </w:r>
      <w:proofErr w:type="spellEnd"/>
      <w:r w:rsidRPr="008952F0">
        <w:rPr>
          <w:rFonts w:asciiTheme="minorHAnsi" w:eastAsia="Times New Roman" w:hAnsiTheme="minorHAnsi" w:cstheme="minorBidi"/>
          <w:lang w:eastAsia="en-GB"/>
        </w:rPr>
        <w:t xml:space="preserve">, R., </w:t>
      </w:r>
      <w:proofErr w:type="spellStart"/>
      <w:r w:rsidRPr="008952F0">
        <w:rPr>
          <w:rFonts w:asciiTheme="minorHAnsi" w:eastAsia="Times New Roman" w:hAnsiTheme="minorHAnsi" w:cstheme="minorBidi"/>
          <w:lang w:eastAsia="en-GB"/>
        </w:rPr>
        <w:t>Taherzadeh</w:t>
      </w:r>
      <w:proofErr w:type="spellEnd"/>
      <w:r w:rsidRPr="008952F0">
        <w:rPr>
          <w:rFonts w:asciiTheme="minorHAnsi" w:eastAsia="Times New Roman" w:hAnsiTheme="minorHAnsi" w:cstheme="minorBidi"/>
          <w:lang w:eastAsia="en-GB"/>
        </w:rPr>
        <w:t xml:space="preserve">, Z., </w:t>
      </w:r>
      <w:proofErr w:type="spellStart"/>
      <w:r w:rsidRPr="008952F0">
        <w:rPr>
          <w:rFonts w:asciiTheme="minorHAnsi" w:eastAsia="Times New Roman" w:hAnsiTheme="minorHAnsi" w:cstheme="minorBidi"/>
          <w:lang w:eastAsia="en-GB"/>
        </w:rPr>
        <w:t>Tohidinezhad</w:t>
      </w:r>
      <w:proofErr w:type="spellEnd"/>
      <w:r w:rsidRPr="008952F0">
        <w:rPr>
          <w:rFonts w:asciiTheme="minorHAnsi" w:eastAsia="Times New Roman" w:hAnsiTheme="minorHAnsi" w:cstheme="minorBidi"/>
          <w:lang w:eastAsia="en-GB"/>
        </w:rPr>
        <w:t xml:space="preserve">, F., Mostafavi, S. M., &amp; </w:t>
      </w:r>
      <w:proofErr w:type="spellStart"/>
      <w:r w:rsidRPr="008952F0">
        <w:rPr>
          <w:rFonts w:asciiTheme="minorHAnsi" w:eastAsia="Times New Roman" w:hAnsiTheme="minorHAnsi" w:cstheme="minorBidi"/>
          <w:lang w:eastAsia="en-GB"/>
        </w:rPr>
        <w:t>Ganjali</w:t>
      </w:r>
      <w:proofErr w:type="spellEnd"/>
      <w:r w:rsidRPr="008952F0">
        <w:rPr>
          <w:rFonts w:asciiTheme="minorHAnsi" w:eastAsia="Times New Roman" w:hAnsiTheme="minorHAnsi" w:cstheme="minorBidi"/>
          <w:lang w:eastAsia="en-GB"/>
        </w:rPr>
        <w:t>, R. (2021). Effectiveness of IT-based interventions on self-management in adult kidney transplant recipients: a systematic review. </w:t>
      </w:r>
      <w:r w:rsidRPr="008952F0">
        <w:rPr>
          <w:rFonts w:asciiTheme="minorHAnsi" w:eastAsia="Times New Roman" w:hAnsiTheme="minorHAnsi" w:cstheme="minorBidi"/>
          <w:i/>
          <w:iCs/>
          <w:lang w:eastAsia="en-GB"/>
        </w:rPr>
        <w:t>BMC medical informatics and decision making</w:t>
      </w:r>
      <w:r w:rsidRPr="008952F0">
        <w:rPr>
          <w:rFonts w:asciiTheme="minorHAnsi" w:eastAsia="Times New Roman" w:hAnsiTheme="minorHAnsi" w:cstheme="minorBidi"/>
          <w:lang w:eastAsia="en-GB"/>
        </w:rPr>
        <w:t>, </w:t>
      </w:r>
      <w:r w:rsidRPr="008952F0">
        <w:rPr>
          <w:rFonts w:asciiTheme="minorHAnsi" w:eastAsia="Times New Roman" w:hAnsiTheme="minorHAnsi" w:cstheme="minorBidi"/>
          <w:i/>
          <w:iCs/>
          <w:lang w:eastAsia="en-GB"/>
        </w:rPr>
        <w:t>21</w:t>
      </w:r>
      <w:r w:rsidRPr="008952F0">
        <w:rPr>
          <w:rFonts w:asciiTheme="minorHAnsi" w:eastAsia="Times New Roman" w:hAnsiTheme="minorHAnsi" w:cstheme="minorBidi"/>
          <w:lang w:eastAsia="en-GB"/>
        </w:rPr>
        <w:t xml:space="preserve">, 1-16. </w:t>
      </w:r>
    </w:p>
    <w:p w14:paraId="1CF58AB6" w14:textId="0551502B" w:rsidR="00715E80" w:rsidRPr="009E12F9" w:rsidRDefault="00A31269" w:rsidP="00413528">
      <w:pPr>
        <w:spacing w:line="240" w:lineRule="auto"/>
        <w:ind w:hanging="720"/>
        <w:rPr>
          <w:rFonts w:asciiTheme="minorHAnsi" w:eastAsia="Times New Roman" w:hAnsiTheme="minorHAnsi" w:cstheme="minorBidi"/>
          <w:lang w:val="en-US" w:eastAsia="en-GB"/>
        </w:rPr>
      </w:pPr>
      <w:proofErr w:type="spellStart"/>
      <w:r w:rsidRPr="26F64964">
        <w:rPr>
          <w:rFonts w:asciiTheme="minorHAnsi" w:eastAsia="Times New Roman" w:hAnsiTheme="minorHAnsi" w:cstheme="minorBidi"/>
          <w:highlight w:val="white"/>
          <w:lang w:val="en-US" w:eastAsia="en-GB"/>
        </w:rPr>
        <w:t>Eysenbach</w:t>
      </w:r>
      <w:proofErr w:type="spellEnd"/>
      <w:r w:rsidRPr="26F64964">
        <w:rPr>
          <w:rFonts w:asciiTheme="minorHAnsi" w:eastAsia="Times New Roman" w:hAnsiTheme="minorHAnsi" w:cstheme="minorBidi"/>
          <w:highlight w:val="white"/>
          <w:lang w:val="en-US" w:eastAsia="en-GB"/>
        </w:rPr>
        <w:t xml:space="preserve">, G. (2001). What is e-health? </w:t>
      </w:r>
      <w:r w:rsidRPr="26F64964">
        <w:rPr>
          <w:rFonts w:asciiTheme="minorHAnsi" w:eastAsia="Times New Roman" w:hAnsiTheme="minorHAnsi" w:cstheme="minorBidi"/>
          <w:i/>
          <w:iCs/>
          <w:highlight w:val="white"/>
          <w:lang w:val="en-US" w:eastAsia="en-GB"/>
        </w:rPr>
        <w:t xml:space="preserve">Journal of </w:t>
      </w:r>
      <w:r w:rsidR="00B8283A" w:rsidRPr="26F64964">
        <w:rPr>
          <w:rFonts w:asciiTheme="minorHAnsi" w:eastAsia="Times New Roman" w:hAnsiTheme="minorHAnsi" w:cstheme="minorBidi"/>
          <w:i/>
          <w:iCs/>
          <w:highlight w:val="white"/>
          <w:lang w:val="en-US" w:eastAsia="en-GB"/>
        </w:rPr>
        <w:t>M</w:t>
      </w:r>
      <w:r w:rsidRPr="26F64964">
        <w:rPr>
          <w:rFonts w:asciiTheme="minorHAnsi" w:eastAsia="Times New Roman" w:hAnsiTheme="minorHAnsi" w:cstheme="minorBidi"/>
          <w:i/>
          <w:iCs/>
          <w:highlight w:val="white"/>
          <w:lang w:val="en-US" w:eastAsia="en-GB"/>
        </w:rPr>
        <w:t xml:space="preserve">edical Internet </w:t>
      </w:r>
      <w:r w:rsidR="00B8283A" w:rsidRPr="26F64964">
        <w:rPr>
          <w:rFonts w:asciiTheme="minorHAnsi" w:eastAsia="Times New Roman" w:hAnsiTheme="minorHAnsi" w:cstheme="minorBidi"/>
          <w:i/>
          <w:iCs/>
          <w:highlight w:val="white"/>
          <w:lang w:val="en-US" w:eastAsia="en-GB"/>
        </w:rPr>
        <w:t>R</w:t>
      </w:r>
      <w:r w:rsidRPr="26F64964">
        <w:rPr>
          <w:rFonts w:asciiTheme="minorHAnsi" w:eastAsia="Times New Roman" w:hAnsiTheme="minorHAnsi" w:cstheme="minorBidi"/>
          <w:i/>
          <w:iCs/>
          <w:highlight w:val="white"/>
          <w:lang w:val="en-US" w:eastAsia="en-GB"/>
        </w:rPr>
        <w:t>esearch</w:t>
      </w:r>
      <w:r w:rsidR="00B8283A" w:rsidRPr="26F64964">
        <w:rPr>
          <w:rFonts w:asciiTheme="minorHAnsi" w:eastAsia="Times New Roman" w:hAnsiTheme="minorHAnsi" w:cstheme="minorBidi"/>
          <w:highlight w:val="white"/>
          <w:lang w:val="en-US" w:eastAsia="en-GB"/>
        </w:rPr>
        <w:t xml:space="preserve">, </w:t>
      </w:r>
      <w:r w:rsidR="00B8283A" w:rsidRPr="26F64964">
        <w:rPr>
          <w:rFonts w:asciiTheme="minorHAnsi" w:eastAsia="Times New Roman" w:hAnsiTheme="minorHAnsi" w:cstheme="minorBidi"/>
          <w:i/>
          <w:iCs/>
          <w:highlight w:val="white"/>
          <w:lang w:val="en-US" w:eastAsia="en-GB"/>
        </w:rPr>
        <w:t>3</w:t>
      </w:r>
      <w:r w:rsidR="00B8283A" w:rsidRPr="26F64964">
        <w:rPr>
          <w:rFonts w:asciiTheme="minorHAnsi" w:eastAsia="Times New Roman" w:hAnsiTheme="minorHAnsi" w:cstheme="minorBidi"/>
          <w:highlight w:val="white"/>
          <w:lang w:val="en-US" w:eastAsia="en-GB"/>
        </w:rPr>
        <w:t>(2),</w:t>
      </w:r>
      <w:r w:rsidR="00B8283A" w:rsidRPr="26F64964">
        <w:rPr>
          <w:rFonts w:asciiTheme="minorHAnsi" w:eastAsia="Times New Roman" w:hAnsiTheme="minorHAnsi" w:cstheme="minorBidi"/>
          <w:lang w:val="en-US" w:eastAsia="en-GB"/>
        </w:rPr>
        <w:t xml:space="preserve"> </w:t>
      </w:r>
      <w:r w:rsidR="00B8283A" w:rsidRPr="26F64964">
        <w:rPr>
          <w:rFonts w:asciiTheme="minorHAnsi" w:eastAsia="Times New Roman" w:hAnsiTheme="minorHAnsi" w:cstheme="minorBidi"/>
          <w:highlight w:val="white"/>
          <w:lang w:val="en-US" w:eastAsia="en-GB"/>
        </w:rPr>
        <w:t>Article e20</w:t>
      </w:r>
      <w:r w:rsidR="00B8283A" w:rsidRPr="26F64964">
        <w:rPr>
          <w:rFonts w:asciiTheme="minorHAnsi" w:eastAsia="Times New Roman" w:hAnsiTheme="minorHAnsi" w:cstheme="minorBidi"/>
          <w:lang w:val="en-US" w:eastAsia="en-GB"/>
        </w:rPr>
        <w:t xml:space="preserve">. </w:t>
      </w:r>
    </w:p>
    <w:p w14:paraId="02CE9E0F" w14:textId="78CE13B9" w:rsidR="004D6616" w:rsidRDefault="004D6616"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 xml:space="preserve">European Parliament (). </w:t>
      </w:r>
      <w:r w:rsidRPr="26F64964">
        <w:rPr>
          <w:rFonts w:asciiTheme="minorHAnsi" w:eastAsia="Times New Roman" w:hAnsiTheme="minorHAnsi" w:cstheme="minorBidi"/>
          <w:i/>
          <w:iCs/>
          <w:highlight w:val="white"/>
          <w:lang w:val="en-US" w:eastAsia="en-GB"/>
        </w:rPr>
        <w:t>The rise of digital health technologies during the pandemic.</w:t>
      </w:r>
      <w:r w:rsidRPr="26F64964">
        <w:rPr>
          <w:rFonts w:asciiTheme="minorHAnsi" w:eastAsia="Times New Roman" w:hAnsiTheme="minorHAnsi" w:cstheme="minorBidi"/>
          <w:lang w:val="en-US" w:eastAsia="en-GB"/>
        </w:rPr>
        <w:t xml:space="preserve"> </w:t>
      </w:r>
      <w:hyperlink r:id="rId16">
        <w:r w:rsidRPr="00D33C9F">
          <w:rPr>
            <w:rStyle w:val="Hyperlink"/>
            <w:rFonts w:asciiTheme="minorHAnsi" w:eastAsia="Times New Roman" w:hAnsiTheme="minorHAnsi" w:cstheme="minorBidi"/>
            <w:color w:val="auto"/>
            <w:highlight w:val="white"/>
            <w:lang w:val="en-US" w:eastAsia="en-GB"/>
          </w:rPr>
          <w:t>https://www.europarl.europa.eu/RegData/etudes/BRIE/2021/690548/EPRS_BRI(2021)690548_EN.pdf</w:t>
        </w:r>
      </w:hyperlink>
      <w:r w:rsidRPr="00D33C9F">
        <w:rPr>
          <w:rFonts w:asciiTheme="minorHAnsi" w:eastAsia="Times New Roman" w:hAnsiTheme="minorHAnsi" w:cstheme="minorBidi"/>
          <w:lang w:val="en-US" w:eastAsia="en-GB"/>
        </w:rPr>
        <w:t xml:space="preserve"> </w:t>
      </w:r>
    </w:p>
    <w:p w14:paraId="18E704AF" w14:textId="18342A20" w:rsidR="008346C4" w:rsidRDefault="008346C4" w:rsidP="00413528">
      <w:pPr>
        <w:spacing w:line="240" w:lineRule="auto"/>
        <w:ind w:hanging="720"/>
        <w:rPr>
          <w:rFonts w:asciiTheme="minorHAnsi" w:eastAsia="Times New Roman" w:hAnsiTheme="minorHAnsi" w:cstheme="minorBidi"/>
          <w:lang w:eastAsia="en-GB"/>
        </w:rPr>
      </w:pPr>
      <w:r w:rsidRPr="008346C4">
        <w:rPr>
          <w:rFonts w:asciiTheme="minorHAnsi" w:eastAsia="Times New Roman" w:hAnsiTheme="minorHAnsi" w:cstheme="minorBidi"/>
          <w:lang w:eastAsia="en-GB"/>
        </w:rPr>
        <w:t>Fleming, J. N., Gebregziabher, M., Posadas, A., Su, Z., McGillicuddy, J. W., &amp; Taber, D. J. (2021). Impact of a pharmacist-led, mHealth-based intervention on tacrolimus trough variability in kidney transplant recipients: A report from the TRANSAFE Rx randomized controlled trial. </w:t>
      </w:r>
      <w:r w:rsidRPr="008346C4">
        <w:rPr>
          <w:rFonts w:asciiTheme="minorHAnsi" w:eastAsia="Times New Roman" w:hAnsiTheme="minorHAnsi" w:cstheme="minorBidi"/>
          <w:i/>
          <w:iCs/>
          <w:lang w:eastAsia="en-GB"/>
        </w:rPr>
        <w:t>American Journal of Health-System Pharmacy</w:t>
      </w:r>
      <w:r w:rsidRPr="008346C4">
        <w:rPr>
          <w:rFonts w:asciiTheme="minorHAnsi" w:eastAsia="Times New Roman" w:hAnsiTheme="minorHAnsi" w:cstheme="minorBidi"/>
          <w:lang w:eastAsia="en-GB"/>
        </w:rPr>
        <w:t>, </w:t>
      </w:r>
      <w:r w:rsidRPr="008346C4">
        <w:rPr>
          <w:rFonts w:asciiTheme="minorHAnsi" w:eastAsia="Times New Roman" w:hAnsiTheme="minorHAnsi" w:cstheme="minorBidi"/>
          <w:i/>
          <w:iCs/>
          <w:lang w:eastAsia="en-GB"/>
        </w:rPr>
        <w:t>78</w:t>
      </w:r>
      <w:r w:rsidRPr="008346C4">
        <w:rPr>
          <w:rFonts w:asciiTheme="minorHAnsi" w:eastAsia="Times New Roman" w:hAnsiTheme="minorHAnsi" w:cstheme="minorBidi"/>
          <w:lang w:eastAsia="en-GB"/>
        </w:rPr>
        <w:t>(14), 1287-1293.</w:t>
      </w:r>
    </w:p>
    <w:p w14:paraId="00BCA546" w14:textId="270EC84C" w:rsidR="000125E3" w:rsidRDefault="000125E3" w:rsidP="00413528">
      <w:pPr>
        <w:spacing w:line="240" w:lineRule="auto"/>
        <w:ind w:hanging="720"/>
        <w:rPr>
          <w:rFonts w:asciiTheme="minorHAnsi" w:eastAsia="Times New Roman" w:hAnsiTheme="minorHAnsi" w:cstheme="minorBidi"/>
          <w:lang w:eastAsia="en-GB"/>
        </w:rPr>
      </w:pPr>
      <w:r w:rsidRPr="000125E3">
        <w:rPr>
          <w:rFonts w:asciiTheme="minorHAnsi" w:eastAsia="Times New Roman" w:hAnsiTheme="minorHAnsi" w:cstheme="minorBidi"/>
          <w:lang w:eastAsia="en-GB"/>
        </w:rPr>
        <w:t>Forbes, R. C., Rybacki, D. B., Johnson, T. B., Hannah-Gillis, A., Shaffer, D., &amp; Hale, D. A. (2018). A cost comparison for telehealth utilization in the kidney transplant waitlist evaluation process. </w:t>
      </w:r>
      <w:r w:rsidRPr="000125E3">
        <w:rPr>
          <w:rFonts w:asciiTheme="minorHAnsi" w:eastAsia="Times New Roman" w:hAnsiTheme="minorHAnsi" w:cstheme="minorBidi"/>
          <w:i/>
          <w:iCs/>
          <w:lang w:eastAsia="en-GB"/>
        </w:rPr>
        <w:t>Transplantation</w:t>
      </w:r>
      <w:r w:rsidRPr="000125E3">
        <w:rPr>
          <w:rFonts w:asciiTheme="minorHAnsi" w:eastAsia="Times New Roman" w:hAnsiTheme="minorHAnsi" w:cstheme="minorBidi"/>
          <w:lang w:eastAsia="en-GB"/>
        </w:rPr>
        <w:t>, </w:t>
      </w:r>
      <w:r w:rsidRPr="000125E3">
        <w:rPr>
          <w:rFonts w:asciiTheme="minorHAnsi" w:eastAsia="Times New Roman" w:hAnsiTheme="minorHAnsi" w:cstheme="minorBidi"/>
          <w:i/>
          <w:iCs/>
          <w:lang w:eastAsia="en-GB"/>
        </w:rPr>
        <w:t>102</w:t>
      </w:r>
      <w:r w:rsidRPr="000125E3">
        <w:rPr>
          <w:rFonts w:asciiTheme="minorHAnsi" w:eastAsia="Times New Roman" w:hAnsiTheme="minorHAnsi" w:cstheme="minorBidi"/>
          <w:lang w:eastAsia="en-GB"/>
        </w:rPr>
        <w:t>(2), 279-283.</w:t>
      </w:r>
    </w:p>
    <w:p w14:paraId="6924160E" w14:textId="12C97E6E" w:rsidR="000E0239" w:rsidRDefault="000E0239" w:rsidP="00413528">
      <w:pPr>
        <w:spacing w:line="240" w:lineRule="auto"/>
        <w:ind w:hanging="720"/>
        <w:rPr>
          <w:rFonts w:asciiTheme="minorHAnsi" w:eastAsia="Times New Roman" w:hAnsiTheme="minorHAnsi" w:cstheme="minorBidi"/>
          <w:lang w:eastAsia="en-GB"/>
        </w:rPr>
      </w:pPr>
      <w:r w:rsidRPr="000E0239">
        <w:rPr>
          <w:rFonts w:asciiTheme="minorHAnsi" w:eastAsia="Times New Roman" w:hAnsiTheme="minorHAnsi" w:cstheme="minorBidi"/>
          <w:lang w:eastAsia="en-GB"/>
        </w:rPr>
        <w:t xml:space="preserve">Gomis-Pastor, M., </w:t>
      </w:r>
      <w:proofErr w:type="spellStart"/>
      <w:r w:rsidRPr="000E0239">
        <w:rPr>
          <w:rFonts w:asciiTheme="minorHAnsi" w:eastAsia="Times New Roman" w:hAnsiTheme="minorHAnsi" w:cstheme="minorBidi"/>
          <w:lang w:eastAsia="en-GB"/>
        </w:rPr>
        <w:t>Mirabet</w:t>
      </w:r>
      <w:proofErr w:type="spellEnd"/>
      <w:r w:rsidRPr="000E0239">
        <w:rPr>
          <w:rFonts w:asciiTheme="minorHAnsi" w:eastAsia="Times New Roman" w:hAnsiTheme="minorHAnsi" w:cstheme="minorBidi"/>
          <w:lang w:eastAsia="en-GB"/>
        </w:rPr>
        <w:t xml:space="preserve"> Perez, S., De Dios Lopez, A., </w:t>
      </w:r>
      <w:proofErr w:type="spellStart"/>
      <w:r w:rsidRPr="000E0239">
        <w:rPr>
          <w:rFonts w:asciiTheme="minorHAnsi" w:eastAsia="Times New Roman" w:hAnsiTheme="minorHAnsi" w:cstheme="minorBidi"/>
          <w:lang w:eastAsia="en-GB"/>
        </w:rPr>
        <w:t>Brossa</w:t>
      </w:r>
      <w:proofErr w:type="spellEnd"/>
      <w:r w:rsidRPr="000E0239">
        <w:rPr>
          <w:rFonts w:asciiTheme="minorHAnsi" w:eastAsia="Times New Roman" w:hAnsiTheme="minorHAnsi" w:cstheme="minorBidi"/>
          <w:lang w:eastAsia="en-GB"/>
        </w:rPr>
        <w:t xml:space="preserve"> </w:t>
      </w:r>
      <w:proofErr w:type="spellStart"/>
      <w:r w:rsidRPr="000E0239">
        <w:rPr>
          <w:rFonts w:asciiTheme="minorHAnsi" w:eastAsia="Times New Roman" w:hAnsiTheme="minorHAnsi" w:cstheme="minorBidi"/>
          <w:lang w:eastAsia="en-GB"/>
        </w:rPr>
        <w:t>Loidi</w:t>
      </w:r>
      <w:proofErr w:type="spellEnd"/>
      <w:r w:rsidRPr="000E0239">
        <w:rPr>
          <w:rFonts w:asciiTheme="minorHAnsi" w:eastAsia="Times New Roman" w:hAnsiTheme="minorHAnsi" w:cstheme="minorBidi"/>
          <w:lang w:eastAsia="en-GB"/>
        </w:rPr>
        <w:t xml:space="preserve">, V., Lopez </w:t>
      </w:r>
      <w:proofErr w:type="spellStart"/>
      <w:r w:rsidRPr="000E0239">
        <w:rPr>
          <w:rFonts w:asciiTheme="minorHAnsi" w:eastAsia="Times New Roman" w:hAnsiTheme="minorHAnsi" w:cstheme="minorBidi"/>
          <w:lang w:eastAsia="en-GB"/>
        </w:rPr>
        <w:t>Lopez</w:t>
      </w:r>
      <w:proofErr w:type="spellEnd"/>
      <w:r w:rsidRPr="000E0239">
        <w:rPr>
          <w:rFonts w:asciiTheme="minorHAnsi" w:eastAsia="Times New Roman" w:hAnsiTheme="minorHAnsi" w:cstheme="minorBidi"/>
          <w:lang w:eastAsia="en-GB"/>
        </w:rPr>
        <w:t xml:space="preserve">, L., Pelegrin Cruz, R., &amp; </w:t>
      </w:r>
      <w:proofErr w:type="spellStart"/>
      <w:r w:rsidRPr="000E0239">
        <w:rPr>
          <w:rFonts w:asciiTheme="minorHAnsi" w:eastAsia="Times New Roman" w:hAnsiTheme="minorHAnsi" w:cstheme="minorBidi"/>
          <w:lang w:eastAsia="en-GB"/>
        </w:rPr>
        <w:t>Mangues</w:t>
      </w:r>
      <w:proofErr w:type="spellEnd"/>
      <w:r w:rsidRPr="000E0239">
        <w:rPr>
          <w:rFonts w:asciiTheme="minorHAnsi" w:eastAsia="Times New Roman" w:hAnsiTheme="minorHAnsi" w:cstheme="minorBidi"/>
          <w:lang w:eastAsia="en-GB"/>
        </w:rPr>
        <w:t xml:space="preserve"> </w:t>
      </w:r>
      <w:proofErr w:type="spellStart"/>
      <w:r w:rsidRPr="000E0239">
        <w:rPr>
          <w:rFonts w:asciiTheme="minorHAnsi" w:eastAsia="Times New Roman" w:hAnsiTheme="minorHAnsi" w:cstheme="minorBidi"/>
          <w:lang w:eastAsia="en-GB"/>
        </w:rPr>
        <w:t>Bafalluy</w:t>
      </w:r>
      <w:proofErr w:type="spellEnd"/>
      <w:r w:rsidRPr="000E0239">
        <w:rPr>
          <w:rFonts w:asciiTheme="minorHAnsi" w:eastAsia="Times New Roman" w:hAnsiTheme="minorHAnsi" w:cstheme="minorBidi"/>
          <w:lang w:eastAsia="en-GB"/>
        </w:rPr>
        <w:t xml:space="preserve">, M. A. (2023). Does an eHealth Intervention Reduce Complications and Healthcare Resources? A </w:t>
      </w:r>
      <w:proofErr w:type="spellStart"/>
      <w:r w:rsidRPr="000E0239">
        <w:rPr>
          <w:rFonts w:asciiTheme="minorHAnsi" w:eastAsia="Times New Roman" w:hAnsiTheme="minorHAnsi" w:cstheme="minorBidi"/>
          <w:lang w:eastAsia="en-GB"/>
        </w:rPr>
        <w:t>mHeart</w:t>
      </w:r>
      <w:proofErr w:type="spellEnd"/>
      <w:r w:rsidRPr="000E0239">
        <w:rPr>
          <w:rFonts w:asciiTheme="minorHAnsi" w:eastAsia="Times New Roman" w:hAnsiTheme="minorHAnsi" w:cstheme="minorBidi"/>
          <w:lang w:eastAsia="en-GB"/>
        </w:rPr>
        <w:t xml:space="preserve"> Single-</w:t>
      </w:r>
      <w:proofErr w:type="spellStart"/>
      <w:r w:rsidRPr="000E0239">
        <w:rPr>
          <w:rFonts w:asciiTheme="minorHAnsi" w:eastAsia="Times New Roman" w:hAnsiTheme="minorHAnsi" w:cstheme="minorBidi"/>
          <w:lang w:eastAsia="en-GB"/>
        </w:rPr>
        <w:t>Center</w:t>
      </w:r>
      <w:proofErr w:type="spellEnd"/>
      <w:r w:rsidRPr="000E0239">
        <w:rPr>
          <w:rFonts w:asciiTheme="minorHAnsi" w:eastAsia="Times New Roman" w:hAnsiTheme="minorHAnsi" w:cstheme="minorBidi"/>
          <w:lang w:eastAsia="en-GB"/>
        </w:rPr>
        <w:t xml:space="preserve"> Randomized-Controlled Trial. </w:t>
      </w:r>
      <w:r w:rsidRPr="000E0239">
        <w:rPr>
          <w:rFonts w:asciiTheme="minorHAnsi" w:eastAsia="Times New Roman" w:hAnsiTheme="minorHAnsi" w:cstheme="minorBidi"/>
          <w:i/>
          <w:iCs/>
          <w:lang w:eastAsia="en-GB"/>
        </w:rPr>
        <w:t>Journal of Cardiovascular Development and Disease</w:t>
      </w:r>
      <w:r w:rsidRPr="000E0239">
        <w:rPr>
          <w:rFonts w:asciiTheme="minorHAnsi" w:eastAsia="Times New Roman" w:hAnsiTheme="minorHAnsi" w:cstheme="minorBidi"/>
          <w:lang w:eastAsia="en-GB"/>
        </w:rPr>
        <w:t>, </w:t>
      </w:r>
      <w:r w:rsidRPr="000E0239">
        <w:rPr>
          <w:rFonts w:asciiTheme="minorHAnsi" w:eastAsia="Times New Roman" w:hAnsiTheme="minorHAnsi" w:cstheme="minorBidi"/>
          <w:i/>
          <w:iCs/>
          <w:lang w:eastAsia="en-GB"/>
        </w:rPr>
        <w:t>10</w:t>
      </w:r>
      <w:r w:rsidRPr="000E0239">
        <w:rPr>
          <w:rFonts w:asciiTheme="minorHAnsi" w:eastAsia="Times New Roman" w:hAnsiTheme="minorHAnsi" w:cstheme="minorBidi"/>
          <w:lang w:eastAsia="en-GB"/>
        </w:rPr>
        <w:t>(2), 77.</w:t>
      </w:r>
    </w:p>
    <w:p w14:paraId="14321903" w14:textId="285AF84D" w:rsidR="003F6204" w:rsidRPr="006349A6" w:rsidRDefault="003F6204" w:rsidP="00413528">
      <w:pPr>
        <w:spacing w:line="240" w:lineRule="auto"/>
        <w:ind w:hanging="720"/>
        <w:rPr>
          <w:rFonts w:asciiTheme="minorHAnsi" w:eastAsia="Times New Roman" w:hAnsiTheme="minorHAnsi" w:cstheme="minorBidi"/>
          <w:lang w:eastAsia="en-GB"/>
        </w:rPr>
      </w:pPr>
      <w:r w:rsidRPr="003F6204">
        <w:rPr>
          <w:rFonts w:asciiTheme="minorHAnsi" w:eastAsia="Times New Roman" w:hAnsiTheme="minorHAnsi" w:cstheme="minorBidi"/>
          <w:lang w:eastAsia="en-GB"/>
        </w:rPr>
        <w:t xml:space="preserve">Gomis-Pastor, M., Perez, S. M., </w:t>
      </w:r>
      <w:proofErr w:type="spellStart"/>
      <w:r w:rsidRPr="003F6204">
        <w:rPr>
          <w:rFonts w:asciiTheme="minorHAnsi" w:eastAsia="Times New Roman" w:hAnsiTheme="minorHAnsi" w:cstheme="minorBidi"/>
          <w:lang w:eastAsia="en-GB"/>
        </w:rPr>
        <w:t>Minguell</w:t>
      </w:r>
      <w:proofErr w:type="spellEnd"/>
      <w:r w:rsidRPr="003F6204">
        <w:rPr>
          <w:rFonts w:asciiTheme="minorHAnsi" w:eastAsia="Times New Roman" w:hAnsiTheme="minorHAnsi" w:cstheme="minorBidi"/>
          <w:lang w:eastAsia="en-GB"/>
        </w:rPr>
        <w:t xml:space="preserve">, E. R., </w:t>
      </w:r>
      <w:proofErr w:type="spellStart"/>
      <w:r w:rsidRPr="003F6204">
        <w:rPr>
          <w:rFonts w:asciiTheme="minorHAnsi" w:eastAsia="Times New Roman" w:hAnsiTheme="minorHAnsi" w:cstheme="minorBidi"/>
          <w:lang w:eastAsia="en-GB"/>
        </w:rPr>
        <w:t>Loidi</w:t>
      </w:r>
      <w:proofErr w:type="spellEnd"/>
      <w:r w:rsidRPr="003F6204">
        <w:rPr>
          <w:rFonts w:asciiTheme="minorHAnsi" w:eastAsia="Times New Roman" w:hAnsiTheme="minorHAnsi" w:cstheme="minorBidi"/>
          <w:lang w:eastAsia="en-GB"/>
        </w:rPr>
        <w:t xml:space="preserve">, V. B., Lopez, L. L., Abarca, S. R., </w:t>
      </w:r>
      <w:proofErr w:type="spellStart"/>
      <w:r w:rsidRPr="003F6204">
        <w:rPr>
          <w:rFonts w:asciiTheme="minorHAnsi" w:eastAsia="Times New Roman" w:hAnsiTheme="minorHAnsi" w:cstheme="minorBidi"/>
          <w:lang w:eastAsia="en-GB"/>
        </w:rPr>
        <w:t>Tugas</w:t>
      </w:r>
      <w:proofErr w:type="spellEnd"/>
      <w:r w:rsidRPr="003F6204">
        <w:rPr>
          <w:rFonts w:asciiTheme="minorHAnsi" w:eastAsia="Times New Roman" w:hAnsiTheme="minorHAnsi" w:cstheme="minorBidi"/>
          <w:lang w:eastAsia="en-GB"/>
        </w:rPr>
        <w:t>, E. G., Mas-</w:t>
      </w:r>
      <w:proofErr w:type="spellStart"/>
      <w:r w:rsidRPr="003F6204">
        <w:rPr>
          <w:rFonts w:asciiTheme="minorHAnsi" w:eastAsia="Times New Roman" w:hAnsiTheme="minorHAnsi" w:cstheme="minorBidi"/>
          <w:lang w:eastAsia="en-GB"/>
        </w:rPr>
        <w:t>Malagarriga</w:t>
      </w:r>
      <w:proofErr w:type="spellEnd"/>
      <w:r w:rsidRPr="003F6204">
        <w:rPr>
          <w:rFonts w:asciiTheme="minorHAnsi" w:eastAsia="Times New Roman" w:hAnsiTheme="minorHAnsi" w:cstheme="minorBidi"/>
          <w:lang w:eastAsia="en-GB"/>
        </w:rPr>
        <w:t xml:space="preserve">, N., &amp; </w:t>
      </w:r>
      <w:proofErr w:type="spellStart"/>
      <w:r w:rsidRPr="003F6204">
        <w:rPr>
          <w:rFonts w:asciiTheme="minorHAnsi" w:eastAsia="Times New Roman" w:hAnsiTheme="minorHAnsi" w:cstheme="minorBidi"/>
          <w:lang w:eastAsia="en-GB"/>
        </w:rPr>
        <w:t>Bafalluy</w:t>
      </w:r>
      <w:proofErr w:type="spellEnd"/>
      <w:r w:rsidRPr="003F6204">
        <w:rPr>
          <w:rFonts w:asciiTheme="minorHAnsi" w:eastAsia="Times New Roman" w:hAnsiTheme="minorHAnsi" w:cstheme="minorBidi"/>
          <w:lang w:eastAsia="en-GB"/>
        </w:rPr>
        <w:t>, M. A. M. (2021)</w:t>
      </w:r>
      <w:r w:rsidR="006349A6">
        <w:rPr>
          <w:rFonts w:asciiTheme="minorHAnsi" w:eastAsia="Times New Roman" w:hAnsiTheme="minorHAnsi" w:cstheme="minorBidi"/>
          <w:lang w:eastAsia="en-GB"/>
        </w:rPr>
        <w:t xml:space="preserve">. </w:t>
      </w:r>
      <w:r w:rsidR="006349A6" w:rsidRPr="006349A6">
        <w:rPr>
          <w:rFonts w:asciiTheme="minorHAnsi" w:eastAsia="Times New Roman" w:hAnsiTheme="minorHAnsi" w:cstheme="minorBidi"/>
          <w:lang w:eastAsia="en-GB"/>
        </w:rPr>
        <w:t xml:space="preserve">Mobile health to improve adherence and patient experience in heart transplantation recipients: the </w:t>
      </w:r>
      <w:proofErr w:type="spellStart"/>
      <w:r w:rsidR="006349A6" w:rsidRPr="006349A6">
        <w:rPr>
          <w:rFonts w:asciiTheme="minorHAnsi" w:eastAsia="Times New Roman" w:hAnsiTheme="minorHAnsi" w:cstheme="minorBidi"/>
          <w:lang w:eastAsia="en-GB"/>
        </w:rPr>
        <w:t>mHeart</w:t>
      </w:r>
      <w:proofErr w:type="spellEnd"/>
      <w:r w:rsidR="006349A6" w:rsidRPr="006349A6">
        <w:rPr>
          <w:rFonts w:asciiTheme="minorHAnsi" w:eastAsia="Times New Roman" w:hAnsiTheme="minorHAnsi" w:cstheme="minorBidi"/>
          <w:lang w:eastAsia="en-GB"/>
        </w:rPr>
        <w:t xml:space="preserve"> trial. </w:t>
      </w:r>
      <w:r w:rsidR="006349A6" w:rsidRPr="006349A6">
        <w:rPr>
          <w:rFonts w:asciiTheme="minorHAnsi" w:eastAsia="Times New Roman" w:hAnsiTheme="minorHAnsi" w:cstheme="minorBidi"/>
          <w:i/>
          <w:iCs/>
          <w:lang w:eastAsia="en-GB"/>
        </w:rPr>
        <w:t>Healthcare</w:t>
      </w:r>
      <w:r w:rsidR="006349A6">
        <w:rPr>
          <w:rFonts w:asciiTheme="minorHAnsi" w:eastAsia="Times New Roman" w:hAnsiTheme="minorHAnsi" w:cstheme="minorBidi"/>
          <w:lang w:eastAsia="en-GB"/>
        </w:rPr>
        <w:t xml:space="preserve">, </w:t>
      </w:r>
      <w:r w:rsidR="006349A6" w:rsidRPr="006349A6">
        <w:rPr>
          <w:rFonts w:asciiTheme="minorHAnsi" w:eastAsia="Times New Roman" w:hAnsiTheme="minorHAnsi" w:cstheme="minorBidi"/>
          <w:i/>
          <w:iCs/>
          <w:lang w:eastAsia="en-GB"/>
        </w:rPr>
        <w:t>9</w:t>
      </w:r>
      <w:r w:rsidR="006349A6">
        <w:rPr>
          <w:rFonts w:asciiTheme="minorHAnsi" w:eastAsia="Times New Roman" w:hAnsiTheme="minorHAnsi" w:cstheme="minorBidi"/>
          <w:lang w:eastAsia="en-GB"/>
        </w:rPr>
        <w:t>(</w:t>
      </w:r>
      <w:r w:rsidR="006349A6" w:rsidRPr="006349A6">
        <w:rPr>
          <w:rFonts w:asciiTheme="minorHAnsi" w:eastAsia="Times New Roman" w:hAnsiTheme="minorHAnsi" w:cstheme="minorBidi"/>
          <w:lang w:eastAsia="en-GB"/>
        </w:rPr>
        <w:t>4</w:t>
      </w:r>
      <w:r w:rsidR="006349A6">
        <w:rPr>
          <w:rFonts w:asciiTheme="minorHAnsi" w:eastAsia="Times New Roman" w:hAnsiTheme="minorHAnsi" w:cstheme="minorBidi"/>
          <w:lang w:eastAsia="en-GB"/>
        </w:rPr>
        <w:t>)</w:t>
      </w:r>
      <w:r w:rsidR="006349A6" w:rsidRPr="006349A6">
        <w:rPr>
          <w:rFonts w:asciiTheme="minorHAnsi" w:eastAsia="Times New Roman" w:hAnsiTheme="minorHAnsi" w:cstheme="minorBidi"/>
          <w:lang w:eastAsia="en-GB"/>
        </w:rPr>
        <w:t>, 463.</w:t>
      </w:r>
    </w:p>
    <w:p w14:paraId="0A9A5129" w14:textId="022A75AE" w:rsidR="00A3126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 xml:space="preserve">Gomis-Pastor, M., </w:t>
      </w:r>
      <w:proofErr w:type="spellStart"/>
      <w:r w:rsidRPr="26F64964">
        <w:rPr>
          <w:rFonts w:asciiTheme="minorHAnsi" w:eastAsia="Times New Roman" w:hAnsiTheme="minorHAnsi" w:cstheme="minorBidi"/>
          <w:highlight w:val="white"/>
          <w:lang w:val="en-US" w:eastAsia="en-GB"/>
        </w:rPr>
        <w:t>Mirabet</w:t>
      </w:r>
      <w:proofErr w:type="spellEnd"/>
      <w:r w:rsidRPr="26F64964">
        <w:rPr>
          <w:rFonts w:asciiTheme="minorHAnsi" w:eastAsia="Times New Roman" w:hAnsiTheme="minorHAnsi" w:cstheme="minorBidi"/>
          <w:highlight w:val="white"/>
          <w:lang w:val="en-US" w:eastAsia="en-GB"/>
        </w:rPr>
        <w:t xml:space="preserve">, S., Roig, E., </w:t>
      </w:r>
      <w:proofErr w:type="spellStart"/>
      <w:r w:rsidRPr="26F64964">
        <w:rPr>
          <w:rFonts w:asciiTheme="minorHAnsi" w:eastAsia="Times New Roman" w:hAnsiTheme="minorHAnsi" w:cstheme="minorBidi"/>
          <w:highlight w:val="white"/>
          <w:lang w:val="en-US" w:eastAsia="en-GB"/>
        </w:rPr>
        <w:t>Brossa</w:t>
      </w:r>
      <w:proofErr w:type="spellEnd"/>
      <w:r w:rsidRPr="26F64964">
        <w:rPr>
          <w:rFonts w:asciiTheme="minorHAnsi" w:eastAsia="Times New Roman" w:hAnsiTheme="minorHAnsi" w:cstheme="minorBidi"/>
          <w:highlight w:val="white"/>
          <w:lang w:val="en-US" w:eastAsia="en-GB"/>
        </w:rPr>
        <w:t>, V., Lopez, L., Ros, S., Mas</w:t>
      </w:r>
      <w:r w:rsidRPr="26F64964">
        <w:rPr>
          <w:rFonts w:asciiTheme="minorHAnsi" w:eastAsia="Times New Roman" w:hAnsiTheme="minorHAnsi" w:cstheme="minorBidi"/>
          <w:lang w:val="en-US" w:eastAsia="en-GB"/>
        </w:rPr>
        <w:t xml:space="preserve"> </w:t>
      </w:r>
      <w:proofErr w:type="spellStart"/>
      <w:r w:rsidRPr="26F64964">
        <w:rPr>
          <w:rFonts w:asciiTheme="minorHAnsi" w:eastAsia="Times New Roman" w:hAnsiTheme="minorHAnsi" w:cstheme="minorBidi"/>
          <w:lang w:val="en-US" w:eastAsia="en-GB"/>
        </w:rPr>
        <w:t>Malagarriga</w:t>
      </w:r>
      <w:proofErr w:type="spellEnd"/>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N., &amp;</w:t>
      </w:r>
      <w:proofErr w:type="spellStart"/>
      <w:r w:rsidRPr="26F64964">
        <w:rPr>
          <w:rFonts w:asciiTheme="minorHAnsi" w:eastAsia="Times New Roman" w:hAnsiTheme="minorHAnsi" w:cstheme="minorBidi"/>
          <w:highlight w:val="white"/>
          <w:lang w:val="en-US" w:eastAsia="en-GB"/>
        </w:rPr>
        <w:t>Mangues</w:t>
      </w:r>
      <w:proofErr w:type="spellEnd"/>
      <w:r w:rsidRPr="26F64964">
        <w:rPr>
          <w:rFonts w:asciiTheme="minorHAnsi" w:eastAsia="Times New Roman" w:hAnsiTheme="minorHAnsi" w:cstheme="minorBidi"/>
          <w:highlight w:val="white"/>
          <w:lang w:val="en-US" w:eastAsia="en-GB"/>
        </w:rPr>
        <w:t>, M</w:t>
      </w:r>
      <w:r w:rsidRPr="26F64964">
        <w:rPr>
          <w:rFonts w:asciiTheme="minorHAnsi" w:eastAsia="Times New Roman" w:hAnsiTheme="minorHAnsi" w:cstheme="minorBidi"/>
          <w:lang w:val="en-US" w:eastAsia="en-GB"/>
        </w:rPr>
        <w:t xml:space="preserve">. (2020). </w:t>
      </w:r>
      <w:r w:rsidRPr="26F64964">
        <w:rPr>
          <w:rFonts w:asciiTheme="minorHAnsi" w:eastAsia="Times New Roman" w:hAnsiTheme="minorHAnsi" w:cstheme="minorBidi"/>
          <w:highlight w:val="white"/>
          <w:lang w:val="en-US" w:eastAsia="en-GB"/>
        </w:rPr>
        <w:t>Improving patients' experience and medication</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adherence after heart transplant using a multilevel eHealth intervention: The</w:t>
      </w:r>
      <w:r w:rsidRPr="26F64964">
        <w:rPr>
          <w:rFonts w:asciiTheme="minorHAnsi" w:eastAsia="Times New Roman" w:hAnsiTheme="minorHAnsi" w:cstheme="minorBidi"/>
          <w:lang w:val="en-US" w:eastAsia="en-GB"/>
        </w:rPr>
        <w:t xml:space="preserve"> mHealth </w:t>
      </w:r>
      <w:r w:rsidRPr="26F64964">
        <w:rPr>
          <w:rFonts w:asciiTheme="minorHAnsi" w:eastAsia="Times New Roman" w:hAnsiTheme="minorHAnsi" w:cstheme="minorBidi"/>
          <w:highlight w:val="white"/>
          <w:lang w:val="en-US" w:eastAsia="en-GB"/>
        </w:rPr>
        <w:t>clinical trial</w:t>
      </w:r>
      <w:r w:rsidRPr="26F64964">
        <w:rPr>
          <w:rFonts w:asciiTheme="minorHAnsi" w:eastAsia="Times New Roman" w:hAnsiTheme="minorHAnsi" w:cstheme="minorBidi"/>
          <w:lang w:val="en-US" w:eastAsia="en-GB"/>
        </w:rPr>
        <w:t xml:space="preserve">. </w:t>
      </w:r>
      <w:proofErr w:type="spellStart"/>
      <w:r w:rsidRPr="26F64964">
        <w:rPr>
          <w:rFonts w:asciiTheme="minorHAnsi" w:eastAsia="Times New Roman" w:hAnsiTheme="minorHAnsi" w:cstheme="minorBidi"/>
          <w:i/>
          <w:iCs/>
          <w:lang w:val="en-US" w:eastAsia="en-GB"/>
        </w:rPr>
        <w:t>Transplantion</w:t>
      </w:r>
      <w:proofErr w:type="spellEnd"/>
      <w:r w:rsidR="007F148A" w:rsidRPr="26F64964">
        <w:rPr>
          <w:rFonts w:asciiTheme="minorHAnsi" w:eastAsia="Times New Roman" w:hAnsiTheme="minorHAnsi" w:cstheme="minorBidi"/>
          <w:lang w:val="en-US" w:eastAsia="en-GB"/>
        </w:rPr>
        <w:t xml:space="preserve">, </w:t>
      </w:r>
      <w:r w:rsidR="00AD2B4C" w:rsidRPr="26F64964">
        <w:rPr>
          <w:rFonts w:asciiTheme="minorHAnsi" w:eastAsia="Times New Roman" w:hAnsiTheme="minorHAnsi" w:cstheme="minorBidi"/>
          <w:i/>
          <w:iCs/>
          <w:lang w:val="en-US" w:eastAsia="en-GB"/>
        </w:rPr>
        <w:t>104</w:t>
      </w:r>
      <w:r w:rsidR="00AD2B4C" w:rsidRPr="26F64964">
        <w:rPr>
          <w:rFonts w:asciiTheme="minorHAnsi" w:eastAsia="Times New Roman" w:hAnsiTheme="minorHAnsi" w:cstheme="minorBidi"/>
          <w:lang w:val="en-US" w:eastAsia="en-GB"/>
        </w:rPr>
        <w:t xml:space="preserve">(S3), </w:t>
      </w:r>
      <w:r w:rsidR="00AD2B4C" w:rsidRPr="26F64964">
        <w:rPr>
          <w:rFonts w:asciiTheme="minorHAnsi" w:eastAsia="Times New Roman" w:hAnsiTheme="minorHAnsi" w:cstheme="minorBidi"/>
          <w:highlight w:val="white"/>
          <w:lang w:val="en-US" w:eastAsia="en-GB"/>
        </w:rPr>
        <w:t>S578-S579</w:t>
      </w:r>
      <w:r w:rsidR="00AD2B4C" w:rsidRPr="26F64964">
        <w:rPr>
          <w:rFonts w:asciiTheme="minorHAnsi" w:eastAsia="Times New Roman" w:hAnsiTheme="minorHAnsi" w:cstheme="minorBidi"/>
          <w:lang w:val="en-US" w:eastAsia="en-GB"/>
        </w:rPr>
        <w:t>.</w:t>
      </w:r>
    </w:p>
    <w:p w14:paraId="05A68593" w14:textId="51036BE6" w:rsidR="00B77A4E" w:rsidRPr="00E42A85" w:rsidRDefault="00B77A4E" w:rsidP="00413528">
      <w:pPr>
        <w:spacing w:line="240" w:lineRule="auto"/>
        <w:ind w:hanging="720"/>
        <w:rPr>
          <w:rFonts w:asciiTheme="minorHAnsi" w:eastAsia="Times New Roman" w:hAnsiTheme="minorHAnsi" w:cstheme="minorBidi"/>
          <w:lang w:eastAsia="en-GB"/>
        </w:rPr>
      </w:pPr>
      <w:r w:rsidRPr="00B77A4E">
        <w:rPr>
          <w:rFonts w:asciiTheme="minorHAnsi" w:eastAsia="Times New Roman" w:hAnsiTheme="minorHAnsi" w:cstheme="minorBidi"/>
          <w:lang w:eastAsia="en-GB"/>
        </w:rPr>
        <w:t xml:space="preserve">Gomis-Pastor, M., </w:t>
      </w:r>
      <w:proofErr w:type="spellStart"/>
      <w:r w:rsidRPr="00B77A4E">
        <w:rPr>
          <w:rFonts w:asciiTheme="minorHAnsi" w:eastAsia="Times New Roman" w:hAnsiTheme="minorHAnsi" w:cstheme="minorBidi"/>
          <w:lang w:eastAsia="en-GB"/>
        </w:rPr>
        <w:t>Mirabet</w:t>
      </w:r>
      <w:proofErr w:type="spellEnd"/>
      <w:r w:rsidRPr="00B77A4E">
        <w:rPr>
          <w:rFonts w:asciiTheme="minorHAnsi" w:eastAsia="Times New Roman" w:hAnsiTheme="minorHAnsi" w:cstheme="minorBidi"/>
          <w:lang w:eastAsia="en-GB"/>
        </w:rPr>
        <w:t xml:space="preserve">, S., Roig, E., Lopez, L., </w:t>
      </w:r>
      <w:proofErr w:type="spellStart"/>
      <w:r w:rsidRPr="00B77A4E">
        <w:rPr>
          <w:rFonts w:asciiTheme="minorHAnsi" w:eastAsia="Times New Roman" w:hAnsiTheme="minorHAnsi" w:cstheme="minorBidi"/>
          <w:lang w:eastAsia="en-GB"/>
        </w:rPr>
        <w:t>Brossa</w:t>
      </w:r>
      <w:proofErr w:type="spellEnd"/>
      <w:r w:rsidRPr="00B77A4E">
        <w:rPr>
          <w:rFonts w:asciiTheme="minorHAnsi" w:eastAsia="Times New Roman" w:hAnsiTheme="minorHAnsi" w:cstheme="minorBidi"/>
          <w:lang w:eastAsia="en-GB"/>
        </w:rPr>
        <w:t>, V., Galvez-</w:t>
      </w:r>
      <w:proofErr w:type="spellStart"/>
      <w:r w:rsidRPr="00B77A4E">
        <w:rPr>
          <w:rFonts w:asciiTheme="minorHAnsi" w:eastAsia="Times New Roman" w:hAnsiTheme="minorHAnsi" w:cstheme="minorBidi"/>
          <w:lang w:eastAsia="en-GB"/>
        </w:rPr>
        <w:t>Tugas</w:t>
      </w:r>
      <w:proofErr w:type="spellEnd"/>
      <w:r w:rsidRPr="00B77A4E">
        <w:rPr>
          <w:rFonts w:asciiTheme="minorHAnsi" w:eastAsia="Times New Roman" w:hAnsiTheme="minorHAnsi" w:cstheme="minorBidi"/>
          <w:lang w:eastAsia="en-GB"/>
        </w:rPr>
        <w:t xml:space="preserve">, E., Rodriguez-Murphy, E., Feliu, A., Ontiveros, G., </w:t>
      </w:r>
      <w:proofErr w:type="spellStart"/>
      <w:r w:rsidRPr="00B77A4E">
        <w:rPr>
          <w:rFonts w:asciiTheme="minorHAnsi" w:eastAsia="Times New Roman" w:hAnsiTheme="minorHAnsi" w:cstheme="minorBidi"/>
          <w:lang w:eastAsia="en-GB"/>
        </w:rPr>
        <w:t>Gracia-Cuyàs</w:t>
      </w:r>
      <w:proofErr w:type="spellEnd"/>
      <w:r w:rsidRPr="00B77A4E">
        <w:rPr>
          <w:rFonts w:asciiTheme="minorHAnsi" w:eastAsia="Times New Roman" w:hAnsiTheme="minorHAnsi" w:cstheme="minorBidi"/>
          <w:lang w:eastAsia="en-GB"/>
        </w:rPr>
        <w:t xml:space="preserve">, Salazar, A., &amp; </w:t>
      </w:r>
      <w:proofErr w:type="spellStart"/>
      <w:r w:rsidRPr="00B77A4E">
        <w:rPr>
          <w:rFonts w:asciiTheme="minorHAnsi" w:eastAsia="Times New Roman" w:hAnsiTheme="minorHAnsi" w:cstheme="minorBidi"/>
          <w:lang w:eastAsia="en-GB"/>
        </w:rPr>
        <w:t>Mangues</w:t>
      </w:r>
      <w:proofErr w:type="spellEnd"/>
      <w:r w:rsidRPr="00B77A4E">
        <w:rPr>
          <w:rFonts w:asciiTheme="minorHAnsi" w:eastAsia="Times New Roman" w:hAnsiTheme="minorHAnsi" w:cstheme="minorBidi"/>
          <w:lang w:eastAsia="en-GB"/>
        </w:rPr>
        <w:t>, A. (2020)</w:t>
      </w:r>
      <w:r>
        <w:rPr>
          <w:rFonts w:asciiTheme="minorHAnsi" w:eastAsia="Times New Roman" w:hAnsiTheme="minorHAnsi" w:cstheme="minorBidi"/>
          <w:lang w:eastAsia="en-GB"/>
        </w:rPr>
        <w:t xml:space="preserve">. </w:t>
      </w:r>
      <w:r w:rsidR="001F5899" w:rsidRPr="001F5899">
        <w:rPr>
          <w:rFonts w:asciiTheme="minorHAnsi" w:eastAsia="Times New Roman" w:hAnsiTheme="minorHAnsi" w:cstheme="minorBidi"/>
          <w:lang w:eastAsia="en-GB"/>
        </w:rPr>
        <w:t>Interdisciplinary mobile health model to improve clinical care after heart transplantation: implementation strategy study. </w:t>
      </w:r>
      <w:r w:rsidR="001F5899" w:rsidRPr="001F5899">
        <w:rPr>
          <w:rFonts w:asciiTheme="minorHAnsi" w:eastAsia="Times New Roman" w:hAnsiTheme="minorHAnsi" w:cstheme="minorBidi"/>
          <w:i/>
          <w:iCs/>
          <w:lang w:eastAsia="en-GB"/>
        </w:rPr>
        <w:t>J</w:t>
      </w:r>
      <w:r w:rsidR="001F5899">
        <w:rPr>
          <w:rFonts w:asciiTheme="minorHAnsi" w:eastAsia="Times New Roman" w:hAnsiTheme="minorHAnsi" w:cstheme="minorBidi"/>
          <w:i/>
          <w:iCs/>
          <w:lang w:eastAsia="en-GB"/>
        </w:rPr>
        <w:t xml:space="preserve">ournal </w:t>
      </w:r>
      <w:r w:rsidR="00CC5A4B">
        <w:rPr>
          <w:rFonts w:asciiTheme="minorHAnsi" w:eastAsia="Times New Roman" w:hAnsiTheme="minorHAnsi" w:cstheme="minorBidi"/>
          <w:i/>
          <w:iCs/>
          <w:lang w:eastAsia="en-GB"/>
        </w:rPr>
        <w:t xml:space="preserve">of </w:t>
      </w:r>
      <w:r w:rsidR="001F5899" w:rsidRPr="001F5899">
        <w:rPr>
          <w:rFonts w:asciiTheme="minorHAnsi" w:eastAsia="Times New Roman" w:hAnsiTheme="minorHAnsi" w:cstheme="minorBidi"/>
          <w:i/>
          <w:iCs/>
          <w:lang w:eastAsia="en-GB"/>
        </w:rPr>
        <w:t>M</w:t>
      </w:r>
      <w:r w:rsidR="00CC5A4B">
        <w:rPr>
          <w:rFonts w:asciiTheme="minorHAnsi" w:eastAsia="Times New Roman" w:hAnsiTheme="minorHAnsi" w:cstheme="minorBidi"/>
          <w:i/>
          <w:iCs/>
          <w:lang w:eastAsia="en-GB"/>
        </w:rPr>
        <w:t xml:space="preserve">edical </w:t>
      </w:r>
      <w:r w:rsidR="001F5899" w:rsidRPr="001F5899">
        <w:rPr>
          <w:rFonts w:asciiTheme="minorHAnsi" w:eastAsia="Times New Roman" w:hAnsiTheme="minorHAnsi" w:cstheme="minorBidi"/>
          <w:i/>
          <w:iCs/>
          <w:lang w:eastAsia="en-GB"/>
        </w:rPr>
        <w:t>I</w:t>
      </w:r>
      <w:r w:rsidR="00CC5A4B">
        <w:rPr>
          <w:rFonts w:asciiTheme="minorHAnsi" w:eastAsia="Times New Roman" w:hAnsiTheme="minorHAnsi" w:cstheme="minorBidi"/>
          <w:i/>
          <w:iCs/>
          <w:lang w:eastAsia="en-GB"/>
        </w:rPr>
        <w:t xml:space="preserve">nternet </w:t>
      </w:r>
      <w:r w:rsidR="001F5899" w:rsidRPr="001F5899">
        <w:rPr>
          <w:rFonts w:asciiTheme="minorHAnsi" w:eastAsia="Times New Roman" w:hAnsiTheme="minorHAnsi" w:cstheme="minorBidi"/>
          <w:i/>
          <w:iCs/>
          <w:lang w:eastAsia="en-GB"/>
        </w:rPr>
        <w:t>R</w:t>
      </w:r>
      <w:r w:rsidR="00CC5A4B">
        <w:rPr>
          <w:rFonts w:asciiTheme="minorHAnsi" w:eastAsia="Times New Roman" w:hAnsiTheme="minorHAnsi" w:cstheme="minorBidi"/>
          <w:i/>
          <w:iCs/>
          <w:lang w:eastAsia="en-GB"/>
        </w:rPr>
        <w:t>esearch C</w:t>
      </w:r>
      <w:r w:rsidR="001F5899" w:rsidRPr="001F5899">
        <w:rPr>
          <w:rFonts w:asciiTheme="minorHAnsi" w:eastAsia="Times New Roman" w:hAnsiTheme="minorHAnsi" w:cstheme="minorBidi"/>
          <w:i/>
          <w:iCs/>
          <w:lang w:eastAsia="en-GB"/>
        </w:rPr>
        <w:t>ardio</w:t>
      </w:r>
      <w:r w:rsidR="001F5899" w:rsidRPr="001F5899">
        <w:rPr>
          <w:rFonts w:asciiTheme="minorHAnsi" w:eastAsia="Times New Roman" w:hAnsiTheme="minorHAnsi" w:cstheme="minorBidi"/>
          <w:lang w:eastAsia="en-GB"/>
        </w:rPr>
        <w:t>, </w:t>
      </w:r>
      <w:r w:rsidR="001F5899" w:rsidRPr="001F5899">
        <w:rPr>
          <w:rFonts w:asciiTheme="minorHAnsi" w:eastAsia="Times New Roman" w:hAnsiTheme="minorHAnsi" w:cstheme="minorBidi"/>
          <w:i/>
          <w:iCs/>
          <w:lang w:eastAsia="en-GB"/>
        </w:rPr>
        <w:t>4</w:t>
      </w:r>
      <w:r w:rsidR="001F5899" w:rsidRPr="001F5899">
        <w:rPr>
          <w:rFonts w:asciiTheme="minorHAnsi" w:eastAsia="Times New Roman" w:hAnsiTheme="minorHAnsi" w:cstheme="minorBidi"/>
          <w:lang w:eastAsia="en-GB"/>
        </w:rPr>
        <w:t xml:space="preserve">(1), </w:t>
      </w:r>
      <w:r w:rsidR="00CC5A4B">
        <w:rPr>
          <w:rFonts w:asciiTheme="minorHAnsi" w:eastAsia="Times New Roman" w:hAnsiTheme="minorHAnsi" w:cstheme="minorBidi"/>
          <w:lang w:eastAsia="en-GB"/>
        </w:rPr>
        <w:t xml:space="preserve">Article </w:t>
      </w:r>
      <w:r w:rsidR="001F5899" w:rsidRPr="001F5899">
        <w:rPr>
          <w:rFonts w:asciiTheme="minorHAnsi" w:eastAsia="Times New Roman" w:hAnsiTheme="minorHAnsi" w:cstheme="minorBidi"/>
          <w:lang w:eastAsia="en-GB"/>
        </w:rPr>
        <w:t>e19065.</w:t>
      </w:r>
    </w:p>
    <w:p w14:paraId="2066F391" w14:textId="09671151" w:rsidR="00D613D8" w:rsidRPr="009E12F9" w:rsidRDefault="00D613D8" w:rsidP="00413528">
      <w:pPr>
        <w:spacing w:line="240" w:lineRule="auto"/>
        <w:ind w:hanging="720"/>
        <w:rPr>
          <w:rFonts w:asciiTheme="minorHAnsi" w:eastAsia="Times New Roman" w:hAnsiTheme="minorHAnsi" w:cstheme="minorBidi"/>
          <w:lang w:val="en-US" w:eastAsia="en-GB"/>
        </w:rPr>
      </w:pPr>
      <w:r w:rsidRPr="00D613D8">
        <w:rPr>
          <w:rFonts w:asciiTheme="minorHAnsi" w:eastAsia="Times New Roman" w:hAnsiTheme="minorHAnsi" w:cstheme="minorBidi"/>
          <w:lang w:eastAsia="en-GB"/>
        </w:rPr>
        <w:t>Gonzales, H. M., Fleming, J. N., Gebregziabher, M., Posadas Salas, M. A., McGillicuddy, J. W., &amp; Taber, D. J. (2022). A critical analysis of the specific pharmacist interventions and risk assessments during the 12-month TRANSAFE Rx randomized controlled trial. </w:t>
      </w:r>
      <w:r w:rsidRPr="00D613D8">
        <w:rPr>
          <w:rFonts w:asciiTheme="minorHAnsi" w:eastAsia="Times New Roman" w:hAnsiTheme="minorHAnsi" w:cstheme="minorBidi"/>
          <w:i/>
          <w:iCs/>
          <w:lang w:eastAsia="en-GB"/>
        </w:rPr>
        <w:t>Annals of Pharmacotherapy</w:t>
      </w:r>
      <w:r w:rsidRPr="00D613D8">
        <w:rPr>
          <w:rFonts w:asciiTheme="minorHAnsi" w:eastAsia="Times New Roman" w:hAnsiTheme="minorHAnsi" w:cstheme="minorBidi"/>
          <w:lang w:eastAsia="en-GB"/>
        </w:rPr>
        <w:t>, </w:t>
      </w:r>
      <w:r w:rsidRPr="00D613D8">
        <w:rPr>
          <w:rFonts w:asciiTheme="minorHAnsi" w:eastAsia="Times New Roman" w:hAnsiTheme="minorHAnsi" w:cstheme="minorBidi"/>
          <w:i/>
          <w:iCs/>
          <w:lang w:eastAsia="en-GB"/>
        </w:rPr>
        <w:t>56</w:t>
      </w:r>
      <w:r w:rsidRPr="00D613D8">
        <w:rPr>
          <w:rFonts w:asciiTheme="minorHAnsi" w:eastAsia="Times New Roman" w:hAnsiTheme="minorHAnsi" w:cstheme="minorBidi"/>
          <w:lang w:eastAsia="en-GB"/>
        </w:rPr>
        <w:t>(6), 685-690.</w:t>
      </w:r>
    </w:p>
    <w:p w14:paraId="3C749AB1" w14:textId="17A14FBA" w:rsidR="00715E80" w:rsidRPr="009E12F9" w:rsidRDefault="00715E80" w:rsidP="00413528">
      <w:pPr>
        <w:spacing w:line="240" w:lineRule="auto"/>
        <w:ind w:hanging="720"/>
        <w:rPr>
          <w:rFonts w:asciiTheme="minorHAnsi" w:eastAsia="Times New Roman" w:hAnsiTheme="minorHAnsi" w:cstheme="minorBidi"/>
          <w:lang w:val="en-US" w:eastAsia="en-GB"/>
        </w:rPr>
      </w:pPr>
      <w:r w:rsidRPr="6A640EE8">
        <w:rPr>
          <w:rFonts w:asciiTheme="minorHAnsi" w:eastAsia="Times New Roman" w:hAnsiTheme="minorHAnsi" w:cstheme="minorBidi"/>
          <w:highlight w:val="white"/>
          <w:lang w:eastAsia="en-GB"/>
        </w:rPr>
        <w:t xml:space="preserve">Gordon, E. J., </w:t>
      </w:r>
      <w:proofErr w:type="spellStart"/>
      <w:r w:rsidRPr="6A640EE8">
        <w:rPr>
          <w:rFonts w:asciiTheme="minorHAnsi" w:eastAsia="Times New Roman" w:hAnsiTheme="minorHAnsi" w:cstheme="minorBidi"/>
          <w:highlight w:val="white"/>
          <w:lang w:eastAsia="en-GB"/>
        </w:rPr>
        <w:t>Feinglass</w:t>
      </w:r>
      <w:proofErr w:type="spellEnd"/>
      <w:r w:rsidRPr="6A640EE8">
        <w:rPr>
          <w:rFonts w:asciiTheme="minorHAnsi" w:eastAsia="Times New Roman" w:hAnsiTheme="minorHAnsi" w:cstheme="minorBidi"/>
          <w:highlight w:val="white"/>
          <w:lang w:eastAsia="en-GB"/>
        </w:rPr>
        <w:t xml:space="preserve">, J., Carney, P., Vera, K., Olivero, M., Black, A., </w:t>
      </w:r>
      <w:r w:rsidR="005E3353" w:rsidRPr="6A640EE8">
        <w:rPr>
          <w:rFonts w:asciiTheme="minorHAnsi" w:eastAsia="Times New Roman" w:hAnsiTheme="minorHAnsi" w:cstheme="minorBidi"/>
          <w:highlight w:val="white"/>
          <w:lang w:eastAsia="en-GB"/>
        </w:rPr>
        <w:t xml:space="preserve">O’Connor, K. G., </w:t>
      </w:r>
      <w:proofErr w:type="spellStart"/>
      <w:r w:rsidR="005E3353" w:rsidRPr="6A640EE8">
        <w:rPr>
          <w:rFonts w:asciiTheme="minorHAnsi" w:eastAsia="Times New Roman" w:hAnsiTheme="minorHAnsi" w:cstheme="minorBidi"/>
          <w:highlight w:val="white"/>
          <w:lang w:eastAsia="en-GB"/>
        </w:rPr>
        <w:t>Baugmart</w:t>
      </w:r>
      <w:proofErr w:type="spellEnd"/>
      <w:r w:rsidR="005E3353" w:rsidRPr="6A640EE8">
        <w:rPr>
          <w:rFonts w:asciiTheme="minorHAnsi" w:eastAsia="Times New Roman" w:hAnsiTheme="minorHAnsi" w:cstheme="minorBidi"/>
          <w:highlight w:val="white"/>
          <w:lang w:eastAsia="en-GB"/>
        </w:rPr>
        <w:t xml:space="preserve">, J. M., </w:t>
      </w:r>
      <w:r w:rsidRPr="6A640EE8">
        <w:rPr>
          <w:rFonts w:asciiTheme="minorHAnsi" w:eastAsia="Times New Roman" w:hAnsiTheme="minorHAnsi" w:cstheme="minorBidi"/>
          <w:highlight w:val="white"/>
          <w:lang w:eastAsia="en-GB"/>
        </w:rPr>
        <w:t>&amp; Caicedo, J. C. (2016). A website intervention to increase knowledge about living kidney donation and transplantation among Hispanic/Latino dialysis patients. </w:t>
      </w:r>
      <w:r w:rsidRPr="6A640EE8">
        <w:rPr>
          <w:rFonts w:asciiTheme="minorHAnsi" w:eastAsia="Times New Roman" w:hAnsiTheme="minorHAnsi" w:cstheme="minorBidi"/>
          <w:i/>
          <w:highlight w:val="white"/>
          <w:lang w:eastAsia="en-GB"/>
        </w:rPr>
        <w:t>Progress in</w:t>
      </w:r>
      <w:r w:rsidRPr="6A640EE8">
        <w:rPr>
          <w:rFonts w:asciiTheme="minorHAnsi" w:eastAsia="Times New Roman" w:hAnsiTheme="minorHAnsi" w:cstheme="minorBidi"/>
          <w:i/>
          <w:iCs/>
          <w:highlight w:val="white"/>
          <w:lang w:eastAsia="en-GB"/>
        </w:rPr>
        <w:t xml:space="preserve"> </w:t>
      </w:r>
      <w:r w:rsidRPr="6A640EE8">
        <w:rPr>
          <w:rFonts w:asciiTheme="minorHAnsi" w:eastAsia="Times New Roman" w:hAnsiTheme="minorHAnsi" w:cstheme="minorBidi"/>
          <w:i/>
          <w:highlight w:val="white"/>
          <w:lang w:eastAsia="en-GB"/>
        </w:rPr>
        <w:t>Transplantation</w:t>
      </w:r>
      <w:r w:rsidRPr="6A640EE8">
        <w:rPr>
          <w:rFonts w:asciiTheme="minorHAnsi" w:eastAsia="Times New Roman" w:hAnsiTheme="minorHAnsi" w:cstheme="minorBidi"/>
          <w:highlight w:val="white"/>
          <w:lang w:eastAsia="en-GB"/>
        </w:rPr>
        <w:t>, </w:t>
      </w:r>
      <w:r w:rsidRPr="6A640EE8">
        <w:rPr>
          <w:rFonts w:asciiTheme="minorHAnsi" w:eastAsia="Times New Roman" w:hAnsiTheme="minorHAnsi" w:cstheme="minorBidi"/>
          <w:i/>
          <w:highlight w:val="white"/>
          <w:lang w:eastAsia="en-GB"/>
        </w:rPr>
        <w:t>26</w:t>
      </w:r>
      <w:r w:rsidRPr="6A640EE8">
        <w:rPr>
          <w:rFonts w:asciiTheme="minorHAnsi" w:eastAsia="Times New Roman" w:hAnsiTheme="minorHAnsi" w:cstheme="minorBidi"/>
          <w:highlight w:val="white"/>
          <w:lang w:eastAsia="en-GB"/>
        </w:rPr>
        <w:t>(1), 82-91.</w:t>
      </w:r>
    </w:p>
    <w:p w14:paraId="6F7E03AB" w14:textId="2AE8B500" w:rsidR="007A2A0D" w:rsidRPr="009E12F9" w:rsidRDefault="007A2A0D"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lastRenderedPageBreak/>
        <w:t>Grand</w:t>
      </w:r>
      <w:r w:rsidR="00D4576F" w:rsidRPr="26F64964">
        <w:rPr>
          <w:rFonts w:asciiTheme="minorHAnsi" w:eastAsia="Times New Roman" w:hAnsiTheme="minorHAnsi" w:cstheme="minorBidi"/>
          <w:highlight w:val="white"/>
          <w:lang w:val="en-US" w:eastAsia="en-GB"/>
        </w:rPr>
        <w:t xml:space="preserve"> View Research. (n.d.). </w:t>
      </w:r>
      <w:r w:rsidR="002D450C" w:rsidRPr="26F64964">
        <w:rPr>
          <w:rFonts w:asciiTheme="minorHAnsi" w:eastAsia="Times New Roman" w:hAnsiTheme="minorHAnsi" w:cstheme="minorBidi"/>
          <w:i/>
          <w:iCs/>
          <w:highlight w:val="white"/>
          <w:lang w:val="en-US" w:eastAsia="en-GB"/>
        </w:rPr>
        <w:t>Telehealth Market Size, Share &amp; Trends Analysis Report</w:t>
      </w:r>
      <w:r w:rsidR="002D450C" w:rsidRPr="26F64964">
        <w:rPr>
          <w:rFonts w:asciiTheme="minorHAnsi" w:eastAsia="Times New Roman" w:hAnsiTheme="minorHAnsi" w:cstheme="minorBidi"/>
          <w:i/>
          <w:iCs/>
          <w:lang w:val="en-US" w:eastAsia="en-GB"/>
        </w:rPr>
        <w:t xml:space="preserve"> </w:t>
      </w:r>
      <w:proofErr w:type="gramStart"/>
      <w:r w:rsidR="002D450C" w:rsidRPr="26F64964">
        <w:rPr>
          <w:rFonts w:asciiTheme="minorHAnsi" w:eastAsia="Times New Roman" w:hAnsiTheme="minorHAnsi" w:cstheme="minorBidi"/>
          <w:i/>
          <w:iCs/>
          <w:highlight w:val="white"/>
          <w:lang w:val="en-US" w:eastAsia="en-GB"/>
        </w:rPr>
        <w:t>By</w:t>
      </w:r>
      <w:proofErr w:type="gramEnd"/>
      <w:r w:rsidR="002D450C" w:rsidRPr="26F64964">
        <w:rPr>
          <w:rFonts w:asciiTheme="minorHAnsi" w:eastAsia="Times New Roman" w:hAnsiTheme="minorHAnsi" w:cstheme="minorBidi"/>
          <w:i/>
          <w:iCs/>
          <w:highlight w:val="white"/>
          <w:lang w:val="en-US" w:eastAsia="en-GB"/>
        </w:rPr>
        <w:t xml:space="preserve"> Product Type (Software, Services), By Delivery Mode (Cloud-based, Web-based),</w:t>
      </w:r>
      <w:r w:rsidR="002D450C" w:rsidRPr="26F64964">
        <w:rPr>
          <w:rFonts w:asciiTheme="minorHAnsi" w:eastAsia="Times New Roman" w:hAnsiTheme="minorHAnsi" w:cstheme="minorBidi"/>
          <w:i/>
          <w:iCs/>
          <w:lang w:val="en-US" w:eastAsia="en-GB"/>
        </w:rPr>
        <w:t xml:space="preserve"> </w:t>
      </w:r>
      <w:r w:rsidR="002D450C" w:rsidRPr="26F64964">
        <w:rPr>
          <w:rFonts w:asciiTheme="minorHAnsi" w:eastAsia="Times New Roman" w:hAnsiTheme="minorHAnsi" w:cstheme="minorBidi"/>
          <w:i/>
          <w:iCs/>
          <w:highlight w:val="white"/>
          <w:lang w:val="en-US" w:eastAsia="en-GB"/>
        </w:rPr>
        <w:t>By End-use (Payers, Patients), By Disease Area, By Region, And Segment Forecasts,</w:t>
      </w:r>
      <w:r w:rsidR="002D450C" w:rsidRPr="26F64964">
        <w:rPr>
          <w:rFonts w:asciiTheme="minorHAnsi" w:eastAsia="Times New Roman" w:hAnsiTheme="minorHAnsi" w:cstheme="minorBidi"/>
          <w:i/>
          <w:iCs/>
          <w:lang w:val="en-US" w:eastAsia="en-GB"/>
        </w:rPr>
        <w:t xml:space="preserve"> </w:t>
      </w:r>
      <w:r w:rsidR="002D450C" w:rsidRPr="26F64964">
        <w:rPr>
          <w:rFonts w:asciiTheme="minorHAnsi" w:eastAsia="Times New Roman" w:hAnsiTheme="minorHAnsi" w:cstheme="minorBidi"/>
          <w:i/>
          <w:iCs/>
          <w:highlight w:val="white"/>
          <w:lang w:val="en-US" w:eastAsia="en-GB"/>
        </w:rPr>
        <w:t xml:space="preserve">2023 – 2030. </w:t>
      </w:r>
      <w:hyperlink r:id="rId17">
        <w:r w:rsidR="1CDDE930" w:rsidRPr="26F64964">
          <w:rPr>
            <w:rStyle w:val="Hyperlink"/>
            <w:rFonts w:asciiTheme="minorHAnsi" w:eastAsia="Times New Roman" w:hAnsiTheme="minorHAnsi" w:cstheme="minorBidi"/>
            <w:color w:val="auto"/>
            <w:highlight w:val="white"/>
            <w:lang w:val="en-US" w:eastAsia="en-GB"/>
          </w:rPr>
          <w:t>https://www.grandviewresearch.com/industry-analysis/telehealth-market-</w:t>
        </w:r>
        <w:r w:rsidR="1CDDE930" w:rsidRPr="26F64964">
          <w:rPr>
            <w:rStyle w:val="Hyperlink"/>
            <w:rFonts w:asciiTheme="minorHAnsi" w:eastAsia="Times New Roman" w:hAnsiTheme="minorHAnsi" w:cstheme="minorBidi"/>
            <w:color w:val="auto"/>
            <w:lang w:val="en-US" w:eastAsia="en-GB"/>
          </w:rPr>
          <w:t>report</w:t>
        </w:r>
      </w:hyperlink>
      <w:r w:rsidR="1CDDE930" w:rsidRPr="26F64964">
        <w:rPr>
          <w:rFonts w:asciiTheme="minorHAnsi" w:eastAsia="Times New Roman" w:hAnsiTheme="minorHAnsi" w:cstheme="minorBidi"/>
          <w:lang w:val="en-US" w:eastAsia="en-GB"/>
        </w:rPr>
        <w:t xml:space="preserve"> </w:t>
      </w:r>
    </w:p>
    <w:p w14:paraId="0CBBB54C" w14:textId="74D2A08A" w:rsidR="1CDDE930" w:rsidRDefault="1CDDE930" w:rsidP="00413528">
      <w:pPr>
        <w:spacing w:line="240" w:lineRule="auto"/>
        <w:ind w:hanging="720"/>
        <w:rPr>
          <w:rFonts w:asciiTheme="minorHAnsi" w:eastAsia="Arial" w:hAnsiTheme="minorHAnsi" w:cstheme="minorBidi"/>
        </w:rPr>
      </w:pPr>
      <w:r w:rsidRPr="26F64964">
        <w:rPr>
          <w:rFonts w:asciiTheme="minorHAnsi" w:eastAsia="Arial" w:hAnsiTheme="minorHAnsi" w:cstheme="minorBidi"/>
          <w:highlight w:val="white"/>
        </w:rPr>
        <w:t>Granja, C., Janssen, W., &amp; Johansen, M. A. (2018). Factors determining the success</w:t>
      </w:r>
      <w:r w:rsidRPr="26F64964">
        <w:rPr>
          <w:rFonts w:asciiTheme="minorHAnsi" w:eastAsia="Arial" w:hAnsiTheme="minorHAnsi" w:cstheme="minorBidi"/>
        </w:rPr>
        <w:t xml:space="preserve"> </w:t>
      </w:r>
      <w:r w:rsidRPr="26F64964">
        <w:rPr>
          <w:rFonts w:asciiTheme="minorHAnsi" w:eastAsia="Arial" w:hAnsiTheme="minorHAnsi" w:cstheme="minorBidi"/>
          <w:highlight w:val="white"/>
        </w:rPr>
        <w:t xml:space="preserve">and failure of eHealth interventions: systematic review of the literature. </w:t>
      </w:r>
      <w:r w:rsidRPr="26F64964">
        <w:rPr>
          <w:rFonts w:asciiTheme="minorHAnsi" w:eastAsia="Arial" w:hAnsiTheme="minorHAnsi" w:cstheme="minorBidi"/>
          <w:i/>
          <w:iCs/>
          <w:highlight w:val="white"/>
        </w:rPr>
        <w:t>Journal of</w:t>
      </w:r>
      <w:r w:rsidRPr="26F64964">
        <w:rPr>
          <w:rFonts w:asciiTheme="minorHAnsi" w:eastAsia="Arial" w:hAnsiTheme="minorHAnsi" w:cstheme="minorBidi"/>
          <w:i/>
          <w:iCs/>
        </w:rPr>
        <w:t xml:space="preserve"> </w:t>
      </w:r>
      <w:r w:rsidR="000A0E81" w:rsidRPr="26F64964">
        <w:rPr>
          <w:rFonts w:asciiTheme="minorHAnsi" w:eastAsia="Arial" w:hAnsiTheme="minorHAnsi" w:cstheme="minorBidi"/>
          <w:i/>
          <w:iCs/>
          <w:highlight w:val="white"/>
        </w:rPr>
        <w:t>M</w:t>
      </w:r>
      <w:r w:rsidRPr="26F64964">
        <w:rPr>
          <w:rFonts w:asciiTheme="minorHAnsi" w:eastAsia="Arial" w:hAnsiTheme="minorHAnsi" w:cstheme="minorBidi"/>
          <w:i/>
          <w:iCs/>
          <w:highlight w:val="white"/>
        </w:rPr>
        <w:t xml:space="preserve">edical Internet </w:t>
      </w:r>
      <w:r w:rsidR="000A0E81" w:rsidRPr="26F64964">
        <w:rPr>
          <w:rFonts w:asciiTheme="minorHAnsi" w:eastAsia="Arial" w:hAnsiTheme="minorHAnsi" w:cstheme="minorBidi"/>
          <w:i/>
          <w:iCs/>
          <w:highlight w:val="white"/>
        </w:rPr>
        <w:t>R</w:t>
      </w:r>
      <w:r w:rsidRPr="26F64964">
        <w:rPr>
          <w:rFonts w:asciiTheme="minorHAnsi" w:eastAsia="Arial" w:hAnsiTheme="minorHAnsi" w:cstheme="minorBidi"/>
          <w:i/>
          <w:iCs/>
          <w:highlight w:val="white"/>
        </w:rPr>
        <w:t>esearch</w:t>
      </w:r>
      <w:r w:rsidRPr="26F64964">
        <w:rPr>
          <w:rFonts w:asciiTheme="minorHAnsi" w:eastAsia="Arial" w:hAnsiTheme="minorHAnsi" w:cstheme="minorBidi"/>
          <w:highlight w:val="white"/>
        </w:rPr>
        <w:t xml:space="preserve">, </w:t>
      </w:r>
      <w:r w:rsidRPr="26F64964">
        <w:rPr>
          <w:rFonts w:asciiTheme="minorHAnsi" w:eastAsia="Arial" w:hAnsiTheme="minorHAnsi" w:cstheme="minorBidi"/>
          <w:i/>
          <w:iCs/>
          <w:highlight w:val="white"/>
        </w:rPr>
        <w:t>20</w:t>
      </w:r>
      <w:r w:rsidRPr="26F64964">
        <w:rPr>
          <w:rFonts w:asciiTheme="minorHAnsi" w:eastAsia="Arial" w:hAnsiTheme="minorHAnsi" w:cstheme="minorBidi"/>
          <w:highlight w:val="white"/>
        </w:rPr>
        <w:t>(5</w:t>
      </w:r>
      <w:r w:rsidRPr="26F64964">
        <w:rPr>
          <w:rFonts w:asciiTheme="minorHAnsi" w:eastAsia="Arial" w:hAnsiTheme="minorHAnsi" w:cstheme="minorBidi"/>
        </w:rPr>
        <w:t xml:space="preserve">), </w:t>
      </w:r>
      <w:r w:rsidR="00733CA6" w:rsidRPr="26F64964">
        <w:rPr>
          <w:rFonts w:asciiTheme="minorHAnsi" w:eastAsia="Arial" w:hAnsiTheme="minorHAnsi" w:cstheme="minorBidi"/>
        </w:rPr>
        <w:t xml:space="preserve">Article </w:t>
      </w:r>
      <w:r w:rsidRPr="26F64964">
        <w:rPr>
          <w:rFonts w:asciiTheme="minorHAnsi" w:eastAsia="Arial" w:hAnsiTheme="minorHAnsi" w:cstheme="minorBidi"/>
          <w:highlight w:val="white"/>
        </w:rPr>
        <w:t>e10235</w:t>
      </w:r>
      <w:r w:rsidRPr="26F64964">
        <w:rPr>
          <w:rFonts w:asciiTheme="minorHAnsi" w:eastAsia="Arial" w:hAnsiTheme="minorHAnsi" w:cstheme="minorBidi"/>
        </w:rPr>
        <w:t>.</w:t>
      </w:r>
    </w:p>
    <w:p w14:paraId="732739D4" w14:textId="186B0513" w:rsidR="00E42A85" w:rsidRDefault="00E42A85" w:rsidP="00413528">
      <w:pPr>
        <w:spacing w:line="240" w:lineRule="auto"/>
        <w:ind w:hanging="720"/>
        <w:rPr>
          <w:rFonts w:asciiTheme="minorHAnsi" w:eastAsia="Calibri" w:hAnsiTheme="minorHAnsi" w:cstheme="minorBidi"/>
        </w:rPr>
      </w:pPr>
      <w:r w:rsidRPr="00E42A85">
        <w:rPr>
          <w:rFonts w:asciiTheme="minorHAnsi" w:eastAsia="Calibri" w:hAnsiTheme="minorHAnsi" w:cstheme="minorBidi"/>
        </w:rPr>
        <w:t>Gunn, K. M., Skrabal Ross, X., McLoughlin, M., McDonald, S., &amp; Olver, I. (2021). The psychosocial experiences and supportive care preferences of organ transplant recipients and their carers who live in regional Australia. </w:t>
      </w:r>
      <w:r w:rsidRPr="00E42A85">
        <w:rPr>
          <w:rFonts w:asciiTheme="minorHAnsi" w:eastAsia="Calibri" w:hAnsiTheme="minorHAnsi" w:cstheme="minorBidi"/>
          <w:i/>
          <w:iCs/>
        </w:rPr>
        <w:t>Australian Journal of Rural Health</w:t>
      </w:r>
      <w:r w:rsidRPr="00E42A85">
        <w:rPr>
          <w:rFonts w:asciiTheme="minorHAnsi" w:eastAsia="Calibri" w:hAnsiTheme="minorHAnsi" w:cstheme="minorBidi"/>
        </w:rPr>
        <w:t>, </w:t>
      </w:r>
      <w:r w:rsidRPr="00E42A85">
        <w:rPr>
          <w:rFonts w:asciiTheme="minorHAnsi" w:eastAsia="Calibri" w:hAnsiTheme="minorHAnsi" w:cstheme="minorBidi"/>
          <w:i/>
          <w:iCs/>
        </w:rPr>
        <w:t>29</w:t>
      </w:r>
      <w:r w:rsidRPr="00E42A85">
        <w:rPr>
          <w:rFonts w:asciiTheme="minorHAnsi" w:eastAsia="Calibri" w:hAnsiTheme="minorHAnsi" w:cstheme="minorBidi"/>
        </w:rPr>
        <w:t>(1), 92-105.</w:t>
      </w:r>
    </w:p>
    <w:p w14:paraId="79C82278" w14:textId="12F88009" w:rsidR="008127B0" w:rsidRPr="009E12F9" w:rsidRDefault="008127B0"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eastAsia="en-GB"/>
        </w:rPr>
        <w:t xml:space="preserve">Hamid, M., </w:t>
      </w:r>
      <w:r w:rsidRPr="26F64964">
        <w:rPr>
          <w:rFonts w:asciiTheme="minorHAnsi" w:eastAsia="Times New Roman" w:hAnsiTheme="minorHAnsi" w:cstheme="minorBidi"/>
          <w:highlight w:val="white"/>
          <w:lang w:eastAsia="en-GB"/>
        </w:rPr>
        <w:t xml:space="preserve">Rogers, E., Chawla, G., Gill, J., </w:t>
      </w:r>
      <w:proofErr w:type="spellStart"/>
      <w:r w:rsidRPr="26F64964">
        <w:rPr>
          <w:rFonts w:asciiTheme="minorHAnsi" w:eastAsia="Times New Roman" w:hAnsiTheme="minorHAnsi" w:cstheme="minorBidi"/>
          <w:highlight w:val="white"/>
          <w:lang w:eastAsia="en-GB"/>
        </w:rPr>
        <w:t>Macanovic</w:t>
      </w:r>
      <w:proofErr w:type="spellEnd"/>
      <w:r w:rsidRPr="26F64964">
        <w:rPr>
          <w:rFonts w:asciiTheme="minorHAnsi" w:eastAsia="Times New Roman" w:hAnsiTheme="minorHAnsi" w:cstheme="minorBidi"/>
          <w:highlight w:val="white"/>
          <w:lang w:eastAsia="en-GB"/>
        </w:rPr>
        <w:t>, S., &amp; Mucsi, I. (2022).</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Pretransplant patient education in solid-organ transplant: a narrative</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review. </w:t>
      </w:r>
      <w:r w:rsidRPr="26F64964">
        <w:rPr>
          <w:rFonts w:asciiTheme="minorHAnsi" w:eastAsia="Times New Roman" w:hAnsiTheme="minorHAnsi" w:cstheme="minorBidi"/>
          <w:i/>
          <w:iCs/>
          <w:highlight w:val="white"/>
          <w:lang w:eastAsia="en-GB"/>
        </w:rPr>
        <w:t>Transplantation</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106</w:t>
      </w:r>
      <w:r w:rsidRPr="26F64964">
        <w:rPr>
          <w:rFonts w:asciiTheme="minorHAnsi" w:eastAsia="Times New Roman" w:hAnsiTheme="minorHAnsi" w:cstheme="minorBidi"/>
          <w:highlight w:val="white"/>
          <w:lang w:eastAsia="en-GB"/>
        </w:rPr>
        <w:t>(4), 722-733</w:t>
      </w:r>
      <w:r w:rsidRPr="26F64964">
        <w:rPr>
          <w:rFonts w:asciiTheme="minorHAnsi" w:eastAsia="Times New Roman" w:hAnsiTheme="minorHAnsi" w:cstheme="minorBidi"/>
          <w:lang w:eastAsia="en-GB"/>
        </w:rPr>
        <w:t>.</w:t>
      </w:r>
    </w:p>
    <w:p w14:paraId="09310D94" w14:textId="77777777" w:rsidR="00876F1E" w:rsidRPr="00197578" w:rsidRDefault="00876F1E" w:rsidP="00413528">
      <w:pPr>
        <w:spacing w:line="240" w:lineRule="auto"/>
        <w:ind w:hanging="720"/>
        <w:rPr>
          <w:rFonts w:asciiTheme="minorHAnsi" w:eastAsia="Calibri" w:hAnsiTheme="minorHAnsi" w:cstheme="minorBidi"/>
        </w:rPr>
      </w:pPr>
      <w:r w:rsidRPr="00197578">
        <w:rPr>
          <w:rFonts w:asciiTheme="minorHAnsi" w:eastAsia="Calibri" w:hAnsiTheme="minorHAnsi" w:cstheme="minorBidi"/>
        </w:rPr>
        <w:t xml:space="preserve">Handler, L., Jaloul, P., Clancy, J., Cuypers, B., Muir, J., Hemphill, J., </w:t>
      </w:r>
      <w:proofErr w:type="spellStart"/>
      <w:r w:rsidRPr="00197578">
        <w:rPr>
          <w:rFonts w:asciiTheme="minorHAnsi" w:eastAsia="Calibri" w:hAnsiTheme="minorHAnsi" w:cstheme="minorBidi"/>
        </w:rPr>
        <w:t>Janaudis</w:t>
      </w:r>
      <w:proofErr w:type="spellEnd"/>
      <w:r w:rsidRPr="00197578">
        <w:rPr>
          <w:rFonts w:asciiTheme="minorHAnsi" w:eastAsia="Calibri" w:hAnsiTheme="minorHAnsi" w:cstheme="minorBidi"/>
        </w:rPr>
        <w:t>-Ferreira, T., Gottesman, C., Wickerson, L., Lovas, M., Cafasso, J. A., &amp; Mathur, S. (2023)</w:t>
      </w:r>
      <w:r>
        <w:rPr>
          <w:rFonts w:asciiTheme="minorHAnsi" w:eastAsia="Calibri" w:hAnsiTheme="minorHAnsi" w:cstheme="minorBidi"/>
        </w:rPr>
        <w:t xml:space="preserve">. </w:t>
      </w:r>
      <w:r w:rsidRPr="00862859">
        <w:rPr>
          <w:rFonts w:asciiTheme="minorHAnsi" w:eastAsia="Calibri" w:hAnsiTheme="minorHAnsi" w:cstheme="minorBidi"/>
        </w:rPr>
        <w:t xml:space="preserve">A </w:t>
      </w:r>
      <w:r>
        <w:rPr>
          <w:rFonts w:asciiTheme="minorHAnsi" w:eastAsia="Calibri" w:hAnsiTheme="minorHAnsi" w:cstheme="minorBidi"/>
        </w:rPr>
        <w:t>q</w:t>
      </w:r>
      <w:r w:rsidRPr="00862859">
        <w:rPr>
          <w:rFonts w:asciiTheme="minorHAnsi" w:eastAsia="Calibri" w:hAnsiTheme="minorHAnsi" w:cstheme="minorBidi"/>
        </w:rPr>
        <w:t xml:space="preserve">ualitative </w:t>
      </w:r>
      <w:r>
        <w:rPr>
          <w:rFonts w:asciiTheme="minorHAnsi" w:eastAsia="Calibri" w:hAnsiTheme="minorHAnsi" w:cstheme="minorBidi"/>
        </w:rPr>
        <w:t>s</w:t>
      </w:r>
      <w:r w:rsidRPr="00862859">
        <w:rPr>
          <w:rFonts w:asciiTheme="minorHAnsi" w:eastAsia="Calibri" w:hAnsiTheme="minorHAnsi" w:cstheme="minorBidi"/>
        </w:rPr>
        <w:t>tudy of the Perspectives of Healthcare Professionals on Features of Digital Health Interventions to Support Physical Activity in Solid Organ Transplant Recipients. </w:t>
      </w:r>
      <w:r w:rsidRPr="00862859">
        <w:rPr>
          <w:rFonts w:asciiTheme="minorHAnsi" w:eastAsia="Calibri" w:hAnsiTheme="minorHAnsi" w:cstheme="minorBidi"/>
          <w:i/>
          <w:iCs/>
        </w:rPr>
        <w:t>Progress in Transplantation</w:t>
      </w:r>
      <w:r w:rsidRPr="00862859">
        <w:rPr>
          <w:rFonts w:asciiTheme="minorHAnsi" w:eastAsia="Calibri" w:hAnsiTheme="minorHAnsi" w:cstheme="minorBidi"/>
        </w:rPr>
        <w:t>, </w:t>
      </w:r>
      <w:r w:rsidRPr="00862859">
        <w:rPr>
          <w:rFonts w:asciiTheme="minorHAnsi" w:eastAsia="Calibri" w:hAnsiTheme="minorHAnsi" w:cstheme="minorBidi"/>
          <w:i/>
          <w:iCs/>
        </w:rPr>
        <w:t>33</w:t>
      </w:r>
      <w:r w:rsidRPr="00862859">
        <w:rPr>
          <w:rFonts w:asciiTheme="minorHAnsi" w:eastAsia="Calibri" w:hAnsiTheme="minorHAnsi" w:cstheme="minorBidi"/>
        </w:rPr>
        <w:t>(1), 43-49.</w:t>
      </w:r>
    </w:p>
    <w:p w14:paraId="344BFFE3" w14:textId="77777777" w:rsidR="00876F1E" w:rsidRPr="009E12F9" w:rsidRDefault="00876F1E" w:rsidP="00413528">
      <w:pPr>
        <w:spacing w:line="240" w:lineRule="auto"/>
        <w:ind w:hanging="720"/>
        <w:rPr>
          <w:rFonts w:asciiTheme="minorHAnsi" w:eastAsia="Calibri" w:hAnsiTheme="minorHAnsi" w:cstheme="minorBidi"/>
        </w:rPr>
      </w:pPr>
      <w:proofErr w:type="spellStart"/>
      <w:r w:rsidRPr="00C569BF">
        <w:rPr>
          <w:rFonts w:asciiTheme="minorHAnsi" w:eastAsia="Calibri" w:hAnsiTheme="minorHAnsi" w:cstheme="minorBidi"/>
        </w:rPr>
        <w:t>Hatzikiriakidis</w:t>
      </w:r>
      <w:proofErr w:type="spellEnd"/>
      <w:r w:rsidRPr="00C569BF">
        <w:rPr>
          <w:rFonts w:asciiTheme="minorHAnsi" w:eastAsia="Calibri" w:hAnsiTheme="minorHAnsi" w:cstheme="minorBidi"/>
        </w:rPr>
        <w:t>, K., West, S., Ayton, D., Morris, H., Martin, R. S., &amp; Paraskeva, M. (2022). When immunosuppression and COVID‐19 intersect: An exploratory qualitative study of young lung transplant recipient perceptions of daily life during a pandemic. </w:t>
      </w:r>
      <w:proofErr w:type="spellStart"/>
      <w:r w:rsidRPr="00C569BF">
        <w:rPr>
          <w:rFonts w:asciiTheme="minorHAnsi" w:eastAsia="Calibri" w:hAnsiTheme="minorHAnsi" w:cstheme="minorBidi"/>
          <w:i/>
          <w:iCs/>
        </w:rPr>
        <w:t>Pediatric</w:t>
      </w:r>
      <w:proofErr w:type="spellEnd"/>
      <w:r w:rsidRPr="00C569BF">
        <w:rPr>
          <w:rFonts w:asciiTheme="minorHAnsi" w:eastAsia="Calibri" w:hAnsiTheme="minorHAnsi" w:cstheme="minorBidi"/>
          <w:i/>
          <w:iCs/>
        </w:rPr>
        <w:t xml:space="preserve"> Transplantation</w:t>
      </w:r>
      <w:r w:rsidRPr="00C569BF">
        <w:rPr>
          <w:rFonts w:asciiTheme="minorHAnsi" w:eastAsia="Calibri" w:hAnsiTheme="minorHAnsi" w:cstheme="minorBidi"/>
        </w:rPr>
        <w:t>, </w:t>
      </w:r>
      <w:r w:rsidRPr="00C569BF">
        <w:rPr>
          <w:rFonts w:asciiTheme="minorHAnsi" w:eastAsia="Calibri" w:hAnsiTheme="minorHAnsi" w:cstheme="minorBidi"/>
          <w:i/>
          <w:iCs/>
        </w:rPr>
        <w:t>26</w:t>
      </w:r>
      <w:r w:rsidRPr="00C569BF">
        <w:rPr>
          <w:rFonts w:asciiTheme="minorHAnsi" w:eastAsia="Calibri" w:hAnsiTheme="minorHAnsi" w:cstheme="minorBidi"/>
        </w:rPr>
        <w:t xml:space="preserve">(5), </w:t>
      </w:r>
      <w:r>
        <w:rPr>
          <w:rFonts w:asciiTheme="minorHAnsi" w:eastAsia="Calibri" w:hAnsiTheme="minorHAnsi" w:cstheme="minorBidi"/>
        </w:rPr>
        <w:t xml:space="preserve">Article </w:t>
      </w:r>
      <w:r w:rsidRPr="00C569BF">
        <w:rPr>
          <w:rFonts w:asciiTheme="minorHAnsi" w:eastAsia="Calibri" w:hAnsiTheme="minorHAnsi" w:cstheme="minorBidi"/>
        </w:rPr>
        <w:t>e14281.</w:t>
      </w:r>
    </w:p>
    <w:p w14:paraId="56754491" w14:textId="1764AAAC" w:rsidR="000F5B1B" w:rsidRPr="00D33C9F" w:rsidRDefault="000F5B1B" w:rsidP="00413528">
      <w:pPr>
        <w:spacing w:line="240" w:lineRule="auto"/>
        <w:ind w:hanging="720"/>
        <w:rPr>
          <w:rFonts w:asciiTheme="minorHAnsi" w:eastAsia="Times New Roman" w:hAnsiTheme="minorHAnsi" w:cstheme="minorBidi"/>
          <w:highlight w:val="white"/>
          <w:lang w:val="en-US" w:eastAsia="en-GB"/>
        </w:rPr>
      </w:pPr>
      <w:r>
        <w:rPr>
          <w:rFonts w:asciiTheme="minorHAnsi" w:eastAsia="Times New Roman" w:hAnsiTheme="minorHAnsi" w:cstheme="minorBidi"/>
          <w:highlight w:val="white"/>
          <w:lang w:val="en-US" w:eastAsia="en-GB"/>
        </w:rPr>
        <w:t xml:space="preserve">Health Insurance Portability and Accountability Act, No 104-191. (1996). </w:t>
      </w:r>
      <w:hyperlink r:id="rId18" w:history="1">
        <w:r w:rsidRPr="00D33C9F">
          <w:rPr>
            <w:rStyle w:val="Hyperlink"/>
            <w:rFonts w:asciiTheme="minorHAnsi" w:eastAsia="Times New Roman" w:hAnsiTheme="minorHAnsi" w:cstheme="minorBidi"/>
            <w:color w:val="auto"/>
            <w:lang w:val="en-US" w:eastAsia="en-GB"/>
          </w:rPr>
          <w:t>https://www.congress.gov/bill/104th-congress/house-bill/3103/text</w:t>
        </w:r>
      </w:hyperlink>
      <w:r w:rsidRPr="00D33C9F">
        <w:rPr>
          <w:rFonts w:asciiTheme="minorHAnsi" w:eastAsia="Times New Roman" w:hAnsiTheme="minorHAnsi" w:cstheme="minorBidi"/>
          <w:lang w:val="en-US" w:eastAsia="en-GB"/>
        </w:rPr>
        <w:t xml:space="preserve"> </w:t>
      </w:r>
    </w:p>
    <w:p w14:paraId="630F6B5C" w14:textId="6EB2A51D" w:rsidR="00E84E03" w:rsidRPr="00D33C9F" w:rsidRDefault="00E84E03"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val="en-US" w:eastAsia="en-GB"/>
        </w:rPr>
        <w:t>Hebenstreit, C. (</w:t>
      </w:r>
      <w:r w:rsidR="00062516" w:rsidRPr="00D33C9F">
        <w:rPr>
          <w:rFonts w:asciiTheme="minorHAnsi" w:eastAsia="Times New Roman" w:hAnsiTheme="minorHAnsi" w:cstheme="minorBidi"/>
          <w:highlight w:val="white"/>
          <w:lang w:val="en-US" w:eastAsia="en-GB"/>
        </w:rPr>
        <w:t xml:space="preserve">2020). </w:t>
      </w:r>
      <w:r w:rsidR="00062516" w:rsidRPr="00D33C9F">
        <w:rPr>
          <w:rFonts w:asciiTheme="minorHAnsi" w:eastAsia="Times New Roman" w:hAnsiTheme="minorHAnsi" w:cstheme="minorBidi"/>
          <w:i/>
          <w:iCs/>
          <w:highlight w:val="white"/>
          <w:lang w:val="en-US" w:eastAsia="en-GB"/>
        </w:rPr>
        <w:t>How the growing relationship between technology and</w:t>
      </w:r>
      <w:r w:rsidR="00062516" w:rsidRPr="00D33C9F">
        <w:rPr>
          <w:rFonts w:asciiTheme="minorHAnsi" w:eastAsia="Times New Roman" w:hAnsiTheme="minorHAnsi" w:cstheme="minorBidi"/>
          <w:i/>
          <w:iCs/>
          <w:lang w:val="en-US" w:eastAsia="en-GB"/>
        </w:rPr>
        <w:t xml:space="preserve"> </w:t>
      </w:r>
      <w:r w:rsidR="00062516" w:rsidRPr="00D33C9F">
        <w:rPr>
          <w:rFonts w:asciiTheme="minorHAnsi" w:eastAsia="Times New Roman" w:hAnsiTheme="minorHAnsi" w:cstheme="minorBidi"/>
          <w:i/>
          <w:iCs/>
          <w:highlight w:val="white"/>
          <w:lang w:val="en-US" w:eastAsia="en-GB"/>
        </w:rPr>
        <w:t>healthcare will improve our lives.</w:t>
      </w:r>
      <w:r w:rsidR="00062516" w:rsidRPr="00D33C9F">
        <w:rPr>
          <w:rFonts w:asciiTheme="minorHAnsi" w:eastAsia="Times New Roman" w:hAnsiTheme="minorHAnsi" w:cstheme="minorBidi"/>
          <w:i/>
          <w:iCs/>
          <w:lang w:val="en-US" w:eastAsia="en-GB"/>
        </w:rPr>
        <w:t xml:space="preserve"> </w:t>
      </w:r>
      <w:hyperlink r:id="rId19">
        <w:r w:rsidR="2C43722A" w:rsidRPr="00D33C9F">
          <w:rPr>
            <w:rStyle w:val="Hyperlink"/>
            <w:rFonts w:asciiTheme="minorHAnsi" w:eastAsia="Times New Roman" w:hAnsiTheme="minorHAnsi" w:cstheme="minorBidi"/>
            <w:color w:val="auto"/>
            <w:highlight w:val="white"/>
            <w:lang w:val="en-US" w:eastAsia="en-GB"/>
          </w:rPr>
          <w:t>https://www.forbes.com/sites/forbestechcouncil/2020/04/06/how-the-growing-relationship-between-technology-and-healthcare-will-improve-our-lives/?sh</w:t>
        </w:r>
        <w:r w:rsidR="2C43722A" w:rsidRPr="00D33C9F">
          <w:rPr>
            <w:rStyle w:val="Hyperlink"/>
            <w:rFonts w:asciiTheme="minorHAnsi" w:eastAsia="Times New Roman" w:hAnsiTheme="minorHAnsi" w:cstheme="minorBidi"/>
            <w:color w:val="auto"/>
            <w:lang w:val="en-US" w:eastAsia="en-GB"/>
          </w:rPr>
          <w:t>=228f3c701567</w:t>
        </w:r>
      </w:hyperlink>
      <w:r w:rsidR="2C43722A" w:rsidRPr="00D33C9F">
        <w:rPr>
          <w:rFonts w:asciiTheme="minorHAnsi" w:eastAsia="Times New Roman" w:hAnsiTheme="minorHAnsi" w:cstheme="minorBidi"/>
          <w:lang w:val="en-US" w:eastAsia="en-GB"/>
        </w:rPr>
        <w:t xml:space="preserve"> </w:t>
      </w:r>
    </w:p>
    <w:p w14:paraId="40356048" w14:textId="4CD0F4D5" w:rsidR="00C200F2" w:rsidRPr="00C200F2" w:rsidRDefault="00C200F2" w:rsidP="00413528">
      <w:pPr>
        <w:spacing w:line="240" w:lineRule="auto"/>
        <w:ind w:hanging="720"/>
        <w:rPr>
          <w:rFonts w:asciiTheme="minorHAnsi" w:eastAsia="Times New Roman" w:hAnsiTheme="minorHAnsi" w:cstheme="minorBidi"/>
          <w:lang w:eastAsia="en-GB"/>
        </w:rPr>
      </w:pPr>
      <w:r w:rsidRPr="00C200F2">
        <w:rPr>
          <w:rFonts w:asciiTheme="minorHAnsi" w:eastAsia="Times New Roman" w:hAnsiTheme="minorHAnsi" w:cstheme="minorBidi"/>
          <w:lang w:eastAsia="en-GB"/>
        </w:rPr>
        <w:t xml:space="preserve">Hensler, D., Richardson, C. L. Brown, J., Tseng, C., </w:t>
      </w:r>
      <w:proofErr w:type="spellStart"/>
      <w:r w:rsidRPr="00C200F2">
        <w:rPr>
          <w:rFonts w:asciiTheme="minorHAnsi" w:eastAsia="Times New Roman" w:hAnsiTheme="minorHAnsi" w:cstheme="minorBidi"/>
          <w:lang w:eastAsia="en-GB"/>
        </w:rPr>
        <w:t>DeCamp</w:t>
      </w:r>
      <w:proofErr w:type="spellEnd"/>
      <w:r w:rsidRPr="00C200F2">
        <w:rPr>
          <w:rFonts w:asciiTheme="minorHAnsi" w:eastAsia="Times New Roman" w:hAnsiTheme="minorHAnsi" w:cstheme="minorBidi"/>
          <w:lang w:eastAsia="en-GB"/>
        </w:rPr>
        <w:t xml:space="preserve">, P. J., Yang, A., Pawlowski, A., Ho, B., &amp; </w:t>
      </w:r>
      <w:proofErr w:type="spellStart"/>
      <w:r w:rsidRPr="00C200F2">
        <w:rPr>
          <w:rFonts w:asciiTheme="minorHAnsi" w:eastAsia="Times New Roman" w:hAnsiTheme="minorHAnsi" w:cstheme="minorBidi"/>
          <w:lang w:eastAsia="en-GB"/>
        </w:rPr>
        <w:t>Ison</w:t>
      </w:r>
      <w:proofErr w:type="spellEnd"/>
      <w:r w:rsidRPr="00C200F2">
        <w:rPr>
          <w:rFonts w:asciiTheme="minorHAnsi" w:eastAsia="Times New Roman" w:hAnsiTheme="minorHAnsi" w:cstheme="minorBidi"/>
          <w:lang w:eastAsia="en-GB"/>
        </w:rPr>
        <w:t>, M. G. (2018)</w:t>
      </w:r>
      <w:r w:rsidR="0073261C">
        <w:rPr>
          <w:rFonts w:asciiTheme="minorHAnsi" w:eastAsia="Times New Roman" w:hAnsiTheme="minorHAnsi" w:cstheme="minorBidi"/>
          <w:lang w:eastAsia="en-GB"/>
        </w:rPr>
        <w:t xml:space="preserve">. </w:t>
      </w:r>
      <w:r w:rsidR="0073261C" w:rsidRPr="0073261C">
        <w:rPr>
          <w:rFonts w:asciiTheme="minorHAnsi" w:eastAsia="Times New Roman" w:hAnsiTheme="minorHAnsi" w:cstheme="minorBidi"/>
          <w:lang w:eastAsia="en-GB"/>
        </w:rPr>
        <w:t>Impact of electronic health record‐based, pharmacist‐driven valganciclovir dose optimization in solid organ transplant recipients. </w:t>
      </w:r>
      <w:r w:rsidR="0073261C" w:rsidRPr="0073261C">
        <w:rPr>
          <w:rFonts w:asciiTheme="minorHAnsi" w:eastAsia="Times New Roman" w:hAnsiTheme="minorHAnsi" w:cstheme="minorBidi"/>
          <w:i/>
          <w:iCs/>
          <w:lang w:eastAsia="en-GB"/>
        </w:rPr>
        <w:t>Transplant Infectious Disease</w:t>
      </w:r>
      <w:r w:rsidR="0073261C" w:rsidRPr="0073261C">
        <w:rPr>
          <w:rFonts w:asciiTheme="minorHAnsi" w:eastAsia="Times New Roman" w:hAnsiTheme="minorHAnsi" w:cstheme="minorBidi"/>
          <w:lang w:eastAsia="en-GB"/>
        </w:rPr>
        <w:t>, </w:t>
      </w:r>
      <w:r w:rsidR="0073261C" w:rsidRPr="0073261C">
        <w:rPr>
          <w:rFonts w:asciiTheme="minorHAnsi" w:eastAsia="Times New Roman" w:hAnsiTheme="minorHAnsi" w:cstheme="minorBidi"/>
          <w:i/>
          <w:iCs/>
          <w:lang w:eastAsia="en-GB"/>
        </w:rPr>
        <w:t>20</w:t>
      </w:r>
      <w:r w:rsidR="0073261C" w:rsidRPr="0073261C">
        <w:rPr>
          <w:rFonts w:asciiTheme="minorHAnsi" w:eastAsia="Times New Roman" w:hAnsiTheme="minorHAnsi" w:cstheme="minorBidi"/>
          <w:lang w:eastAsia="en-GB"/>
        </w:rPr>
        <w:t xml:space="preserve">(2), </w:t>
      </w:r>
      <w:r w:rsidR="0073261C">
        <w:rPr>
          <w:rFonts w:asciiTheme="minorHAnsi" w:eastAsia="Times New Roman" w:hAnsiTheme="minorHAnsi" w:cstheme="minorBidi"/>
          <w:lang w:eastAsia="en-GB"/>
        </w:rPr>
        <w:t xml:space="preserve">Article </w:t>
      </w:r>
      <w:r w:rsidR="0073261C" w:rsidRPr="0073261C">
        <w:rPr>
          <w:rFonts w:asciiTheme="minorHAnsi" w:eastAsia="Times New Roman" w:hAnsiTheme="minorHAnsi" w:cstheme="minorBidi"/>
          <w:lang w:eastAsia="en-GB"/>
        </w:rPr>
        <w:t>e12849.</w:t>
      </w:r>
    </w:p>
    <w:p w14:paraId="4B7F121E" w14:textId="2B962CEF" w:rsidR="00C200F2" w:rsidRPr="00DD77DF" w:rsidRDefault="00E554BB" w:rsidP="00413528">
      <w:pPr>
        <w:spacing w:line="240" w:lineRule="auto"/>
        <w:ind w:hanging="720"/>
        <w:rPr>
          <w:rFonts w:asciiTheme="minorHAnsi" w:eastAsia="Times New Roman" w:hAnsiTheme="minorHAnsi" w:cstheme="minorBidi"/>
          <w:lang w:eastAsia="en-GB"/>
        </w:rPr>
      </w:pPr>
      <w:r w:rsidRPr="00E554BB">
        <w:rPr>
          <w:rFonts w:asciiTheme="minorHAnsi" w:eastAsia="Times New Roman" w:hAnsiTheme="minorHAnsi" w:cstheme="minorBidi"/>
          <w:lang w:eastAsia="en-GB"/>
        </w:rPr>
        <w:t>Hickman, I. J., Hannigan, A. K., Johnson, H. E., Elvin-Walsh, L., Mayr, H. L., Staudacher, H. M., Barnett, A., Stoney, R., Salisbury, C., Jarrett, M., Reeves, M. M., Coombes, J. S., Campbell, K. L., Keating, S. E., &amp; Macdonald, G. A. (2021)</w:t>
      </w:r>
      <w:r>
        <w:rPr>
          <w:rFonts w:asciiTheme="minorHAnsi" w:eastAsia="Times New Roman" w:hAnsiTheme="minorHAnsi" w:cstheme="minorBidi"/>
          <w:lang w:eastAsia="en-GB"/>
        </w:rPr>
        <w:t xml:space="preserve">. </w:t>
      </w:r>
      <w:r w:rsidR="006F6E88" w:rsidRPr="006F6E88">
        <w:rPr>
          <w:rFonts w:asciiTheme="minorHAnsi" w:eastAsia="Times New Roman" w:hAnsiTheme="minorHAnsi" w:cstheme="minorBidi"/>
          <w:lang w:eastAsia="en-GB"/>
        </w:rPr>
        <w:t>Telehealth-delivered, cardioprotective diet and exercise program for liver transplant recipients: a randomized feasibility study. </w:t>
      </w:r>
      <w:r w:rsidR="006F6E88" w:rsidRPr="006F6E88">
        <w:rPr>
          <w:rFonts w:asciiTheme="minorHAnsi" w:eastAsia="Times New Roman" w:hAnsiTheme="minorHAnsi" w:cstheme="minorBidi"/>
          <w:i/>
          <w:iCs/>
          <w:lang w:eastAsia="en-GB"/>
        </w:rPr>
        <w:t>Transplantation Direct</w:t>
      </w:r>
      <w:r w:rsidR="006F6E88" w:rsidRPr="006F6E88">
        <w:rPr>
          <w:rFonts w:asciiTheme="minorHAnsi" w:eastAsia="Times New Roman" w:hAnsiTheme="minorHAnsi" w:cstheme="minorBidi"/>
          <w:lang w:eastAsia="en-GB"/>
        </w:rPr>
        <w:t>, </w:t>
      </w:r>
      <w:r w:rsidR="006F6E88" w:rsidRPr="006F6E88">
        <w:rPr>
          <w:rFonts w:asciiTheme="minorHAnsi" w:eastAsia="Times New Roman" w:hAnsiTheme="minorHAnsi" w:cstheme="minorBidi"/>
          <w:i/>
          <w:iCs/>
          <w:lang w:eastAsia="en-GB"/>
        </w:rPr>
        <w:t>7</w:t>
      </w:r>
      <w:r w:rsidR="006F6E88" w:rsidRPr="006F6E88">
        <w:rPr>
          <w:rFonts w:asciiTheme="minorHAnsi" w:eastAsia="Times New Roman" w:hAnsiTheme="minorHAnsi" w:cstheme="minorBidi"/>
          <w:lang w:eastAsia="en-GB"/>
        </w:rPr>
        <w:t>(3)</w:t>
      </w:r>
      <w:r w:rsidR="00CD60D5">
        <w:rPr>
          <w:rFonts w:asciiTheme="minorHAnsi" w:eastAsia="Times New Roman" w:hAnsiTheme="minorHAnsi" w:cstheme="minorBidi"/>
          <w:lang w:eastAsia="en-GB"/>
        </w:rPr>
        <w:t>, Article e667</w:t>
      </w:r>
      <w:r w:rsidR="006F6E88" w:rsidRPr="006F6E88">
        <w:rPr>
          <w:rFonts w:asciiTheme="minorHAnsi" w:eastAsia="Times New Roman" w:hAnsiTheme="minorHAnsi" w:cstheme="minorBidi"/>
          <w:lang w:eastAsia="en-GB"/>
        </w:rPr>
        <w:t>.</w:t>
      </w:r>
    </w:p>
    <w:p w14:paraId="797CC03D" w14:textId="21194F99" w:rsidR="007F2A10" w:rsidRPr="009E12F9" w:rsidRDefault="007F2A10" w:rsidP="00413528">
      <w:pPr>
        <w:spacing w:line="240" w:lineRule="auto"/>
        <w:ind w:hanging="720"/>
        <w:rPr>
          <w:rFonts w:asciiTheme="minorHAnsi" w:eastAsia="Times New Roman" w:hAnsiTheme="minorHAnsi" w:cstheme="minorBidi"/>
          <w:lang w:val="en-US" w:eastAsia="en-GB"/>
        </w:rPr>
      </w:pPr>
      <w:proofErr w:type="spellStart"/>
      <w:r w:rsidRPr="26F64964">
        <w:rPr>
          <w:rFonts w:asciiTheme="minorHAnsi" w:eastAsia="Times New Roman" w:hAnsiTheme="minorHAnsi" w:cstheme="minorBidi"/>
          <w:highlight w:val="white"/>
          <w:lang w:val="en-US" w:eastAsia="en-GB"/>
        </w:rPr>
        <w:t>Hippa</w:t>
      </w:r>
      <w:proofErr w:type="spellEnd"/>
      <w:r w:rsidRPr="26F64964">
        <w:rPr>
          <w:rFonts w:asciiTheme="minorHAnsi" w:eastAsia="Times New Roman" w:hAnsiTheme="minorHAnsi" w:cstheme="minorBidi"/>
          <w:highlight w:val="white"/>
          <w:lang w:val="en-US" w:eastAsia="en-GB"/>
        </w:rPr>
        <w:t xml:space="preserve"> J</w:t>
      </w:r>
      <w:r w:rsidR="001923CC" w:rsidRPr="26F64964">
        <w:rPr>
          <w:rFonts w:asciiTheme="minorHAnsi" w:eastAsia="Times New Roman" w:hAnsiTheme="minorHAnsi" w:cstheme="minorBidi"/>
          <w:highlight w:val="white"/>
          <w:lang w:val="en-US" w:eastAsia="en-GB"/>
        </w:rPr>
        <w:t>ournal. (</w:t>
      </w:r>
      <w:r w:rsidR="00681B36" w:rsidRPr="26F64964">
        <w:rPr>
          <w:rFonts w:asciiTheme="minorHAnsi" w:eastAsia="Times New Roman" w:hAnsiTheme="minorHAnsi" w:cstheme="minorBidi"/>
          <w:highlight w:val="white"/>
          <w:lang w:val="en-US" w:eastAsia="en-GB"/>
        </w:rPr>
        <w:t>2023</w:t>
      </w:r>
      <w:r w:rsidR="001923CC" w:rsidRPr="26F64964">
        <w:rPr>
          <w:rFonts w:asciiTheme="minorHAnsi" w:eastAsia="Times New Roman" w:hAnsiTheme="minorHAnsi" w:cstheme="minorBidi"/>
          <w:highlight w:val="white"/>
          <w:lang w:val="en-US" w:eastAsia="en-GB"/>
        </w:rPr>
        <w:t xml:space="preserve">). </w:t>
      </w:r>
      <w:r w:rsidR="001923CC" w:rsidRPr="26F64964">
        <w:rPr>
          <w:rFonts w:asciiTheme="minorHAnsi" w:eastAsia="Times New Roman" w:hAnsiTheme="minorHAnsi" w:cstheme="minorBidi"/>
          <w:i/>
          <w:iCs/>
          <w:highlight w:val="white"/>
          <w:lang w:val="en-US" w:eastAsia="en-GB"/>
        </w:rPr>
        <w:t>Healthcare data breach statistics.</w:t>
      </w:r>
      <w:r w:rsidR="001923CC" w:rsidRPr="26F64964">
        <w:rPr>
          <w:rFonts w:asciiTheme="minorHAnsi" w:eastAsia="Times New Roman" w:hAnsiTheme="minorHAnsi" w:cstheme="minorBidi"/>
          <w:lang w:val="en-US" w:eastAsia="en-GB"/>
        </w:rPr>
        <w:t xml:space="preserve"> </w:t>
      </w:r>
      <w:r w:rsidR="00681B36" w:rsidRPr="26F64964">
        <w:rPr>
          <w:rFonts w:asciiTheme="minorHAnsi" w:eastAsia="Times New Roman" w:hAnsiTheme="minorHAnsi" w:cstheme="minorBidi"/>
          <w:highlight w:val="white"/>
          <w:lang w:val="en-US" w:eastAsia="en-GB"/>
        </w:rPr>
        <w:t>https://www.hipaajournal.com/healthcare-data-breach-statistics</w:t>
      </w:r>
      <w:r w:rsidR="00681B36" w:rsidRPr="26F64964">
        <w:rPr>
          <w:rFonts w:asciiTheme="minorHAnsi" w:eastAsia="Times New Roman" w:hAnsiTheme="minorHAnsi" w:cstheme="minorBidi"/>
          <w:lang w:val="en-US" w:eastAsia="en-GB"/>
        </w:rPr>
        <w:t>/</w:t>
      </w:r>
    </w:p>
    <w:p w14:paraId="5D284C7D" w14:textId="379CF4BA" w:rsidR="00A31269" w:rsidRDefault="00A31269" w:rsidP="00413528">
      <w:pPr>
        <w:spacing w:line="240" w:lineRule="auto"/>
        <w:ind w:hanging="720"/>
        <w:rPr>
          <w:rFonts w:asciiTheme="minorHAnsi" w:eastAsia="Times New Roman" w:hAnsiTheme="minorHAnsi" w:cstheme="minorBidi"/>
          <w:lang w:val="en-US" w:eastAsia="en-GB"/>
        </w:rPr>
      </w:pPr>
      <w:proofErr w:type="spellStart"/>
      <w:r w:rsidRPr="26F64964">
        <w:rPr>
          <w:rFonts w:asciiTheme="minorHAnsi" w:eastAsia="Times New Roman" w:hAnsiTheme="minorHAnsi" w:cstheme="minorBidi"/>
          <w:highlight w:val="white"/>
          <w:lang w:val="en-US" w:eastAsia="en-GB"/>
        </w:rPr>
        <w:t>Holderried</w:t>
      </w:r>
      <w:proofErr w:type="spellEnd"/>
      <w:r w:rsidRPr="26F64964">
        <w:rPr>
          <w:rFonts w:asciiTheme="minorHAnsi" w:eastAsia="Times New Roman" w:hAnsiTheme="minorHAnsi" w:cstheme="minorBidi"/>
          <w:highlight w:val="white"/>
          <w:lang w:val="en-US" w:eastAsia="en-GB"/>
        </w:rPr>
        <w:t xml:space="preserve">, M., Hoeper, A., </w:t>
      </w:r>
      <w:proofErr w:type="spellStart"/>
      <w:r w:rsidRPr="26F64964">
        <w:rPr>
          <w:rFonts w:asciiTheme="minorHAnsi" w:eastAsia="Times New Roman" w:hAnsiTheme="minorHAnsi" w:cstheme="minorBidi"/>
          <w:highlight w:val="white"/>
          <w:lang w:val="en-US" w:eastAsia="en-GB"/>
        </w:rPr>
        <w:t>Holderried</w:t>
      </w:r>
      <w:proofErr w:type="spellEnd"/>
      <w:r w:rsidRPr="26F64964">
        <w:rPr>
          <w:rFonts w:asciiTheme="minorHAnsi" w:eastAsia="Times New Roman" w:hAnsiTheme="minorHAnsi" w:cstheme="minorBidi"/>
          <w:highlight w:val="white"/>
          <w:lang w:val="en-US" w:eastAsia="en-GB"/>
        </w:rPr>
        <w:t>, F., Heyne, N., Nadalin, S., Unger, O., Ernst, C.,</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&amp;</w:t>
      </w:r>
      <w:r w:rsidR="00076E4F" w:rsidRPr="26F64964">
        <w:rPr>
          <w:rFonts w:asciiTheme="minorHAnsi" w:eastAsia="Times New Roman" w:hAnsiTheme="minorHAnsi" w:cstheme="minorBidi"/>
          <w:highlight w:val="white"/>
          <w:lang w:val="en-US" w:eastAsia="en-GB"/>
        </w:rPr>
        <w:t xml:space="preserve"> </w:t>
      </w:r>
      <w:proofErr w:type="spellStart"/>
      <w:r w:rsidRPr="26F64964">
        <w:rPr>
          <w:rFonts w:asciiTheme="minorHAnsi" w:eastAsia="Times New Roman" w:hAnsiTheme="minorHAnsi" w:cstheme="minorBidi"/>
          <w:highlight w:val="white"/>
          <w:lang w:val="en-US" w:eastAsia="en-GB"/>
        </w:rPr>
        <w:t>Guthoff</w:t>
      </w:r>
      <w:proofErr w:type="spellEnd"/>
      <w:r w:rsidRPr="26F64964">
        <w:rPr>
          <w:rFonts w:asciiTheme="minorHAnsi" w:eastAsia="Times New Roman" w:hAnsiTheme="minorHAnsi" w:cstheme="minorBidi"/>
          <w:highlight w:val="white"/>
          <w:lang w:val="en-US" w:eastAsia="en-GB"/>
        </w:rPr>
        <w:t>, M. (2021). Attitude and potential benefits of modern information and</w:t>
      </w:r>
      <w:r w:rsidRPr="26F64964">
        <w:rPr>
          <w:rFonts w:asciiTheme="minorHAnsi" w:eastAsia="Times New Roman" w:hAnsiTheme="minorHAnsi" w:cstheme="minorBidi"/>
          <w:lang w:val="en-US" w:eastAsia="en-GB"/>
        </w:rPr>
        <w:t xml:space="preserve"> communication </w:t>
      </w:r>
      <w:proofErr w:type="spellStart"/>
      <w:r w:rsidRPr="26F64964">
        <w:rPr>
          <w:rFonts w:asciiTheme="minorHAnsi" w:eastAsia="Times New Roman" w:hAnsiTheme="minorHAnsi" w:cstheme="minorBidi"/>
          <w:lang w:val="en-US" w:eastAsia="en-GB"/>
        </w:rPr>
        <w:t>technlogy</w:t>
      </w:r>
      <w:proofErr w:type="spellEnd"/>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use and telemedicine in cross-sectoral solid organ transplant</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 xml:space="preserve">care. </w:t>
      </w:r>
      <w:r w:rsidRPr="26F64964">
        <w:rPr>
          <w:rFonts w:asciiTheme="minorHAnsi" w:eastAsia="Times New Roman" w:hAnsiTheme="minorHAnsi" w:cstheme="minorBidi"/>
          <w:i/>
          <w:iCs/>
          <w:highlight w:val="white"/>
          <w:lang w:val="en-US" w:eastAsia="en-GB"/>
        </w:rPr>
        <w:t xml:space="preserve">Scientific </w:t>
      </w:r>
      <w:r w:rsidR="00071989" w:rsidRPr="26F64964">
        <w:rPr>
          <w:rFonts w:asciiTheme="minorHAnsi" w:eastAsia="Times New Roman" w:hAnsiTheme="minorHAnsi" w:cstheme="minorBidi"/>
          <w:i/>
          <w:iCs/>
          <w:highlight w:val="white"/>
          <w:lang w:val="en-US" w:eastAsia="en-GB"/>
        </w:rPr>
        <w:t>R</w:t>
      </w:r>
      <w:r w:rsidRPr="26F64964">
        <w:rPr>
          <w:rFonts w:asciiTheme="minorHAnsi" w:eastAsia="Times New Roman" w:hAnsiTheme="minorHAnsi" w:cstheme="minorBidi"/>
          <w:i/>
          <w:iCs/>
          <w:highlight w:val="white"/>
          <w:lang w:val="en-US" w:eastAsia="en-GB"/>
        </w:rPr>
        <w:t>eports</w:t>
      </w:r>
      <w:r w:rsidR="00B62192" w:rsidRPr="26F64964">
        <w:rPr>
          <w:rFonts w:asciiTheme="minorHAnsi" w:eastAsia="Times New Roman" w:hAnsiTheme="minorHAnsi" w:cstheme="minorBidi"/>
          <w:i/>
          <w:iCs/>
          <w:highlight w:val="white"/>
          <w:lang w:val="en-US" w:eastAsia="en-GB"/>
        </w:rPr>
        <w:t>, 11</w:t>
      </w:r>
      <w:r w:rsidR="00B62192" w:rsidRPr="26F64964">
        <w:rPr>
          <w:rFonts w:asciiTheme="minorHAnsi" w:eastAsia="Times New Roman" w:hAnsiTheme="minorHAnsi" w:cstheme="minorBidi"/>
          <w:lang w:val="en-US" w:eastAsia="en-GB"/>
        </w:rPr>
        <w:t xml:space="preserve">, </w:t>
      </w:r>
      <w:r w:rsidR="00733CA6" w:rsidRPr="26F64964">
        <w:rPr>
          <w:rFonts w:asciiTheme="minorHAnsi" w:eastAsia="Times New Roman" w:hAnsiTheme="minorHAnsi" w:cstheme="minorBidi"/>
          <w:lang w:val="en-US" w:eastAsia="en-GB"/>
        </w:rPr>
        <w:t xml:space="preserve">Article </w:t>
      </w:r>
      <w:r w:rsidR="00733CA6" w:rsidRPr="26F64964">
        <w:rPr>
          <w:rFonts w:asciiTheme="minorHAnsi" w:eastAsia="Times New Roman" w:hAnsiTheme="minorHAnsi" w:cstheme="minorBidi"/>
          <w:highlight w:val="white"/>
          <w:lang w:val="en-US" w:eastAsia="en-GB"/>
        </w:rPr>
        <w:t>9037</w:t>
      </w:r>
      <w:r w:rsidR="00733CA6" w:rsidRPr="26F64964">
        <w:rPr>
          <w:rFonts w:asciiTheme="minorHAnsi" w:eastAsia="Times New Roman" w:hAnsiTheme="minorHAnsi" w:cstheme="minorBidi"/>
          <w:lang w:val="en-US" w:eastAsia="en-GB"/>
        </w:rPr>
        <w:t>.</w:t>
      </w:r>
    </w:p>
    <w:p w14:paraId="751EDC2F" w14:textId="1D05FEA4" w:rsidR="00B057C0" w:rsidRPr="00B62ADF" w:rsidRDefault="00B057C0" w:rsidP="00413528">
      <w:pPr>
        <w:spacing w:line="240" w:lineRule="auto"/>
        <w:ind w:hanging="720"/>
        <w:rPr>
          <w:rFonts w:asciiTheme="minorHAnsi" w:eastAsia="Times New Roman" w:hAnsiTheme="minorHAnsi" w:cstheme="minorBidi"/>
          <w:lang w:eastAsia="en-GB"/>
        </w:rPr>
      </w:pPr>
      <w:proofErr w:type="spellStart"/>
      <w:r w:rsidRPr="00B057C0">
        <w:rPr>
          <w:rFonts w:asciiTheme="minorHAnsi" w:eastAsia="Times New Roman" w:hAnsiTheme="minorHAnsi" w:cstheme="minorBidi"/>
          <w:lang w:eastAsia="en-GB"/>
        </w:rPr>
        <w:t>Huuskes</w:t>
      </w:r>
      <w:proofErr w:type="spellEnd"/>
      <w:r w:rsidRPr="00B057C0">
        <w:rPr>
          <w:rFonts w:asciiTheme="minorHAnsi" w:eastAsia="Times New Roman" w:hAnsiTheme="minorHAnsi" w:cstheme="minorBidi"/>
          <w:lang w:eastAsia="en-GB"/>
        </w:rPr>
        <w:t xml:space="preserve">, B. M., Scholes-Robertson, N., Guha, C., Baumgart, A., Wong, G., Kanellis, J., Chadban, S., Barraclough, K. A., </w:t>
      </w:r>
      <w:proofErr w:type="spellStart"/>
      <w:r w:rsidRPr="00B057C0">
        <w:rPr>
          <w:rFonts w:asciiTheme="minorHAnsi" w:eastAsia="Times New Roman" w:hAnsiTheme="minorHAnsi" w:cstheme="minorBidi"/>
          <w:lang w:eastAsia="en-GB"/>
        </w:rPr>
        <w:t>Viecelli</w:t>
      </w:r>
      <w:proofErr w:type="spellEnd"/>
      <w:r w:rsidRPr="00B057C0">
        <w:rPr>
          <w:rFonts w:asciiTheme="minorHAnsi" w:eastAsia="Times New Roman" w:hAnsiTheme="minorHAnsi" w:cstheme="minorBidi"/>
          <w:lang w:eastAsia="en-GB"/>
        </w:rPr>
        <w:t>, A. K., Hawley, C. M., Kerr, P. G., Coates, P. T., Amir, N., &amp; Tong, A. (2021)</w:t>
      </w:r>
      <w:r w:rsidR="0001179C">
        <w:rPr>
          <w:rFonts w:asciiTheme="minorHAnsi" w:eastAsia="Times New Roman" w:hAnsiTheme="minorHAnsi" w:cstheme="minorBidi"/>
          <w:lang w:eastAsia="en-GB"/>
        </w:rPr>
        <w:t xml:space="preserve">. </w:t>
      </w:r>
      <w:r w:rsidR="00E95872" w:rsidRPr="00E95872">
        <w:rPr>
          <w:rFonts w:asciiTheme="minorHAnsi" w:eastAsia="Times New Roman" w:hAnsiTheme="minorHAnsi" w:cstheme="minorBidi"/>
          <w:lang w:eastAsia="en-GB"/>
        </w:rPr>
        <w:t>Kidney transplant recipient perspectives on telehealth during the COVID‐19 pandemic. </w:t>
      </w:r>
      <w:r w:rsidR="00E95872" w:rsidRPr="00E95872">
        <w:rPr>
          <w:rFonts w:asciiTheme="minorHAnsi" w:eastAsia="Times New Roman" w:hAnsiTheme="minorHAnsi" w:cstheme="minorBidi"/>
          <w:i/>
          <w:iCs/>
          <w:lang w:eastAsia="en-GB"/>
        </w:rPr>
        <w:t>Transplant International</w:t>
      </w:r>
      <w:r w:rsidR="00E95872" w:rsidRPr="00E95872">
        <w:rPr>
          <w:rFonts w:asciiTheme="minorHAnsi" w:eastAsia="Times New Roman" w:hAnsiTheme="minorHAnsi" w:cstheme="minorBidi"/>
          <w:lang w:eastAsia="en-GB"/>
        </w:rPr>
        <w:t>, </w:t>
      </w:r>
      <w:r w:rsidR="00E95872" w:rsidRPr="00E95872">
        <w:rPr>
          <w:rFonts w:asciiTheme="minorHAnsi" w:eastAsia="Times New Roman" w:hAnsiTheme="minorHAnsi" w:cstheme="minorBidi"/>
          <w:i/>
          <w:iCs/>
          <w:lang w:eastAsia="en-GB"/>
        </w:rPr>
        <w:t>34</w:t>
      </w:r>
      <w:r w:rsidR="00E95872" w:rsidRPr="00E95872">
        <w:rPr>
          <w:rFonts w:asciiTheme="minorHAnsi" w:eastAsia="Times New Roman" w:hAnsiTheme="minorHAnsi" w:cstheme="minorBidi"/>
          <w:lang w:eastAsia="en-GB"/>
        </w:rPr>
        <w:t>(8), 1517-1529.</w:t>
      </w:r>
    </w:p>
    <w:p w14:paraId="6E0B32E5" w14:textId="4AA4E36B" w:rsidR="00A31269" w:rsidRPr="009E12F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val="en-US" w:eastAsia="en-GB"/>
        </w:rPr>
        <w:lastRenderedPageBreak/>
        <w:t xml:space="preserve">Jiang, Y., S., S., </w:t>
      </w:r>
      <w:r w:rsidRPr="26F64964">
        <w:rPr>
          <w:rFonts w:asciiTheme="minorHAnsi" w:eastAsia="Times New Roman" w:hAnsiTheme="minorHAnsi" w:cstheme="minorBidi"/>
          <w:highlight w:val="white"/>
          <w:lang w:val="en-US" w:eastAsia="en-GB"/>
        </w:rPr>
        <w:t>Dabbs, A. D., Handler, S. M</w:t>
      </w:r>
      <w:r w:rsidRPr="26F64964">
        <w:rPr>
          <w:rFonts w:asciiTheme="minorHAnsi" w:eastAsia="Times New Roman" w:hAnsiTheme="minorHAnsi" w:cstheme="minorBidi"/>
          <w:lang w:val="en-US" w:eastAsia="en-GB"/>
        </w:rPr>
        <w:t xml:space="preserve">., &amp; </w:t>
      </w:r>
      <w:proofErr w:type="spellStart"/>
      <w:r w:rsidRPr="26F64964">
        <w:rPr>
          <w:rFonts w:asciiTheme="minorHAnsi" w:eastAsia="Times New Roman" w:hAnsiTheme="minorHAnsi" w:cstheme="minorBidi"/>
          <w:lang w:val="en-US" w:eastAsia="en-GB"/>
        </w:rPr>
        <w:t>Schlenek</w:t>
      </w:r>
      <w:proofErr w:type="spellEnd"/>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E. A. (2016). Using mobile</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health technology to deliver decision support for self-monitoring after lung</w:t>
      </w:r>
      <w:r w:rsidRPr="26F64964">
        <w:rPr>
          <w:rFonts w:asciiTheme="minorHAnsi" w:eastAsia="Times New Roman" w:hAnsiTheme="minorHAnsi" w:cstheme="minorBidi"/>
          <w:lang w:val="en-US" w:eastAsia="en-GB"/>
        </w:rPr>
        <w:t xml:space="preserve"> </w:t>
      </w:r>
      <w:r w:rsidR="00F775F9" w:rsidRPr="26F64964">
        <w:rPr>
          <w:rFonts w:asciiTheme="minorHAnsi" w:eastAsia="Times New Roman" w:hAnsiTheme="minorHAnsi" w:cstheme="minorBidi"/>
          <w:highlight w:val="white"/>
          <w:lang w:val="en-US" w:eastAsia="en-GB"/>
        </w:rPr>
        <w:t>transplantation</w:t>
      </w:r>
      <w:r w:rsidRPr="26F64964">
        <w:rPr>
          <w:rFonts w:asciiTheme="minorHAnsi" w:eastAsia="Times New Roman" w:hAnsiTheme="minorHAnsi" w:cstheme="minorBidi"/>
          <w:highlight w:val="white"/>
          <w:lang w:val="en-US" w:eastAsia="en-GB"/>
        </w:rPr>
        <w:t xml:space="preserve">. </w:t>
      </w:r>
      <w:r w:rsidRPr="26F64964">
        <w:rPr>
          <w:rFonts w:asciiTheme="minorHAnsi" w:eastAsia="Times New Roman" w:hAnsiTheme="minorHAnsi" w:cstheme="minorBidi"/>
          <w:i/>
          <w:iCs/>
          <w:highlight w:val="white"/>
          <w:lang w:val="en-US" w:eastAsia="en-GB"/>
        </w:rPr>
        <w:t xml:space="preserve">International </w:t>
      </w:r>
      <w:r w:rsidR="00071989" w:rsidRPr="26F64964">
        <w:rPr>
          <w:rFonts w:asciiTheme="minorHAnsi" w:eastAsia="Times New Roman" w:hAnsiTheme="minorHAnsi" w:cstheme="minorBidi"/>
          <w:i/>
          <w:iCs/>
          <w:highlight w:val="white"/>
          <w:lang w:val="en-US" w:eastAsia="en-GB"/>
        </w:rPr>
        <w:t>J</w:t>
      </w:r>
      <w:r w:rsidRPr="26F64964">
        <w:rPr>
          <w:rFonts w:asciiTheme="minorHAnsi" w:eastAsia="Times New Roman" w:hAnsiTheme="minorHAnsi" w:cstheme="minorBidi"/>
          <w:i/>
          <w:iCs/>
          <w:highlight w:val="white"/>
          <w:lang w:val="en-US" w:eastAsia="en-GB"/>
        </w:rPr>
        <w:t xml:space="preserve">ournal of </w:t>
      </w:r>
      <w:r w:rsidR="00071989" w:rsidRPr="26F64964">
        <w:rPr>
          <w:rFonts w:asciiTheme="minorHAnsi" w:eastAsia="Times New Roman" w:hAnsiTheme="minorHAnsi" w:cstheme="minorBidi"/>
          <w:i/>
          <w:iCs/>
          <w:highlight w:val="white"/>
          <w:lang w:val="en-US" w:eastAsia="en-GB"/>
        </w:rPr>
        <w:t>M</w:t>
      </w:r>
      <w:r w:rsidRPr="26F64964">
        <w:rPr>
          <w:rFonts w:asciiTheme="minorHAnsi" w:eastAsia="Times New Roman" w:hAnsiTheme="minorHAnsi" w:cstheme="minorBidi"/>
          <w:i/>
          <w:iCs/>
          <w:highlight w:val="white"/>
          <w:lang w:val="en-US" w:eastAsia="en-GB"/>
        </w:rPr>
        <w:t xml:space="preserve">edical </w:t>
      </w:r>
      <w:r w:rsidR="00071989" w:rsidRPr="26F64964">
        <w:rPr>
          <w:rFonts w:asciiTheme="minorHAnsi" w:eastAsia="Times New Roman" w:hAnsiTheme="minorHAnsi" w:cstheme="minorBidi"/>
          <w:i/>
          <w:iCs/>
          <w:highlight w:val="white"/>
          <w:lang w:val="en-US" w:eastAsia="en-GB"/>
        </w:rPr>
        <w:t>I</w:t>
      </w:r>
      <w:r w:rsidRPr="26F64964">
        <w:rPr>
          <w:rFonts w:asciiTheme="minorHAnsi" w:eastAsia="Times New Roman" w:hAnsiTheme="minorHAnsi" w:cstheme="minorBidi"/>
          <w:i/>
          <w:iCs/>
          <w:highlight w:val="white"/>
          <w:lang w:val="en-US" w:eastAsia="en-GB"/>
        </w:rPr>
        <w:t>nformatics</w:t>
      </w:r>
      <w:r w:rsidR="00F775F9" w:rsidRPr="26F64964">
        <w:rPr>
          <w:rFonts w:asciiTheme="minorHAnsi" w:eastAsia="Times New Roman" w:hAnsiTheme="minorHAnsi" w:cstheme="minorBidi"/>
          <w:highlight w:val="white"/>
          <w:lang w:val="en-US" w:eastAsia="en-GB"/>
        </w:rPr>
        <w:t xml:space="preserve">, </w:t>
      </w:r>
      <w:r w:rsidR="00F775F9" w:rsidRPr="26F64964">
        <w:rPr>
          <w:rFonts w:asciiTheme="minorHAnsi" w:eastAsia="Times New Roman" w:hAnsiTheme="minorHAnsi" w:cstheme="minorBidi"/>
          <w:i/>
          <w:iCs/>
          <w:highlight w:val="white"/>
          <w:lang w:val="en-US" w:eastAsia="en-GB"/>
        </w:rPr>
        <w:t>94</w:t>
      </w:r>
      <w:r w:rsidR="00F775F9" w:rsidRPr="26F64964">
        <w:rPr>
          <w:rFonts w:asciiTheme="minorHAnsi" w:eastAsia="Times New Roman" w:hAnsiTheme="minorHAnsi" w:cstheme="minorBidi"/>
          <w:highlight w:val="white"/>
          <w:lang w:val="en-US" w:eastAsia="en-GB"/>
        </w:rPr>
        <w:t>, 164-171</w:t>
      </w:r>
      <w:r w:rsidR="00F775F9" w:rsidRPr="26F64964">
        <w:rPr>
          <w:rFonts w:asciiTheme="minorHAnsi" w:eastAsia="Times New Roman" w:hAnsiTheme="minorHAnsi" w:cstheme="minorBidi"/>
          <w:lang w:val="en-US" w:eastAsia="en-GB"/>
        </w:rPr>
        <w:t>.</w:t>
      </w:r>
    </w:p>
    <w:p w14:paraId="3EAC7314" w14:textId="3609DBA7" w:rsidR="00A3126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Joiner, K. L., Nam, S., &amp; Whittemore, R. (2017). Lifestyle interventions based on the</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diabetes prevention program delivered via eHealth: A systematic review and meta-analysis. </w:t>
      </w:r>
      <w:r w:rsidRPr="26F64964">
        <w:rPr>
          <w:rFonts w:asciiTheme="minorHAnsi" w:eastAsia="Times New Roman" w:hAnsiTheme="minorHAnsi" w:cstheme="minorBidi"/>
          <w:i/>
          <w:iCs/>
          <w:highlight w:val="white"/>
          <w:lang w:val="en-US" w:eastAsia="en-GB"/>
        </w:rPr>
        <w:t xml:space="preserve">Preventive </w:t>
      </w:r>
      <w:r w:rsidR="00071989" w:rsidRPr="26F64964">
        <w:rPr>
          <w:rFonts w:asciiTheme="minorHAnsi" w:eastAsia="Times New Roman" w:hAnsiTheme="minorHAnsi" w:cstheme="minorBidi"/>
          <w:i/>
          <w:iCs/>
          <w:highlight w:val="white"/>
          <w:lang w:val="en-US" w:eastAsia="en-GB"/>
        </w:rPr>
        <w:t>M</w:t>
      </w:r>
      <w:r w:rsidRPr="26F64964">
        <w:rPr>
          <w:rFonts w:asciiTheme="minorHAnsi" w:eastAsia="Times New Roman" w:hAnsiTheme="minorHAnsi" w:cstheme="minorBidi"/>
          <w:i/>
          <w:iCs/>
          <w:highlight w:val="white"/>
          <w:lang w:val="en-US" w:eastAsia="en-GB"/>
        </w:rPr>
        <w:t>edicine</w:t>
      </w:r>
      <w:r w:rsidRPr="26F64964">
        <w:rPr>
          <w:rFonts w:asciiTheme="minorHAnsi" w:eastAsia="Times New Roman" w:hAnsiTheme="minorHAnsi" w:cstheme="minorBidi"/>
          <w:highlight w:val="white"/>
          <w:lang w:val="en-US" w:eastAsia="en-GB"/>
        </w:rPr>
        <w:t>, </w:t>
      </w:r>
      <w:r w:rsidRPr="26F64964">
        <w:rPr>
          <w:rFonts w:asciiTheme="minorHAnsi" w:eastAsia="Times New Roman" w:hAnsiTheme="minorHAnsi" w:cstheme="minorBidi"/>
          <w:i/>
          <w:iCs/>
          <w:highlight w:val="white"/>
          <w:lang w:val="en-US" w:eastAsia="en-GB"/>
        </w:rPr>
        <w:t>100</w:t>
      </w:r>
      <w:r w:rsidRPr="26F64964">
        <w:rPr>
          <w:rFonts w:asciiTheme="minorHAnsi" w:eastAsia="Times New Roman" w:hAnsiTheme="minorHAnsi" w:cstheme="minorBidi"/>
          <w:highlight w:val="white"/>
          <w:lang w:val="en-US" w:eastAsia="en-GB"/>
        </w:rPr>
        <w:t>, 194-207</w:t>
      </w:r>
      <w:r w:rsidRPr="26F64964">
        <w:rPr>
          <w:rFonts w:asciiTheme="minorHAnsi" w:eastAsia="Times New Roman" w:hAnsiTheme="minorHAnsi" w:cstheme="minorBidi"/>
          <w:lang w:val="en-US" w:eastAsia="en-GB"/>
        </w:rPr>
        <w:t>.</w:t>
      </w:r>
    </w:p>
    <w:p w14:paraId="4C12AA18" w14:textId="0D4346ED" w:rsidR="00B62ADF" w:rsidRPr="00162F82" w:rsidRDefault="00B62ADF" w:rsidP="00413528">
      <w:pPr>
        <w:spacing w:line="240" w:lineRule="auto"/>
        <w:ind w:hanging="720"/>
        <w:rPr>
          <w:rFonts w:asciiTheme="minorHAnsi" w:eastAsia="Times New Roman" w:hAnsiTheme="minorHAnsi" w:cstheme="minorBidi"/>
          <w:lang w:eastAsia="en-GB"/>
        </w:rPr>
      </w:pPr>
      <w:r w:rsidRPr="00B62ADF">
        <w:rPr>
          <w:rFonts w:asciiTheme="minorHAnsi" w:eastAsia="Times New Roman" w:hAnsiTheme="minorHAnsi" w:cstheme="minorBidi"/>
          <w:lang w:eastAsia="en-GB"/>
        </w:rPr>
        <w:t>John, B. V., Love, E., Dahman, B., Kurbanova, N., Konjeti, V. R., Sundaram, L. T., Deng, Y., Aubuchon, S., Heuman, D., Bajaj, J. S., Gilles, H., Chang, M., Qayyum, R., &amp; Siddiqui, M. S. (2020)</w:t>
      </w:r>
      <w:r>
        <w:rPr>
          <w:rFonts w:asciiTheme="minorHAnsi" w:eastAsia="Times New Roman" w:hAnsiTheme="minorHAnsi" w:cstheme="minorBidi"/>
          <w:lang w:eastAsia="en-GB"/>
        </w:rPr>
        <w:t xml:space="preserve">. </w:t>
      </w:r>
      <w:r w:rsidR="00F92D41" w:rsidRPr="00F92D41">
        <w:rPr>
          <w:rFonts w:asciiTheme="minorHAnsi" w:eastAsia="Times New Roman" w:hAnsiTheme="minorHAnsi" w:cstheme="minorBidi"/>
          <w:lang w:eastAsia="en-GB"/>
        </w:rPr>
        <w:t>Use of telehealth expedites evaluation and listing of patients referred for liver transplantation. </w:t>
      </w:r>
      <w:r w:rsidR="00F92D41" w:rsidRPr="00F92D41">
        <w:rPr>
          <w:rFonts w:asciiTheme="minorHAnsi" w:eastAsia="Times New Roman" w:hAnsiTheme="minorHAnsi" w:cstheme="minorBidi"/>
          <w:i/>
          <w:iCs/>
          <w:lang w:eastAsia="en-GB"/>
        </w:rPr>
        <w:t xml:space="preserve">Clinical </w:t>
      </w:r>
      <w:r w:rsidR="00F92D41">
        <w:rPr>
          <w:rFonts w:asciiTheme="minorHAnsi" w:eastAsia="Times New Roman" w:hAnsiTheme="minorHAnsi" w:cstheme="minorBidi"/>
          <w:i/>
          <w:iCs/>
          <w:lang w:eastAsia="en-GB"/>
        </w:rPr>
        <w:t>G</w:t>
      </w:r>
      <w:r w:rsidR="00F92D41" w:rsidRPr="00F92D41">
        <w:rPr>
          <w:rFonts w:asciiTheme="minorHAnsi" w:eastAsia="Times New Roman" w:hAnsiTheme="minorHAnsi" w:cstheme="minorBidi"/>
          <w:i/>
          <w:iCs/>
          <w:lang w:eastAsia="en-GB"/>
        </w:rPr>
        <w:t xml:space="preserve">astroenterology and </w:t>
      </w:r>
      <w:r w:rsidR="00F92D41">
        <w:rPr>
          <w:rFonts w:asciiTheme="minorHAnsi" w:eastAsia="Times New Roman" w:hAnsiTheme="minorHAnsi" w:cstheme="minorBidi"/>
          <w:i/>
          <w:iCs/>
          <w:lang w:eastAsia="en-GB"/>
        </w:rPr>
        <w:t>H</w:t>
      </w:r>
      <w:r w:rsidR="00F92D41" w:rsidRPr="00F92D41">
        <w:rPr>
          <w:rFonts w:asciiTheme="minorHAnsi" w:eastAsia="Times New Roman" w:hAnsiTheme="minorHAnsi" w:cstheme="minorBidi"/>
          <w:i/>
          <w:iCs/>
          <w:lang w:eastAsia="en-GB"/>
        </w:rPr>
        <w:t>epatology</w:t>
      </w:r>
      <w:r w:rsidR="00F92D41" w:rsidRPr="00F92D41">
        <w:rPr>
          <w:rFonts w:asciiTheme="minorHAnsi" w:eastAsia="Times New Roman" w:hAnsiTheme="minorHAnsi" w:cstheme="minorBidi"/>
          <w:lang w:eastAsia="en-GB"/>
        </w:rPr>
        <w:t>, </w:t>
      </w:r>
      <w:r w:rsidR="00F92D41" w:rsidRPr="00F92D41">
        <w:rPr>
          <w:rFonts w:asciiTheme="minorHAnsi" w:eastAsia="Times New Roman" w:hAnsiTheme="minorHAnsi" w:cstheme="minorBidi"/>
          <w:i/>
          <w:iCs/>
          <w:lang w:eastAsia="en-GB"/>
        </w:rPr>
        <w:t>18</w:t>
      </w:r>
      <w:r w:rsidR="00F92D41" w:rsidRPr="00F92D41">
        <w:rPr>
          <w:rFonts w:asciiTheme="minorHAnsi" w:eastAsia="Times New Roman" w:hAnsiTheme="minorHAnsi" w:cstheme="minorBidi"/>
          <w:lang w:eastAsia="en-GB"/>
        </w:rPr>
        <w:t>(8), 1822-1830.</w:t>
      </w:r>
    </w:p>
    <w:p w14:paraId="78C791B7" w14:textId="1A4B5C1E" w:rsidR="00A31269" w:rsidRDefault="00A31269" w:rsidP="00413528">
      <w:pPr>
        <w:spacing w:line="240" w:lineRule="auto"/>
        <w:ind w:hanging="720"/>
        <w:rPr>
          <w:rFonts w:asciiTheme="minorHAnsi" w:eastAsia="Times New Roman" w:hAnsiTheme="minorHAnsi" w:cstheme="minorBidi"/>
          <w:lang w:val="en-US" w:eastAsia="en-GB"/>
        </w:rPr>
      </w:pPr>
      <w:proofErr w:type="spellStart"/>
      <w:r w:rsidRPr="26F64964">
        <w:rPr>
          <w:rFonts w:asciiTheme="minorHAnsi" w:eastAsia="Times New Roman" w:hAnsiTheme="minorHAnsi" w:cstheme="minorBidi"/>
          <w:lang w:val="en-US" w:eastAsia="en-GB"/>
        </w:rPr>
        <w:t>Kabbur</w:t>
      </w:r>
      <w:proofErr w:type="spellEnd"/>
      <w:r w:rsidRPr="26F64964">
        <w:rPr>
          <w:rFonts w:asciiTheme="minorHAnsi" w:eastAsia="Times New Roman" w:hAnsiTheme="minorHAnsi" w:cstheme="minorBidi"/>
          <w:lang w:val="en-US" w:eastAsia="en-GB"/>
        </w:rPr>
        <w:t>, G. (</w:t>
      </w:r>
      <w:r w:rsidRPr="26F64964">
        <w:rPr>
          <w:rFonts w:asciiTheme="minorHAnsi" w:eastAsia="Times New Roman" w:hAnsiTheme="minorHAnsi" w:cstheme="minorBidi"/>
          <w:highlight w:val="white"/>
          <w:lang w:val="en-US" w:eastAsia="en-GB"/>
        </w:rPr>
        <w:t>2016). Can social media help increase the organ supply while avoiding</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 xml:space="preserve">exploitation and trafficking? </w:t>
      </w:r>
      <w:r w:rsidRPr="26F64964">
        <w:rPr>
          <w:rFonts w:asciiTheme="minorHAnsi" w:eastAsia="Times New Roman" w:hAnsiTheme="minorHAnsi" w:cstheme="minorBidi"/>
          <w:i/>
          <w:iCs/>
          <w:highlight w:val="white"/>
          <w:lang w:val="en-US" w:eastAsia="en-GB"/>
        </w:rPr>
        <w:t xml:space="preserve">AMA </w:t>
      </w:r>
      <w:r w:rsidR="00071989" w:rsidRPr="26F64964">
        <w:rPr>
          <w:rFonts w:asciiTheme="minorHAnsi" w:eastAsia="Times New Roman" w:hAnsiTheme="minorHAnsi" w:cstheme="minorBidi"/>
          <w:i/>
          <w:iCs/>
          <w:highlight w:val="white"/>
          <w:lang w:val="en-US" w:eastAsia="en-GB"/>
        </w:rPr>
        <w:t>J</w:t>
      </w:r>
      <w:r w:rsidRPr="26F64964">
        <w:rPr>
          <w:rFonts w:asciiTheme="minorHAnsi" w:eastAsia="Times New Roman" w:hAnsiTheme="minorHAnsi" w:cstheme="minorBidi"/>
          <w:i/>
          <w:iCs/>
          <w:highlight w:val="white"/>
          <w:lang w:val="en-US" w:eastAsia="en-GB"/>
        </w:rPr>
        <w:t xml:space="preserve">ournal of </w:t>
      </w:r>
      <w:r w:rsidR="00071989" w:rsidRPr="26F64964">
        <w:rPr>
          <w:rFonts w:asciiTheme="minorHAnsi" w:eastAsia="Times New Roman" w:hAnsiTheme="minorHAnsi" w:cstheme="minorBidi"/>
          <w:i/>
          <w:iCs/>
          <w:highlight w:val="white"/>
          <w:lang w:val="en-US" w:eastAsia="en-GB"/>
        </w:rPr>
        <w:t>E</w:t>
      </w:r>
      <w:r w:rsidRPr="26F64964">
        <w:rPr>
          <w:rFonts w:asciiTheme="minorHAnsi" w:eastAsia="Times New Roman" w:hAnsiTheme="minorHAnsi" w:cstheme="minorBidi"/>
          <w:i/>
          <w:iCs/>
          <w:highlight w:val="white"/>
          <w:lang w:val="en-US" w:eastAsia="en-GB"/>
        </w:rPr>
        <w:t>thics</w:t>
      </w:r>
      <w:r w:rsidRPr="26F64964">
        <w:rPr>
          <w:rFonts w:asciiTheme="minorHAnsi" w:eastAsia="Times New Roman" w:hAnsiTheme="minorHAnsi" w:cstheme="minorBidi"/>
          <w:highlight w:val="white"/>
          <w:lang w:val="en-US" w:eastAsia="en-GB"/>
        </w:rPr>
        <w:t>,</w:t>
      </w:r>
      <w:r w:rsidR="00814D56" w:rsidRPr="26F64964">
        <w:rPr>
          <w:rFonts w:asciiTheme="minorHAnsi" w:eastAsia="Times New Roman" w:hAnsiTheme="minorHAnsi" w:cstheme="minorBidi"/>
          <w:highlight w:val="white"/>
          <w:lang w:val="en-US" w:eastAsia="en-GB"/>
        </w:rPr>
        <w:t xml:space="preserve"> </w:t>
      </w:r>
      <w:r w:rsidR="00814D56" w:rsidRPr="26F64964">
        <w:rPr>
          <w:rFonts w:asciiTheme="minorHAnsi" w:eastAsia="Times New Roman" w:hAnsiTheme="minorHAnsi" w:cstheme="minorBidi"/>
          <w:i/>
          <w:iCs/>
          <w:highlight w:val="white"/>
          <w:lang w:val="en-US" w:eastAsia="en-GB"/>
        </w:rPr>
        <w:t>18</w:t>
      </w:r>
      <w:r w:rsidR="00814D56" w:rsidRPr="26F64964">
        <w:rPr>
          <w:rFonts w:asciiTheme="minorHAnsi" w:eastAsia="Times New Roman" w:hAnsiTheme="minorHAnsi" w:cstheme="minorBidi"/>
          <w:highlight w:val="white"/>
          <w:lang w:val="en-US" w:eastAsia="en-GB"/>
        </w:rPr>
        <w:t>(2),</w:t>
      </w:r>
      <w:r w:rsidRPr="26F64964">
        <w:rPr>
          <w:rFonts w:asciiTheme="minorHAnsi" w:eastAsia="Times New Roman" w:hAnsiTheme="minorHAnsi" w:cstheme="minorBidi"/>
          <w:highlight w:val="white"/>
          <w:lang w:val="en-US" w:eastAsia="en-GB"/>
        </w:rPr>
        <w:t xml:space="preserve"> 115-121</w:t>
      </w:r>
      <w:r w:rsidRPr="26F64964">
        <w:rPr>
          <w:rFonts w:asciiTheme="minorHAnsi" w:eastAsia="Times New Roman" w:hAnsiTheme="minorHAnsi" w:cstheme="minorBidi"/>
          <w:lang w:val="en-US" w:eastAsia="en-GB"/>
        </w:rPr>
        <w:t>.</w:t>
      </w:r>
    </w:p>
    <w:p w14:paraId="75B6F26C" w14:textId="048AA225" w:rsidR="00162F82" w:rsidRDefault="00162F82" w:rsidP="00413528">
      <w:pPr>
        <w:spacing w:line="240" w:lineRule="auto"/>
        <w:ind w:hanging="720"/>
        <w:rPr>
          <w:rFonts w:asciiTheme="minorHAnsi" w:eastAsia="Times New Roman" w:hAnsiTheme="minorHAnsi" w:cstheme="minorBidi"/>
          <w:lang w:eastAsia="en-GB"/>
        </w:rPr>
      </w:pPr>
      <w:r w:rsidRPr="00162F82">
        <w:rPr>
          <w:rFonts w:asciiTheme="minorHAnsi" w:eastAsia="Times New Roman" w:hAnsiTheme="minorHAnsi" w:cstheme="minorBidi"/>
          <w:lang w:eastAsia="en-GB"/>
        </w:rPr>
        <w:t>Keating, S. E., Barnett, A., Croci, I., Hannigan, A., Elvin-Walsh, L., Coombes, J. S., Campbell, K. L., Macdonald, G. A., &amp; Hickman, I. J. (2020)</w:t>
      </w:r>
      <w:r>
        <w:rPr>
          <w:rFonts w:asciiTheme="minorHAnsi" w:eastAsia="Times New Roman" w:hAnsiTheme="minorHAnsi" w:cstheme="minorBidi"/>
          <w:lang w:eastAsia="en-GB"/>
        </w:rPr>
        <w:t xml:space="preserve">. </w:t>
      </w:r>
      <w:r w:rsidR="008E1779" w:rsidRPr="008E1779">
        <w:rPr>
          <w:rFonts w:asciiTheme="minorHAnsi" w:eastAsia="Times New Roman" w:hAnsiTheme="minorHAnsi" w:cstheme="minorBidi"/>
          <w:lang w:eastAsia="en-GB"/>
        </w:rPr>
        <w:t>Agreement and reliability of clinician-in-clinic versus patient-at-home clinical and functional assessments: implications for telehealth services. </w:t>
      </w:r>
      <w:r w:rsidR="008E1779" w:rsidRPr="008E1779">
        <w:rPr>
          <w:rFonts w:asciiTheme="minorHAnsi" w:eastAsia="Times New Roman" w:hAnsiTheme="minorHAnsi" w:cstheme="minorBidi"/>
          <w:i/>
          <w:iCs/>
          <w:lang w:eastAsia="en-GB"/>
        </w:rPr>
        <w:t>Archives of rehabilitation research and clinical translation</w:t>
      </w:r>
      <w:r w:rsidR="008E1779" w:rsidRPr="008E1779">
        <w:rPr>
          <w:rFonts w:asciiTheme="minorHAnsi" w:eastAsia="Times New Roman" w:hAnsiTheme="minorHAnsi" w:cstheme="minorBidi"/>
          <w:lang w:eastAsia="en-GB"/>
        </w:rPr>
        <w:t>, </w:t>
      </w:r>
      <w:r w:rsidR="008E1779" w:rsidRPr="008E1779">
        <w:rPr>
          <w:rFonts w:asciiTheme="minorHAnsi" w:eastAsia="Times New Roman" w:hAnsiTheme="minorHAnsi" w:cstheme="minorBidi"/>
          <w:i/>
          <w:iCs/>
          <w:lang w:eastAsia="en-GB"/>
        </w:rPr>
        <w:t>2</w:t>
      </w:r>
      <w:r w:rsidR="008E1779" w:rsidRPr="008E1779">
        <w:rPr>
          <w:rFonts w:asciiTheme="minorHAnsi" w:eastAsia="Times New Roman" w:hAnsiTheme="minorHAnsi" w:cstheme="minorBidi"/>
          <w:lang w:eastAsia="en-GB"/>
        </w:rPr>
        <w:t xml:space="preserve">(3), </w:t>
      </w:r>
      <w:r w:rsidR="008E1779">
        <w:rPr>
          <w:rFonts w:asciiTheme="minorHAnsi" w:eastAsia="Times New Roman" w:hAnsiTheme="minorHAnsi" w:cstheme="minorBidi"/>
          <w:lang w:eastAsia="en-GB"/>
        </w:rPr>
        <w:t xml:space="preserve">Article </w:t>
      </w:r>
      <w:r w:rsidR="008E1779" w:rsidRPr="008E1779">
        <w:rPr>
          <w:rFonts w:asciiTheme="minorHAnsi" w:eastAsia="Times New Roman" w:hAnsiTheme="minorHAnsi" w:cstheme="minorBidi"/>
          <w:lang w:eastAsia="en-GB"/>
        </w:rPr>
        <w:t>100066.</w:t>
      </w:r>
    </w:p>
    <w:p w14:paraId="3A5E2567" w14:textId="166227EC" w:rsidR="00162F82" w:rsidRDefault="00BE250E" w:rsidP="00413528">
      <w:pPr>
        <w:spacing w:line="240" w:lineRule="auto"/>
        <w:ind w:hanging="720"/>
        <w:rPr>
          <w:rFonts w:asciiTheme="minorHAnsi" w:eastAsia="Times New Roman" w:hAnsiTheme="minorHAnsi" w:cstheme="minorBidi"/>
          <w:lang w:eastAsia="en-GB"/>
        </w:rPr>
      </w:pPr>
      <w:r w:rsidRPr="00BE250E">
        <w:rPr>
          <w:rFonts w:asciiTheme="minorHAnsi" w:eastAsia="Times New Roman" w:hAnsiTheme="minorHAnsi" w:cstheme="minorBidi"/>
          <w:lang w:eastAsia="en-GB"/>
        </w:rPr>
        <w:t>Kelly, S. L., Steinberg, E. A., Suplee, A., Upshaw, N. C., Campbell, K. R., Thomas, J. F., &amp; Buchanan, C. L. (2019). Implementing a home-based telehealth group adherence intervention with adolescent transplant recipients. </w:t>
      </w:r>
      <w:r w:rsidRPr="00BE250E">
        <w:rPr>
          <w:rFonts w:asciiTheme="minorHAnsi" w:eastAsia="Times New Roman" w:hAnsiTheme="minorHAnsi" w:cstheme="minorBidi"/>
          <w:i/>
          <w:iCs/>
          <w:lang w:eastAsia="en-GB"/>
        </w:rPr>
        <w:t>Telemedicine and e-Health</w:t>
      </w:r>
      <w:r w:rsidRPr="00BE250E">
        <w:rPr>
          <w:rFonts w:asciiTheme="minorHAnsi" w:eastAsia="Times New Roman" w:hAnsiTheme="minorHAnsi" w:cstheme="minorBidi"/>
          <w:lang w:eastAsia="en-GB"/>
        </w:rPr>
        <w:t>, </w:t>
      </w:r>
      <w:r w:rsidRPr="00BE250E">
        <w:rPr>
          <w:rFonts w:asciiTheme="minorHAnsi" w:eastAsia="Times New Roman" w:hAnsiTheme="minorHAnsi" w:cstheme="minorBidi"/>
          <w:i/>
          <w:iCs/>
          <w:lang w:eastAsia="en-GB"/>
        </w:rPr>
        <w:t>25</w:t>
      </w:r>
      <w:r w:rsidRPr="00BE250E">
        <w:rPr>
          <w:rFonts w:asciiTheme="minorHAnsi" w:eastAsia="Times New Roman" w:hAnsiTheme="minorHAnsi" w:cstheme="minorBidi"/>
          <w:lang w:eastAsia="en-GB"/>
        </w:rPr>
        <w:t>(11), 1040-1048.</w:t>
      </w:r>
    </w:p>
    <w:p w14:paraId="2B99A9D2" w14:textId="73C2B010" w:rsidR="00DC03EE" w:rsidRDefault="00DC03EE" w:rsidP="00413528">
      <w:pPr>
        <w:spacing w:line="240" w:lineRule="auto"/>
        <w:ind w:hanging="720"/>
        <w:rPr>
          <w:rFonts w:asciiTheme="minorHAnsi" w:eastAsia="Times New Roman" w:hAnsiTheme="minorHAnsi" w:cstheme="minorBidi"/>
          <w:lang w:eastAsia="en-GB"/>
        </w:rPr>
      </w:pPr>
      <w:r w:rsidRPr="00DC03EE">
        <w:rPr>
          <w:rFonts w:asciiTheme="minorHAnsi" w:eastAsia="Times New Roman" w:hAnsiTheme="minorHAnsi" w:cstheme="minorBidi"/>
          <w:lang w:eastAsia="en-GB"/>
        </w:rPr>
        <w:t xml:space="preserve">Khalil, K., </w:t>
      </w:r>
      <w:proofErr w:type="spellStart"/>
      <w:r w:rsidRPr="00DC03EE">
        <w:rPr>
          <w:rFonts w:asciiTheme="minorHAnsi" w:eastAsia="Times New Roman" w:hAnsiTheme="minorHAnsi" w:cstheme="minorBidi"/>
          <w:lang w:eastAsia="en-GB"/>
        </w:rPr>
        <w:t>Tsapepas</w:t>
      </w:r>
      <w:proofErr w:type="spellEnd"/>
      <w:r w:rsidRPr="00DC03EE">
        <w:rPr>
          <w:rFonts w:asciiTheme="minorHAnsi" w:eastAsia="Times New Roman" w:hAnsiTheme="minorHAnsi" w:cstheme="minorBidi"/>
          <w:lang w:eastAsia="en-GB"/>
        </w:rPr>
        <w:t>, D., &amp; West-Thielke, P. (2022). Transplant pharmacists’ experience with telehealth during the COVID-19 pandemic. </w:t>
      </w:r>
      <w:r w:rsidRPr="00DC03EE">
        <w:rPr>
          <w:rFonts w:asciiTheme="minorHAnsi" w:eastAsia="Times New Roman" w:hAnsiTheme="minorHAnsi" w:cstheme="minorBidi"/>
          <w:i/>
          <w:iCs/>
          <w:lang w:eastAsia="en-GB"/>
        </w:rPr>
        <w:t>Journal of Pharmacy Practice</w:t>
      </w:r>
      <w:r>
        <w:rPr>
          <w:rFonts w:asciiTheme="minorHAnsi" w:eastAsia="Times New Roman" w:hAnsiTheme="minorHAnsi" w:cstheme="minorBidi"/>
          <w:lang w:eastAsia="en-GB"/>
        </w:rPr>
        <w:t xml:space="preserve">, </w:t>
      </w:r>
      <w:r w:rsidR="00E318D2" w:rsidRPr="00C34CA7">
        <w:rPr>
          <w:rFonts w:asciiTheme="minorHAnsi" w:eastAsia="Times New Roman" w:hAnsiTheme="minorHAnsi" w:cstheme="minorBidi"/>
          <w:i/>
          <w:iCs/>
          <w:lang w:eastAsia="en-GB"/>
        </w:rPr>
        <w:t>0</w:t>
      </w:r>
      <w:r w:rsidR="00E318D2">
        <w:rPr>
          <w:rFonts w:asciiTheme="minorHAnsi" w:eastAsia="Times New Roman" w:hAnsiTheme="minorHAnsi" w:cstheme="minorBidi"/>
          <w:lang w:eastAsia="en-GB"/>
        </w:rPr>
        <w:t>(0)</w:t>
      </w:r>
      <w:r w:rsidR="00C34CA7">
        <w:rPr>
          <w:rFonts w:asciiTheme="minorHAnsi" w:eastAsia="Times New Roman" w:hAnsiTheme="minorHAnsi" w:cstheme="minorBidi"/>
          <w:lang w:eastAsia="en-GB"/>
        </w:rPr>
        <w:t xml:space="preserve">, 1-4. </w:t>
      </w:r>
    </w:p>
    <w:p w14:paraId="05921D0F" w14:textId="118DDF71" w:rsidR="00DA2E91" w:rsidRDefault="00DA2E91" w:rsidP="00413528">
      <w:pPr>
        <w:spacing w:line="240" w:lineRule="auto"/>
        <w:ind w:hanging="720"/>
        <w:rPr>
          <w:rFonts w:asciiTheme="minorHAnsi" w:eastAsia="Times New Roman" w:hAnsiTheme="minorHAnsi" w:cstheme="minorBidi"/>
          <w:lang w:eastAsia="en-GB"/>
        </w:rPr>
      </w:pPr>
      <w:r w:rsidRPr="00DA2E91">
        <w:rPr>
          <w:rFonts w:asciiTheme="minorHAnsi" w:eastAsia="Times New Roman" w:hAnsiTheme="minorHAnsi" w:cstheme="minorBidi"/>
          <w:lang w:eastAsia="en-GB"/>
        </w:rPr>
        <w:t xml:space="preserve">Killian, M. O., Clifford, S., </w:t>
      </w:r>
      <w:proofErr w:type="spellStart"/>
      <w:r w:rsidRPr="00DA2E91">
        <w:rPr>
          <w:rFonts w:asciiTheme="minorHAnsi" w:eastAsia="Times New Roman" w:hAnsiTheme="minorHAnsi" w:cstheme="minorBidi"/>
          <w:lang w:eastAsia="en-GB"/>
        </w:rPr>
        <w:t>Lustria</w:t>
      </w:r>
      <w:proofErr w:type="spellEnd"/>
      <w:r w:rsidRPr="00DA2E91">
        <w:rPr>
          <w:rFonts w:asciiTheme="minorHAnsi" w:eastAsia="Times New Roman" w:hAnsiTheme="minorHAnsi" w:cstheme="minorBidi"/>
          <w:lang w:eastAsia="en-GB"/>
        </w:rPr>
        <w:t>, M. L. A., Skivington, G. L., &amp; Gupta, D. (2022). Directly observed therapy to promote medication adherence in adolescent heart transplant recipients. </w:t>
      </w:r>
      <w:proofErr w:type="spellStart"/>
      <w:r w:rsidRPr="00DA2E91">
        <w:rPr>
          <w:rFonts w:asciiTheme="minorHAnsi" w:eastAsia="Times New Roman" w:hAnsiTheme="minorHAnsi" w:cstheme="minorBidi"/>
          <w:i/>
          <w:iCs/>
          <w:lang w:eastAsia="en-GB"/>
        </w:rPr>
        <w:t>Pediatric</w:t>
      </w:r>
      <w:proofErr w:type="spellEnd"/>
      <w:r w:rsidRPr="00DA2E91">
        <w:rPr>
          <w:rFonts w:asciiTheme="minorHAnsi" w:eastAsia="Times New Roman" w:hAnsiTheme="minorHAnsi" w:cstheme="minorBidi"/>
          <w:i/>
          <w:iCs/>
          <w:lang w:eastAsia="en-GB"/>
        </w:rPr>
        <w:t xml:space="preserve"> Transplantation</w:t>
      </w:r>
      <w:r w:rsidRPr="00DA2E91">
        <w:rPr>
          <w:rFonts w:asciiTheme="minorHAnsi" w:eastAsia="Times New Roman" w:hAnsiTheme="minorHAnsi" w:cstheme="minorBidi"/>
          <w:lang w:eastAsia="en-GB"/>
        </w:rPr>
        <w:t>, </w:t>
      </w:r>
      <w:r w:rsidRPr="00DA2E91">
        <w:rPr>
          <w:rFonts w:asciiTheme="minorHAnsi" w:eastAsia="Times New Roman" w:hAnsiTheme="minorHAnsi" w:cstheme="minorBidi"/>
          <w:i/>
          <w:iCs/>
          <w:lang w:eastAsia="en-GB"/>
        </w:rPr>
        <w:t>26</w:t>
      </w:r>
      <w:r w:rsidRPr="00DA2E91">
        <w:rPr>
          <w:rFonts w:asciiTheme="minorHAnsi" w:eastAsia="Times New Roman" w:hAnsiTheme="minorHAnsi" w:cstheme="minorBidi"/>
          <w:lang w:eastAsia="en-GB"/>
        </w:rPr>
        <w:t xml:space="preserve">(5), </w:t>
      </w:r>
      <w:r>
        <w:rPr>
          <w:rFonts w:asciiTheme="minorHAnsi" w:eastAsia="Times New Roman" w:hAnsiTheme="minorHAnsi" w:cstheme="minorBidi"/>
          <w:lang w:eastAsia="en-GB"/>
        </w:rPr>
        <w:t xml:space="preserve">Article </w:t>
      </w:r>
      <w:r w:rsidRPr="00DA2E91">
        <w:rPr>
          <w:rFonts w:asciiTheme="minorHAnsi" w:eastAsia="Times New Roman" w:hAnsiTheme="minorHAnsi" w:cstheme="minorBidi"/>
          <w:lang w:eastAsia="en-GB"/>
        </w:rPr>
        <w:t>e14288.</w:t>
      </w:r>
    </w:p>
    <w:p w14:paraId="3E17912D" w14:textId="601E2D00" w:rsidR="00A75A4A" w:rsidRDefault="00A75A4A" w:rsidP="00413528">
      <w:pPr>
        <w:spacing w:line="240" w:lineRule="auto"/>
        <w:ind w:hanging="720"/>
        <w:rPr>
          <w:rFonts w:asciiTheme="minorHAnsi" w:eastAsia="Times New Roman" w:hAnsiTheme="minorHAnsi" w:cstheme="minorBidi"/>
          <w:lang w:eastAsia="en-GB"/>
        </w:rPr>
      </w:pPr>
      <w:r w:rsidRPr="00A75A4A">
        <w:rPr>
          <w:rFonts w:asciiTheme="minorHAnsi" w:eastAsia="Times New Roman" w:hAnsiTheme="minorHAnsi" w:cstheme="minorBidi"/>
          <w:lang w:eastAsia="en-GB"/>
        </w:rPr>
        <w:t xml:space="preserve">Killian, M. O., </w:t>
      </w:r>
      <w:proofErr w:type="spellStart"/>
      <w:r w:rsidRPr="00A75A4A">
        <w:rPr>
          <w:rFonts w:asciiTheme="minorHAnsi" w:eastAsia="Times New Roman" w:hAnsiTheme="minorHAnsi" w:cstheme="minorBidi"/>
          <w:lang w:eastAsia="en-GB"/>
        </w:rPr>
        <w:t>Schelbe</w:t>
      </w:r>
      <w:proofErr w:type="spellEnd"/>
      <w:r w:rsidRPr="00A75A4A">
        <w:rPr>
          <w:rFonts w:asciiTheme="minorHAnsi" w:eastAsia="Times New Roman" w:hAnsiTheme="minorHAnsi" w:cstheme="minorBidi"/>
          <w:lang w:eastAsia="en-GB"/>
        </w:rPr>
        <w:t xml:space="preserve">, L., </w:t>
      </w:r>
      <w:proofErr w:type="spellStart"/>
      <w:r w:rsidRPr="00A75A4A">
        <w:rPr>
          <w:rFonts w:asciiTheme="minorHAnsi" w:eastAsia="Times New Roman" w:hAnsiTheme="minorHAnsi" w:cstheme="minorBidi"/>
          <w:lang w:eastAsia="en-GB"/>
        </w:rPr>
        <w:t>Lustria</w:t>
      </w:r>
      <w:proofErr w:type="spellEnd"/>
      <w:r w:rsidRPr="00A75A4A">
        <w:rPr>
          <w:rFonts w:asciiTheme="minorHAnsi" w:eastAsia="Times New Roman" w:hAnsiTheme="minorHAnsi" w:cstheme="minorBidi"/>
          <w:lang w:eastAsia="en-GB"/>
        </w:rPr>
        <w:t xml:space="preserve">, M. L. A., </w:t>
      </w:r>
      <w:proofErr w:type="spellStart"/>
      <w:r w:rsidRPr="00A75A4A">
        <w:rPr>
          <w:rFonts w:asciiTheme="minorHAnsi" w:eastAsia="Times New Roman" w:hAnsiTheme="minorHAnsi" w:cstheme="minorBidi"/>
          <w:lang w:eastAsia="en-GB"/>
        </w:rPr>
        <w:t>Watkivs</w:t>
      </w:r>
      <w:proofErr w:type="spellEnd"/>
      <w:r w:rsidRPr="00A75A4A">
        <w:rPr>
          <w:rFonts w:asciiTheme="minorHAnsi" w:eastAsia="Times New Roman" w:hAnsiTheme="minorHAnsi" w:cstheme="minorBidi"/>
          <w:lang w:eastAsia="en-GB"/>
        </w:rPr>
        <w:t>, M., &amp; Gupta, D. (2023). Engaging Adolescent Heart Transplant Recipients Through In-App Messaging During Mobile Health Intervention. </w:t>
      </w:r>
      <w:r w:rsidRPr="00A75A4A">
        <w:rPr>
          <w:rFonts w:asciiTheme="minorHAnsi" w:eastAsia="Times New Roman" w:hAnsiTheme="minorHAnsi" w:cstheme="minorBidi"/>
          <w:i/>
          <w:iCs/>
          <w:lang w:eastAsia="en-GB"/>
        </w:rPr>
        <w:t>Progress in Transplantation</w:t>
      </w:r>
      <w:r w:rsidRPr="00A75A4A">
        <w:rPr>
          <w:rFonts w:asciiTheme="minorHAnsi" w:eastAsia="Times New Roman" w:hAnsiTheme="minorHAnsi" w:cstheme="minorBidi"/>
          <w:lang w:eastAsia="en-GB"/>
        </w:rPr>
        <w:t>, </w:t>
      </w:r>
      <w:r w:rsidRPr="00A75A4A">
        <w:rPr>
          <w:rFonts w:asciiTheme="minorHAnsi" w:eastAsia="Times New Roman" w:hAnsiTheme="minorHAnsi" w:cstheme="minorBidi"/>
          <w:i/>
          <w:iCs/>
          <w:lang w:eastAsia="en-GB"/>
        </w:rPr>
        <w:t>33</w:t>
      </w:r>
      <w:r w:rsidRPr="00A75A4A">
        <w:rPr>
          <w:rFonts w:asciiTheme="minorHAnsi" w:eastAsia="Times New Roman" w:hAnsiTheme="minorHAnsi" w:cstheme="minorBidi"/>
          <w:lang w:eastAsia="en-GB"/>
        </w:rPr>
        <w:t>(3), 229-235.</w:t>
      </w:r>
    </w:p>
    <w:p w14:paraId="7425AED7" w14:textId="779E3937" w:rsidR="00441EF5" w:rsidRPr="00BE250E" w:rsidRDefault="00441EF5" w:rsidP="00413528">
      <w:pPr>
        <w:spacing w:line="240" w:lineRule="auto"/>
        <w:ind w:hanging="720"/>
        <w:rPr>
          <w:rFonts w:asciiTheme="minorHAnsi" w:eastAsia="Times New Roman" w:hAnsiTheme="minorHAnsi" w:cstheme="minorBidi"/>
          <w:lang w:eastAsia="en-GB"/>
        </w:rPr>
      </w:pPr>
      <w:proofErr w:type="spellStart"/>
      <w:r w:rsidRPr="00441EF5">
        <w:rPr>
          <w:rFonts w:asciiTheme="minorHAnsi" w:eastAsia="Times New Roman" w:hAnsiTheme="minorHAnsi" w:cstheme="minorBidi"/>
          <w:lang w:eastAsia="en-GB"/>
        </w:rPr>
        <w:t>Kimiafar</w:t>
      </w:r>
      <w:proofErr w:type="spellEnd"/>
      <w:r w:rsidRPr="00441EF5">
        <w:rPr>
          <w:rFonts w:asciiTheme="minorHAnsi" w:eastAsia="Times New Roman" w:hAnsiTheme="minorHAnsi" w:cstheme="minorBidi"/>
          <w:lang w:eastAsia="en-GB"/>
        </w:rPr>
        <w:t xml:space="preserve">, K., </w:t>
      </w:r>
      <w:proofErr w:type="spellStart"/>
      <w:r w:rsidRPr="00441EF5">
        <w:rPr>
          <w:rFonts w:asciiTheme="minorHAnsi" w:eastAsia="Times New Roman" w:hAnsiTheme="minorHAnsi" w:cstheme="minorBidi"/>
          <w:lang w:eastAsia="en-GB"/>
        </w:rPr>
        <w:t>Yazdipour</w:t>
      </w:r>
      <w:proofErr w:type="spellEnd"/>
      <w:r w:rsidRPr="00441EF5">
        <w:rPr>
          <w:rFonts w:asciiTheme="minorHAnsi" w:eastAsia="Times New Roman" w:hAnsiTheme="minorHAnsi" w:cstheme="minorBidi"/>
          <w:lang w:eastAsia="en-GB"/>
        </w:rPr>
        <w:t xml:space="preserve">, A. B., </w:t>
      </w:r>
      <w:proofErr w:type="spellStart"/>
      <w:r w:rsidRPr="00441EF5">
        <w:rPr>
          <w:rFonts w:asciiTheme="minorHAnsi" w:eastAsia="Times New Roman" w:hAnsiTheme="minorHAnsi" w:cstheme="minorBidi"/>
          <w:lang w:eastAsia="en-GB"/>
        </w:rPr>
        <w:t>Hoseini</w:t>
      </w:r>
      <w:proofErr w:type="spellEnd"/>
      <w:r w:rsidRPr="00441EF5">
        <w:rPr>
          <w:rFonts w:asciiTheme="minorHAnsi" w:eastAsia="Times New Roman" w:hAnsiTheme="minorHAnsi" w:cstheme="minorBidi"/>
          <w:lang w:eastAsia="en-GB"/>
        </w:rPr>
        <w:t>, B., &amp; Sarbaz, M. (2019). Development and implementation of an instrument to assess privacy challenges of a web-based liver transplantation registry. </w:t>
      </w:r>
      <w:r w:rsidRPr="00441EF5">
        <w:rPr>
          <w:rFonts w:asciiTheme="minorHAnsi" w:eastAsia="Times New Roman" w:hAnsiTheme="minorHAnsi" w:cstheme="minorBidi"/>
          <w:i/>
          <w:iCs/>
          <w:lang w:eastAsia="en-GB"/>
        </w:rPr>
        <w:t>Electronic Physician</w:t>
      </w:r>
      <w:r w:rsidRPr="00441EF5">
        <w:rPr>
          <w:rFonts w:asciiTheme="minorHAnsi" w:eastAsia="Times New Roman" w:hAnsiTheme="minorHAnsi" w:cstheme="minorBidi"/>
          <w:lang w:eastAsia="en-GB"/>
        </w:rPr>
        <w:t>, </w:t>
      </w:r>
      <w:r w:rsidRPr="00441EF5">
        <w:rPr>
          <w:rFonts w:asciiTheme="minorHAnsi" w:eastAsia="Times New Roman" w:hAnsiTheme="minorHAnsi" w:cstheme="minorBidi"/>
          <w:i/>
          <w:iCs/>
          <w:lang w:eastAsia="en-GB"/>
        </w:rPr>
        <w:t>11</w:t>
      </w:r>
      <w:r w:rsidRPr="00441EF5">
        <w:rPr>
          <w:rFonts w:asciiTheme="minorHAnsi" w:eastAsia="Times New Roman" w:hAnsiTheme="minorHAnsi" w:cstheme="minorBidi"/>
          <w:lang w:eastAsia="en-GB"/>
        </w:rPr>
        <w:t>(1).</w:t>
      </w:r>
    </w:p>
    <w:p w14:paraId="221B0A52" w14:textId="65A3F870" w:rsidR="00BF4AD1" w:rsidRDefault="00BF4AD1"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Kruse, C. S., Stein, A., Thomas, H., &amp; Kaur, H. (2018). The use of electronic health</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records to support population health: a systematic review of the literature. </w:t>
      </w:r>
      <w:r w:rsidRPr="26F64964">
        <w:rPr>
          <w:rFonts w:asciiTheme="minorHAnsi" w:eastAsia="Times New Roman" w:hAnsiTheme="minorHAnsi" w:cstheme="minorBidi"/>
          <w:i/>
          <w:iCs/>
          <w:highlight w:val="white"/>
          <w:lang w:eastAsia="en-GB"/>
        </w:rPr>
        <w:t>Journal of</w:t>
      </w:r>
      <w:r w:rsidRPr="26F64964">
        <w:rPr>
          <w:rFonts w:asciiTheme="minorHAnsi" w:eastAsia="Times New Roman" w:hAnsiTheme="minorHAnsi" w:cstheme="minorBidi"/>
          <w:i/>
          <w:iCs/>
          <w:lang w:eastAsia="en-GB"/>
        </w:rPr>
        <w:t xml:space="preserve"> </w:t>
      </w:r>
      <w:r w:rsidR="00071989" w:rsidRPr="26F64964">
        <w:rPr>
          <w:rFonts w:asciiTheme="minorHAnsi" w:eastAsia="Times New Roman" w:hAnsiTheme="minorHAnsi" w:cstheme="minorBidi"/>
          <w:i/>
          <w:iCs/>
          <w:highlight w:val="white"/>
          <w:lang w:eastAsia="en-GB"/>
        </w:rPr>
        <w:t>M</w:t>
      </w:r>
      <w:r w:rsidRPr="26F64964">
        <w:rPr>
          <w:rFonts w:asciiTheme="minorHAnsi" w:eastAsia="Times New Roman" w:hAnsiTheme="minorHAnsi" w:cstheme="minorBidi"/>
          <w:i/>
          <w:iCs/>
          <w:highlight w:val="white"/>
          <w:lang w:eastAsia="en-GB"/>
        </w:rPr>
        <w:t xml:space="preserve">edical </w:t>
      </w:r>
      <w:r w:rsidR="00071989" w:rsidRPr="26F64964">
        <w:rPr>
          <w:rFonts w:asciiTheme="minorHAnsi" w:eastAsia="Times New Roman" w:hAnsiTheme="minorHAnsi" w:cstheme="minorBidi"/>
          <w:i/>
          <w:iCs/>
          <w:highlight w:val="white"/>
          <w:lang w:eastAsia="en-GB"/>
        </w:rPr>
        <w:t>S</w:t>
      </w:r>
      <w:r w:rsidRPr="26F64964">
        <w:rPr>
          <w:rFonts w:asciiTheme="minorHAnsi" w:eastAsia="Times New Roman" w:hAnsiTheme="minorHAnsi" w:cstheme="minorBidi"/>
          <w:i/>
          <w:iCs/>
          <w:highlight w:val="white"/>
          <w:lang w:eastAsia="en-GB"/>
        </w:rPr>
        <w:t>ystems</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42</w:t>
      </w:r>
      <w:r w:rsidRPr="26F64964">
        <w:rPr>
          <w:rFonts w:asciiTheme="minorHAnsi" w:eastAsia="Times New Roman" w:hAnsiTheme="minorHAnsi" w:cstheme="minorBidi"/>
          <w:highlight w:val="white"/>
          <w:lang w:eastAsia="en-GB"/>
        </w:rPr>
        <w:t>, 1-16</w:t>
      </w:r>
      <w:r w:rsidRPr="26F64964">
        <w:rPr>
          <w:rFonts w:asciiTheme="minorHAnsi" w:eastAsia="Times New Roman" w:hAnsiTheme="minorHAnsi" w:cstheme="minorBidi"/>
          <w:lang w:eastAsia="en-GB"/>
        </w:rPr>
        <w:t>.</w:t>
      </w:r>
    </w:p>
    <w:p w14:paraId="47C96253" w14:textId="32CD422F" w:rsidR="00F3078F" w:rsidRPr="009E12F9" w:rsidRDefault="00F3078F" w:rsidP="00413528">
      <w:pPr>
        <w:spacing w:line="240" w:lineRule="auto"/>
        <w:ind w:hanging="720"/>
        <w:rPr>
          <w:rFonts w:asciiTheme="minorHAnsi" w:eastAsia="Times New Roman" w:hAnsiTheme="minorHAnsi" w:cstheme="minorBidi"/>
          <w:lang w:val="en-US" w:eastAsia="en-GB"/>
        </w:rPr>
      </w:pPr>
      <w:r w:rsidRPr="00F3078F">
        <w:rPr>
          <w:rFonts w:asciiTheme="minorHAnsi" w:eastAsia="Times New Roman" w:hAnsiTheme="minorHAnsi" w:cstheme="minorBidi"/>
          <w:lang w:eastAsia="en-GB"/>
        </w:rPr>
        <w:t>La Hoz, R. M., Liu, T., Xie, D., Adams-Huet, B., Willett, D. L., Haley, R. W., &amp; Greenberg, D. E. (2021). The use of automated data extraction tools to develop a solid organ transplant registry: proof of concept study of bloodstream infections. </w:t>
      </w:r>
      <w:r w:rsidRPr="00F3078F">
        <w:rPr>
          <w:rFonts w:asciiTheme="minorHAnsi" w:eastAsia="Times New Roman" w:hAnsiTheme="minorHAnsi" w:cstheme="minorBidi"/>
          <w:i/>
          <w:iCs/>
          <w:lang w:eastAsia="en-GB"/>
        </w:rPr>
        <w:t>Journal of Infection</w:t>
      </w:r>
      <w:r w:rsidRPr="00F3078F">
        <w:rPr>
          <w:rFonts w:asciiTheme="minorHAnsi" w:eastAsia="Times New Roman" w:hAnsiTheme="minorHAnsi" w:cstheme="minorBidi"/>
          <w:lang w:eastAsia="en-GB"/>
        </w:rPr>
        <w:t>, </w:t>
      </w:r>
      <w:r w:rsidRPr="00F3078F">
        <w:rPr>
          <w:rFonts w:asciiTheme="minorHAnsi" w:eastAsia="Times New Roman" w:hAnsiTheme="minorHAnsi" w:cstheme="minorBidi"/>
          <w:i/>
          <w:iCs/>
          <w:lang w:eastAsia="en-GB"/>
        </w:rPr>
        <w:t>82</w:t>
      </w:r>
      <w:r w:rsidRPr="00F3078F">
        <w:rPr>
          <w:rFonts w:asciiTheme="minorHAnsi" w:eastAsia="Times New Roman" w:hAnsiTheme="minorHAnsi" w:cstheme="minorBidi"/>
          <w:lang w:eastAsia="en-GB"/>
        </w:rPr>
        <w:t>(1), 41-47.</w:t>
      </w:r>
    </w:p>
    <w:p w14:paraId="147DBF49" w14:textId="2A653FA9" w:rsidR="00D75E63" w:rsidRDefault="00D75E63"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lang w:eastAsia="en-GB"/>
        </w:rPr>
        <w:t xml:space="preserve">Lee, H., </w:t>
      </w:r>
      <w:r w:rsidRPr="26F64964">
        <w:rPr>
          <w:rFonts w:asciiTheme="minorHAnsi" w:eastAsia="Times New Roman" w:hAnsiTheme="minorHAnsi" w:cstheme="minorBidi"/>
          <w:highlight w:val="white"/>
          <w:lang w:eastAsia="en-GB"/>
        </w:rPr>
        <w:t>Shin, B. C., &amp; Seo, J. M. (2020). Effectiveness of eHealth interventions for</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improving medication adherence of organ transplant patients: A systematic review and</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meta-analysis. </w:t>
      </w:r>
      <w:proofErr w:type="spellStart"/>
      <w:r w:rsidRPr="26F64964">
        <w:rPr>
          <w:rFonts w:asciiTheme="minorHAnsi" w:eastAsia="Times New Roman" w:hAnsiTheme="minorHAnsi" w:cstheme="minorBidi"/>
          <w:i/>
          <w:iCs/>
          <w:highlight w:val="white"/>
          <w:lang w:eastAsia="en-GB"/>
        </w:rPr>
        <w:t>Plos</w:t>
      </w:r>
      <w:proofErr w:type="spellEnd"/>
      <w:r w:rsidRPr="26F64964">
        <w:rPr>
          <w:rFonts w:asciiTheme="minorHAnsi" w:eastAsia="Times New Roman" w:hAnsiTheme="minorHAnsi" w:cstheme="minorBidi"/>
          <w:i/>
          <w:iCs/>
          <w:highlight w:val="white"/>
          <w:lang w:eastAsia="en-GB"/>
        </w:rPr>
        <w:t xml:space="preserve"> </w:t>
      </w:r>
      <w:r w:rsidR="00071989" w:rsidRPr="26F64964">
        <w:rPr>
          <w:rFonts w:asciiTheme="minorHAnsi" w:eastAsia="Times New Roman" w:hAnsiTheme="minorHAnsi" w:cstheme="minorBidi"/>
          <w:i/>
          <w:iCs/>
          <w:highlight w:val="white"/>
          <w:lang w:eastAsia="en-GB"/>
        </w:rPr>
        <w:t>O</w:t>
      </w:r>
      <w:r w:rsidRPr="26F64964">
        <w:rPr>
          <w:rFonts w:asciiTheme="minorHAnsi" w:eastAsia="Times New Roman" w:hAnsiTheme="minorHAnsi" w:cstheme="minorBidi"/>
          <w:i/>
          <w:iCs/>
          <w:highlight w:val="white"/>
          <w:lang w:eastAsia="en-GB"/>
        </w:rPr>
        <w:t>ne</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15</w:t>
      </w:r>
      <w:r w:rsidRPr="26F64964">
        <w:rPr>
          <w:rFonts w:asciiTheme="minorHAnsi" w:eastAsia="Times New Roman" w:hAnsiTheme="minorHAnsi" w:cstheme="minorBidi"/>
          <w:lang w:eastAsia="en-GB"/>
        </w:rPr>
        <w:t xml:space="preserve">(11), </w:t>
      </w:r>
      <w:r w:rsidR="00FD4F23" w:rsidRPr="26F64964">
        <w:rPr>
          <w:rFonts w:asciiTheme="minorHAnsi" w:eastAsia="Times New Roman" w:hAnsiTheme="minorHAnsi" w:cstheme="minorBidi"/>
          <w:lang w:eastAsia="en-GB"/>
        </w:rPr>
        <w:t xml:space="preserve">Article </w:t>
      </w:r>
      <w:r w:rsidRPr="26F64964">
        <w:rPr>
          <w:rFonts w:asciiTheme="minorHAnsi" w:eastAsia="Times New Roman" w:hAnsiTheme="minorHAnsi" w:cstheme="minorBidi"/>
          <w:highlight w:val="white"/>
          <w:lang w:eastAsia="en-GB"/>
        </w:rPr>
        <w:t>e0241857</w:t>
      </w:r>
      <w:r w:rsidRPr="26F64964">
        <w:rPr>
          <w:rFonts w:asciiTheme="minorHAnsi" w:eastAsia="Times New Roman" w:hAnsiTheme="minorHAnsi" w:cstheme="minorBidi"/>
          <w:lang w:eastAsia="en-GB"/>
        </w:rPr>
        <w:t>.</w:t>
      </w:r>
    </w:p>
    <w:p w14:paraId="53C3FB99" w14:textId="07D5C3E5" w:rsidR="00F5683F" w:rsidRPr="00DA0095" w:rsidRDefault="00F5683F" w:rsidP="00413528">
      <w:pPr>
        <w:spacing w:line="240" w:lineRule="auto"/>
        <w:ind w:hanging="720"/>
        <w:rPr>
          <w:rFonts w:asciiTheme="minorHAnsi" w:eastAsia="Times New Roman" w:hAnsiTheme="minorHAnsi" w:cstheme="minorBidi"/>
          <w:lang w:eastAsia="en-GB"/>
        </w:rPr>
      </w:pPr>
      <w:proofErr w:type="spellStart"/>
      <w:r w:rsidRPr="00F5683F">
        <w:rPr>
          <w:rFonts w:asciiTheme="minorHAnsi" w:eastAsia="Times New Roman" w:hAnsiTheme="minorHAnsi" w:cstheme="minorBidi"/>
          <w:lang w:eastAsia="en-GB"/>
        </w:rPr>
        <w:t>Lerret</w:t>
      </w:r>
      <w:proofErr w:type="spellEnd"/>
      <w:r w:rsidRPr="00F5683F">
        <w:rPr>
          <w:rFonts w:asciiTheme="minorHAnsi" w:eastAsia="Times New Roman" w:hAnsiTheme="minorHAnsi" w:cstheme="minorBidi"/>
          <w:lang w:eastAsia="en-GB"/>
        </w:rPr>
        <w:t xml:space="preserve">, S. M., Schiffman, R., White-Traut, R., Medoff-Cooper, B., Ahamed, S. I., Adib, R., Liegl, M., Alonso, E., Mavis, A., Jensen, K., Peterson, C. G., </w:t>
      </w:r>
      <w:proofErr w:type="spellStart"/>
      <w:r w:rsidRPr="00F5683F">
        <w:rPr>
          <w:rFonts w:asciiTheme="minorHAnsi" w:eastAsia="Times New Roman" w:hAnsiTheme="minorHAnsi" w:cstheme="minorBidi"/>
          <w:lang w:eastAsia="en-GB"/>
        </w:rPr>
        <w:t>Neighbors</w:t>
      </w:r>
      <w:proofErr w:type="spellEnd"/>
      <w:r w:rsidRPr="00F5683F">
        <w:rPr>
          <w:rFonts w:asciiTheme="minorHAnsi" w:eastAsia="Times New Roman" w:hAnsiTheme="minorHAnsi" w:cstheme="minorBidi"/>
          <w:lang w:eastAsia="en-GB"/>
        </w:rPr>
        <w:t xml:space="preserve">, K., Riordan, M. K., </w:t>
      </w:r>
      <w:proofErr w:type="spellStart"/>
      <w:r w:rsidRPr="00F5683F">
        <w:rPr>
          <w:rFonts w:asciiTheme="minorHAnsi" w:eastAsia="Times New Roman" w:hAnsiTheme="minorHAnsi" w:cstheme="minorBidi"/>
          <w:lang w:eastAsia="en-GB"/>
        </w:rPr>
        <w:t>Semp</w:t>
      </w:r>
      <w:proofErr w:type="spellEnd"/>
      <w:r w:rsidRPr="00F5683F">
        <w:rPr>
          <w:rFonts w:asciiTheme="minorHAnsi" w:eastAsia="Times New Roman" w:hAnsiTheme="minorHAnsi" w:cstheme="minorBidi"/>
          <w:lang w:eastAsia="en-GB"/>
        </w:rPr>
        <w:t xml:space="preserve">, M. C., Vo, T., Stendahl, G., Chapman, S., </w:t>
      </w:r>
      <w:proofErr w:type="spellStart"/>
      <w:r w:rsidRPr="00F5683F">
        <w:rPr>
          <w:rFonts w:asciiTheme="minorHAnsi" w:eastAsia="Times New Roman" w:hAnsiTheme="minorHAnsi" w:cstheme="minorBidi"/>
          <w:lang w:eastAsia="en-GB"/>
        </w:rPr>
        <w:t>Unteutsch</w:t>
      </w:r>
      <w:proofErr w:type="spellEnd"/>
      <w:r w:rsidRPr="00F5683F">
        <w:rPr>
          <w:rFonts w:asciiTheme="minorHAnsi" w:eastAsia="Times New Roman" w:hAnsiTheme="minorHAnsi" w:cstheme="minorBidi"/>
          <w:lang w:eastAsia="en-GB"/>
        </w:rPr>
        <w:t>, R., &amp; Simpson, P. (2022)</w:t>
      </w:r>
      <w:r>
        <w:rPr>
          <w:rFonts w:asciiTheme="minorHAnsi" w:eastAsia="Times New Roman" w:hAnsiTheme="minorHAnsi" w:cstheme="minorBidi"/>
          <w:lang w:eastAsia="en-GB"/>
        </w:rPr>
        <w:t xml:space="preserve">. </w:t>
      </w:r>
      <w:r w:rsidR="00A709B1" w:rsidRPr="00A709B1">
        <w:rPr>
          <w:rFonts w:asciiTheme="minorHAnsi" w:eastAsia="Times New Roman" w:hAnsiTheme="minorHAnsi" w:cstheme="minorBidi"/>
          <w:lang w:eastAsia="en-GB"/>
        </w:rPr>
        <w:t xml:space="preserve">Feasibility and acceptability of a mHealth self-management intervention for </w:t>
      </w:r>
      <w:proofErr w:type="spellStart"/>
      <w:r w:rsidR="00A709B1" w:rsidRPr="00A709B1">
        <w:rPr>
          <w:rFonts w:asciiTheme="minorHAnsi" w:eastAsia="Times New Roman" w:hAnsiTheme="minorHAnsi" w:cstheme="minorBidi"/>
          <w:lang w:eastAsia="en-GB"/>
        </w:rPr>
        <w:t>pediatric</w:t>
      </w:r>
      <w:proofErr w:type="spellEnd"/>
      <w:r w:rsidR="00A709B1" w:rsidRPr="00A709B1">
        <w:rPr>
          <w:rFonts w:asciiTheme="minorHAnsi" w:eastAsia="Times New Roman" w:hAnsiTheme="minorHAnsi" w:cstheme="minorBidi"/>
          <w:lang w:eastAsia="en-GB"/>
        </w:rPr>
        <w:t xml:space="preserve"> transplant families. </w:t>
      </w:r>
      <w:r w:rsidR="00A709B1" w:rsidRPr="00A709B1">
        <w:rPr>
          <w:rFonts w:asciiTheme="minorHAnsi" w:eastAsia="Times New Roman" w:hAnsiTheme="minorHAnsi" w:cstheme="minorBidi"/>
          <w:i/>
          <w:iCs/>
          <w:lang w:eastAsia="en-GB"/>
        </w:rPr>
        <w:t>Western Journal of Nursing Research</w:t>
      </w:r>
      <w:r w:rsidR="00A709B1" w:rsidRPr="00A709B1">
        <w:rPr>
          <w:rFonts w:asciiTheme="minorHAnsi" w:eastAsia="Times New Roman" w:hAnsiTheme="minorHAnsi" w:cstheme="minorBidi"/>
          <w:lang w:eastAsia="en-GB"/>
        </w:rPr>
        <w:t>, </w:t>
      </w:r>
      <w:r w:rsidR="00A709B1" w:rsidRPr="00A709B1">
        <w:rPr>
          <w:rFonts w:asciiTheme="minorHAnsi" w:eastAsia="Times New Roman" w:hAnsiTheme="minorHAnsi" w:cstheme="minorBidi"/>
          <w:i/>
          <w:iCs/>
          <w:lang w:eastAsia="en-GB"/>
        </w:rPr>
        <w:t>44</w:t>
      </w:r>
      <w:r w:rsidR="00A709B1" w:rsidRPr="00A709B1">
        <w:rPr>
          <w:rFonts w:asciiTheme="minorHAnsi" w:eastAsia="Times New Roman" w:hAnsiTheme="minorHAnsi" w:cstheme="minorBidi"/>
          <w:lang w:eastAsia="en-GB"/>
        </w:rPr>
        <w:t>(10), 955-965.</w:t>
      </w:r>
    </w:p>
    <w:p w14:paraId="1B3E5904" w14:textId="7E3CAEA1" w:rsidR="00064C06" w:rsidRDefault="00064C06" w:rsidP="00413528">
      <w:pPr>
        <w:spacing w:line="240" w:lineRule="auto"/>
        <w:ind w:hanging="720"/>
        <w:rPr>
          <w:rFonts w:asciiTheme="minorHAnsi" w:eastAsia="Times New Roman" w:hAnsiTheme="minorHAnsi" w:cstheme="minorBidi"/>
          <w:lang w:val="en-US" w:eastAsia="en-GB"/>
        </w:rPr>
      </w:pPr>
      <w:r w:rsidRPr="00064C06">
        <w:rPr>
          <w:rFonts w:asciiTheme="minorHAnsi" w:eastAsia="Times New Roman" w:hAnsiTheme="minorHAnsi" w:cstheme="minorBidi"/>
          <w:lang w:eastAsia="en-GB"/>
        </w:rPr>
        <w:lastRenderedPageBreak/>
        <w:t xml:space="preserve">Li, J., </w:t>
      </w:r>
      <w:proofErr w:type="spellStart"/>
      <w:r w:rsidRPr="00064C06">
        <w:rPr>
          <w:rFonts w:asciiTheme="minorHAnsi" w:eastAsia="Times New Roman" w:hAnsiTheme="minorHAnsi" w:cstheme="minorBidi"/>
          <w:lang w:eastAsia="en-GB"/>
        </w:rPr>
        <w:t>Talaei-Khoei</w:t>
      </w:r>
      <w:proofErr w:type="spellEnd"/>
      <w:r w:rsidRPr="00064C06">
        <w:rPr>
          <w:rFonts w:asciiTheme="minorHAnsi" w:eastAsia="Times New Roman" w:hAnsiTheme="minorHAnsi" w:cstheme="minorBidi"/>
          <w:lang w:eastAsia="en-GB"/>
        </w:rPr>
        <w:t xml:space="preserve">, A., Seale, H., Ray, P., &amp; </w:t>
      </w:r>
      <w:proofErr w:type="spellStart"/>
      <w:r w:rsidRPr="00064C06">
        <w:rPr>
          <w:rFonts w:asciiTheme="minorHAnsi" w:eastAsia="Times New Roman" w:hAnsiTheme="minorHAnsi" w:cstheme="minorBidi"/>
          <w:lang w:eastAsia="en-GB"/>
        </w:rPr>
        <w:t>MacIntyre</w:t>
      </w:r>
      <w:proofErr w:type="spellEnd"/>
      <w:r w:rsidRPr="00064C06">
        <w:rPr>
          <w:rFonts w:asciiTheme="minorHAnsi" w:eastAsia="Times New Roman" w:hAnsiTheme="minorHAnsi" w:cstheme="minorBidi"/>
          <w:lang w:eastAsia="en-GB"/>
        </w:rPr>
        <w:t>, C. R. (2013). Health care provider adoption of eHealth: systematic literature review. </w:t>
      </w:r>
      <w:r w:rsidRPr="00064C06">
        <w:rPr>
          <w:rFonts w:asciiTheme="minorHAnsi" w:eastAsia="Times New Roman" w:hAnsiTheme="minorHAnsi" w:cstheme="minorBidi"/>
          <w:i/>
          <w:iCs/>
          <w:lang w:eastAsia="en-GB"/>
        </w:rPr>
        <w:t xml:space="preserve">Interactive Journal </w:t>
      </w:r>
      <w:r>
        <w:rPr>
          <w:rFonts w:asciiTheme="minorHAnsi" w:eastAsia="Times New Roman" w:hAnsiTheme="minorHAnsi" w:cstheme="minorBidi"/>
          <w:i/>
          <w:iCs/>
          <w:lang w:eastAsia="en-GB"/>
        </w:rPr>
        <w:t>o</w:t>
      </w:r>
      <w:r w:rsidRPr="00064C06">
        <w:rPr>
          <w:rFonts w:asciiTheme="minorHAnsi" w:eastAsia="Times New Roman" w:hAnsiTheme="minorHAnsi" w:cstheme="minorBidi"/>
          <w:i/>
          <w:iCs/>
          <w:lang w:eastAsia="en-GB"/>
        </w:rPr>
        <w:t>f Medical Research</w:t>
      </w:r>
      <w:r w:rsidRPr="00064C06">
        <w:rPr>
          <w:rFonts w:asciiTheme="minorHAnsi" w:eastAsia="Times New Roman" w:hAnsiTheme="minorHAnsi" w:cstheme="minorBidi"/>
          <w:lang w:eastAsia="en-GB"/>
        </w:rPr>
        <w:t>, </w:t>
      </w:r>
      <w:r w:rsidRPr="00064C06">
        <w:rPr>
          <w:rFonts w:asciiTheme="minorHAnsi" w:eastAsia="Times New Roman" w:hAnsiTheme="minorHAnsi" w:cstheme="minorBidi"/>
          <w:i/>
          <w:iCs/>
          <w:lang w:eastAsia="en-GB"/>
        </w:rPr>
        <w:t>2</w:t>
      </w:r>
      <w:r w:rsidRPr="00064C06">
        <w:rPr>
          <w:rFonts w:asciiTheme="minorHAnsi" w:eastAsia="Times New Roman" w:hAnsiTheme="minorHAnsi" w:cstheme="minorBidi"/>
          <w:lang w:eastAsia="en-GB"/>
        </w:rPr>
        <w:t xml:space="preserve">(1), </w:t>
      </w:r>
      <w:r>
        <w:rPr>
          <w:rFonts w:asciiTheme="minorHAnsi" w:eastAsia="Times New Roman" w:hAnsiTheme="minorHAnsi" w:cstheme="minorBidi"/>
          <w:lang w:eastAsia="en-GB"/>
        </w:rPr>
        <w:t xml:space="preserve">Article </w:t>
      </w:r>
      <w:r w:rsidRPr="00064C06">
        <w:rPr>
          <w:rFonts w:asciiTheme="minorHAnsi" w:eastAsia="Times New Roman" w:hAnsiTheme="minorHAnsi" w:cstheme="minorBidi"/>
          <w:lang w:eastAsia="en-GB"/>
        </w:rPr>
        <w:t>e2468.</w:t>
      </w:r>
    </w:p>
    <w:p w14:paraId="1B2E1650" w14:textId="654E634E" w:rsidR="00A31269" w:rsidRPr="009E12F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lang w:val="en-US" w:eastAsia="en-GB"/>
        </w:rPr>
        <w:t xml:space="preserve">Linden, P. </w:t>
      </w:r>
      <w:r w:rsidRPr="26F64964">
        <w:rPr>
          <w:rFonts w:asciiTheme="minorHAnsi" w:eastAsia="Times New Roman" w:hAnsiTheme="minorHAnsi" w:cstheme="minorBidi"/>
          <w:highlight w:val="white"/>
          <w:lang w:val="en-US" w:eastAsia="en-GB"/>
        </w:rPr>
        <w:t xml:space="preserve">K. (2009). History of solid organ transplantation and organ donation. </w:t>
      </w:r>
      <w:r w:rsidRPr="26F64964">
        <w:rPr>
          <w:rFonts w:asciiTheme="minorHAnsi" w:eastAsia="Times New Roman" w:hAnsiTheme="minorHAnsi" w:cstheme="minorBidi"/>
          <w:i/>
          <w:iCs/>
          <w:highlight w:val="white"/>
          <w:lang w:val="en-US" w:eastAsia="en-GB"/>
        </w:rPr>
        <w:t>Critical</w:t>
      </w:r>
      <w:r w:rsidRPr="26F64964">
        <w:rPr>
          <w:rFonts w:asciiTheme="minorHAnsi" w:eastAsia="Times New Roman" w:hAnsiTheme="minorHAnsi" w:cstheme="minorBidi"/>
          <w:i/>
          <w:iCs/>
          <w:lang w:val="en-US" w:eastAsia="en-GB"/>
        </w:rPr>
        <w:t xml:space="preserve"> </w:t>
      </w:r>
      <w:r w:rsidR="00071989" w:rsidRPr="26F64964">
        <w:rPr>
          <w:rFonts w:asciiTheme="minorHAnsi" w:eastAsia="Times New Roman" w:hAnsiTheme="minorHAnsi" w:cstheme="minorBidi"/>
          <w:i/>
          <w:iCs/>
          <w:highlight w:val="white"/>
          <w:lang w:val="en-US" w:eastAsia="en-GB"/>
        </w:rPr>
        <w:t>C</w:t>
      </w:r>
      <w:r w:rsidRPr="26F64964">
        <w:rPr>
          <w:rFonts w:asciiTheme="minorHAnsi" w:eastAsia="Times New Roman" w:hAnsiTheme="minorHAnsi" w:cstheme="minorBidi"/>
          <w:i/>
          <w:iCs/>
          <w:highlight w:val="white"/>
          <w:lang w:val="en-US" w:eastAsia="en-GB"/>
        </w:rPr>
        <w:t xml:space="preserve">are </w:t>
      </w:r>
      <w:r w:rsidR="00071989" w:rsidRPr="26F64964">
        <w:rPr>
          <w:rFonts w:asciiTheme="minorHAnsi" w:eastAsia="Times New Roman" w:hAnsiTheme="minorHAnsi" w:cstheme="minorBidi"/>
          <w:i/>
          <w:iCs/>
          <w:highlight w:val="white"/>
          <w:lang w:val="en-US" w:eastAsia="en-GB"/>
        </w:rPr>
        <w:t>C</w:t>
      </w:r>
      <w:r w:rsidRPr="26F64964">
        <w:rPr>
          <w:rFonts w:asciiTheme="minorHAnsi" w:eastAsia="Times New Roman" w:hAnsiTheme="minorHAnsi" w:cstheme="minorBidi"/>
          <w:i/>
          <w:iCs/>
          <w:highlight w:val="white"/>
          <w:lang w:val="en-US" w:eastAsia="en-GB"/>
        </w:rPr>
        <w:t>linics</w:t>
      </w:r>
      <w:r w:rsidRPr="26F64964">
        <w:rPr>
          <w:rFonts w:asciiTheme="minorHAnsi" w:eastAsia="Times New Roman" w:hAnsiTheme="minorHAnsi" w:cstheme="minorBidi"/>
          <w:highlight w:val="white"/>
          <w:lang w:val="en-US" w:eastAsia="en-GB"/>
        </w:rPr>
        <w:t xml:space="preserve">, </w:t>
      </w:r>
      <w:r w:rsidR="008513D6" w:rsidRPr="26F64964">
        <w:rPr>
          <w:rFonts w:asciiTheme="minorHAnsi" w:eastAsia="Times New Roman" w:hAnsiTheme="minorHAnsi" w:cstheme="minorBidi"/>
          <w:i/>
          <w:iCs/>
          <w:highlight w:val="white"/>
          <w:lang w:val="en-US" w:eastAsia="en-GB"/>
        </w:rPr>
        <w:t>25</w:t>
      </w:r>
      <w:r w:rsidR="008513D6" w:rsidRPr="26F64964">
        <w:rPr>
          <w:rFonts w:asciiTheme="minorHAnsi" w:eastAsia="Times New Roman" w:hAnsiTheme="minorHAnsi" w:cstheme="minorBidi"/>
          <w:highlight w:val="white"/>
          <w:lang w:val="en-US" w:eastAsia="en-GB"/>
        </w:rPr>
        <w:t>(1)</w:t>
      </w:r>
      <w:r w:rsidR="00EB6CA5" w:rsidRPr="26F64964">
        <w:rPr>
          <w:rFonts w:asciiTheme="minorHAnsi" w:eastAsia="Times New Roman" w:hAnsiTheme="minorHAnsi" w:cstheme="minorBidi"/>
          <w:highlight w:val="white"/>
          <w:lang w:val="en-US" w:eastAsia="en-GB"/>
        </w:rPr>
        <w:t>,</w:t>
      </w:r>
      <w:r w:rsidR="008513D6" w:rsidRPr="26F64964">
        <w:rPr>
          <w:rFonts w:asciiTheme="minorHAnsi" w:eastAsia="Times New Roman" w:hAnsiTheme="minorHAnsi" w:cstheme="minorBidi"/>
          <w:highlight w:val="white"/>
          <w:lang w:val="en-US" w:eastAsia="en-GB"/>
        </w:rPr>
        <w:t xml:space="preserve"> </w:t>
      </w:r>
      <w:r w:rsidRPr="26F64964">
        <w:rPr>
          <w:rFonts w:asciiTheme="minorHAnsi" w:eastAsia="Times New Roman" w:hAnsiTheme="minorHAnsi" w:cstheme="minorBidi"/>
          <w:highlight w:val="white"/>
          <w:lang w:val="en-US" w:eastAsia="en-GB"/>
        </w:rPr>
        <w:t>165-184</w:t>
      </w:r>
      <w:r w:rsidRPr="26F64964">
        <w:rPr>
          <w:rFonts w:asciiTheme="minorHAnsi" w:eastAsia="Times New Roman" w:hAnsiTheme="minorHAnsi" w:cstheme="minorBidi"/>
          <w:lang w:val="en-US" w:eastAsia="en-GB"/>
        </w:rPr>
        <w:t>.</w:t>
      </w:r>
    </w:p>
    <w:p w14:paraId="521AC611" w14:textId="56E7B7D5" w:rsidR="00A3126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Malpas, P. (2018). New Zealand transplant patients and organ transplantation in</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 xml:space="preserve">China: some ethical considerations. </w:t>
      </w:r>
      <w:r w:rsidRPr="26F64964">
        <w:rPr>
          <w:rFonts w:asciiTheme="minorHAnsi" w:eastAsia="Times New Roman" w:hAnsiTheme="minorHAnsi" w:cstheme="minorBidi"/>
          <w:i/>
          <w:iCs/>
          <w:highlight w:val="white"/>
          <w:lang w:val="en-US" w:eastAsia="en-GB"/>
        </w:rPr>
        <w:t>New Zealand Medical Journal</w:t>
      </w:r>
      <w:r w:rsidR="00AD51CA" w:rsidRPr="26F64964">
        <w:rPr>
          <w:rFonts w:asciiTheme="minorHAnsi" w:eastAsia="Times New Roman" w:hAnsiTheme="minorHAnsi" w:cstheme="minorBidi"/>
          <w:highlight w:val="white"/>
          <w:lang w:val="en-US" w:eastAsia="en-GB"/>
        </w:rPr>
        <w:t xml:space="preserve">, </w:t>
      </w:r>
      <w:r w:rsidR="00AD51CA" w:rsidRPr="26F64964">
        <w:rPr>
          <w:rFonts w:asciiTheme="minorHAnsi" w:eastAsia="Times New Roman" w:hAnsiTheme="minorHAnsi" w:cstheme="minorBidi"/>
          <w:i/>
          <w:iCs/>
          <w:highlight w:val="white"/>
          <w:lang w:val="en-US" w:eastAsia="en-GB"/>
        </w:rPr>
        <w:t>131</w:t>
      </w:r>
      <w:r w:rsidR="00AD51CA" w:rsidRPr="26F64964">
        <w:rPr>
          <w:rFonts w:asciiTheme="minorHAnsi" w:eastAsia="Times New Roman" w:hAnsiTheme="minorHAnsi" w:cstheme="minorBidi"/>
          <w:highlight w:val="white"/>
          <w:lang w:val="en-US" w:eastAsia="en-GB"/>
        </w:rPr>
        <w:t xml:space="preserve">(1478), </w:t>
      </w:r>
      <w:r w:rsidR="00FD4F23" w:rsidRPr="26F64964">
        <w:rPr>
          <w:rFonts w:asciiTheme="minorHAnsi" w:eastAsia="Times New Roman" w:hAnsiTheme="minorHAnsi" w:cstheme="minorBidi"/>
          <w:highlight w:val="white"/>
          <w:lang w:val="en-US" w:eastAsia="en-GB"/>
        </w:rPr>
        <w:t>55-61</w:t>
      </w:r>
      <w:r w:rsidR="00FD4F23" w:rsidRPr="26F64964">
        <w:rPr>
          <w:rFonts w:asciiTheme="minorHAnsi" w:eastAsia="Times New Roman" w:hAnsiTheme="minorHAnsi" w:cstheme="minorBidi"/>
          <w:lang w:val="en-US" w:eastAsia="en-GB"/>
        </w:rPr>
        <w:t>.</w:t>
      </w:r>
    </w:p>
    <w:p w14:paraId="4CD89FEA" w14:textId="4A8A04F9" w:rsidR="00F52BE1" w:rsidRPr="003570D2" w:rsidRDefault="00F52BE1" w:rsidP="00413528">
      <w:pPr>
        <w:spacing w:line="240" w:lineRule="auto"/>
        <w:ind w:hanging="720"/>
        <w:rPr>
          <w:rFonts w:asciiTheme="minorHAnsi" w:eastAsia="Times New Roman" w:hAnsiTheme="minorHAnsi" w:cstheme="minorBidi"/>
          <w:lang w:eastAsia="en-GB"/>
        </w:rPr>
      </w:pPr>
      <w:r w:rsidRPr="00F52BE1">
        <w:rPr>
          <w:rFonts w:asciiTheme="minorHAnsi" w:eastAsia="Times New Roman" w:hAnsiTheme="minorHAnsi" w:cstheme="minorBidi"/>
          <w:lang w:eastAsia="en-GB"/>
        </w:rPr>
        <w:t xml:space="preserve">Maroney, K., Curtis, L. M., </w:t>
      </w:r>
      <w:proofErr w:type="spellStart"/>
      <w:r w:rsidRPr="00F52BE1">
        <w:rPr>
          <w:rFonts w:asciiTheme="minorHAnsi" w:eastAsia="Times New Roman" w:hAnsiTheme="minorHAnsi" w:cstheme="minorBidi"/>
          <w:lang w:eastAsia="en-GB"/>
        </w:rPr>
        <w:t>Opsasnick</w:t>
      </w:r>
      <w:proofErr w:type="spellEnd"/>
      <w:r w:rsidRPr="00F52BE1">
        <w:rPr>
          <w:rFonts w:asciiTheme="minorHAnsi" w:eastAsia="Times New Roman" w:hAnsiTheme="minorHAnsi" w:cstheme="minorBidi"/>
          <w:lang w:eastAsia="en-GB"/>
        </w:rPr>
        <w:t>, L., Smith, K. D., Eifler, M. R., Moore, A., Wedd, A., Wolf, M. S., &amp; Patzer, R. E. (2021)</w:t>
      </w:r>
      <w:r>
        <w:rPr>
          <w:rFonts w:asciiTheme="minorHAnsi" w:eastAsia="Times New Roman" w:hAnsiTheme="minorHAnsi" w:cstheme="minorBidi"/>
          <w:lang w:eastAsia="en-GB"/>
        </w:rPr>
        <w:t xml:space="preserve">. </w:t>
      </w:r>
      <w:r w:rsidR="00176BE6" w:rsidRPr="00176BE6">
        <w:rPr>
          <w:rFonts w:asciiTheme="minorHAnsi" w:eastAsia="Times New Roman" w:hAnsiTheme="minorHAnsi" w:cstheme="minorBidi"/>
          <w:lang w:eastAsia="en-GB"/>
        </w:rPr>
        <w:t>eHealth literacy and web‐based patient portal usage among kidney and liver transplant recipients. </w:t>
      </w:r>
      <w:r w:rsidR="00176BE6" w:rsidRPr="00176BE6">
        <w:rPr>
          <w:rFonts w:asciiTheme="minorHAnsi" w:eastAsia="Times New Roman" w:hAnsiTheme="minorHAnsi" w:cstheme="minorBidi"/>
          <w:i/>
          <w:iCs/>
          <w:lang w:eastAsia="en-GB"/>
        </w:rPr>
        <w:t xml:space="preserve">Clinical </w:t>
      </w:r>
      <w:r w:rsidR="00176BE6">
        <w:rPr>
          <w:rFonts w:asciiTheme="minorHAnsi" w:eastAsia="Times New Roman" w:hAnsiTheme="minorHAnsi" w:cstheme="minorBidi"/>
          <w:i/>
          <w:iCs/>
          <w:lang w:eastAsia="en-GB"/>
        </w:rPr>
        <w:t>T</w:t>
      </w:r>
      <w:r w:rsidR="00176BE6" w:rsidRPr="00176BE6">
        <w:rPr>
          <w:rFonts w:asciiTheme="minorHAnsi" w:eastAsia="Times New Roman" w:hAnsiTheme="minorHAnsi" w:cstheme="minorBidi"/>
          <w:i/>
          <w:iCs/>
          <w:lang w:eastAsia="en-GB"/>
        </w:rPr>
        <w:t>ransplantation</w:t>
      </w:r>
      <w:r w:rsidR="00176BE6" w:rsidRPr="00176BE6">
        <w:rPr>
          <w:rFonts w:asciiTheme="minorHAnsi" w:eastAsia="Times New Roman" w:hAnsiTheme="minorHAnsi" w:cstheme="minorBidi"/>
          <w:lang w:eastAsia="en-GB"/>
        </w:rPr>
        <w:t>, </w:t>
      </w:r>
      <w:r w:rsidR="00176BE6" w:rsidRPr="00176BE6">
        <w:rPr>
          <w:rFonts w:asciiTheme="minorHAnsi" w:eastAsia="Times New Roman" w:hAnsiTheme="minorHAnsi" w:cstheme="minorBidi"/>
          <w:i/>
          <w:iCs/>
          <w:lang w:eastAsia="en-GB"/>
        </w:rPr>
        <w:t>35</w:t>
      </w:r>
      <w:r w:rsidR="00176BE6" w:rsidRPr="00176BE6">
        <w:rPr>
          <w:rFonts w:asciiTheme="minorHAnsi" w:eastAsia="Times New Roman" w:hAnsiTheme="minorHAnsi" w:cstheme="minorBidi"/>
          <w:lang w:eastAsia="en-GB"/>
        </w:rPr>
        <w:t>(2), e14184.</w:t>
      </w:r>
    </w:p>
    <w:p w14:paraId="3A91571C" w14:textId="2804C498" w:rsidR="002E76B4" w:rsidRPr="009E12F9" w:rsidRDefault="002E76B4"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eastAsia="en-GB"/>
        </w:rPr>
        <w:t>Martin, T. (2012). Assessing mHealth: opportunities and barriers to patient</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engagement. </w:t>
      </w:r>
      <w:r w:rsidRPr="26F64964">
        <w:rPr>
          <w:rFonts w:asciiTheme="minorHAnsi" w:eastAsia="Times New Roman" w:hAnsiTheme="minorHAnsi" w:cstheme="minorBidi"/>
          <w:i/>
          <w:iCs/>
          <w:highlight w:val="white"/>
          <w:lang w:eastAsia="en-GB"/>
        </w:rPr>
        <w:t xml:space="preserve">Journal of </w:t>
      </w:r>
      <w:r w:rsidR="000A0E81" w:rsidRPr="26F64964">
        <w:rPr>
          <w:rFonts w:asciiTheme="minorHAnsi" w:eastAsia="Times New Roman" w:hAnsiTheme="minorHAnsi" w:cstheme="minorBidi"/>
          <w:i/>
          <w:iCs/>
          <w:highlight w:val="white"/>
          <w:lang w:eastAsia="en-GB"/>
        </w:rPr>
        <w:t>H</w:t>
      </w:r>
      <w:r w:rsidRPr="26F64964">
        <w:rPr>
          <w:rFonts w:asciiTheme="minorHAnsi" w:eastAsia="Times New Roman" w:hAnsiTheme="minorHAnsi" w:cstheme="minorBidi"/>
          <w:i/>
          <w:iCs/>
          <w:highlight w:val="white"/>
          <w:lang w:eastAsia="en-GB"/>
        </w:rPr>
        <w:t xml:space="preserve">ealth </w:t>
      </w:r>
      <w:r w:rsidR="000A0E81" w:rsidRPr="26F64964">
        <w:rPr>
          <w:rFonts w:asciiTheme="minorHAnsi" w:eastAsia="Times New Roman" w:hAnsiTheme="minorHAnsi" w:cstheme="minorBidi"/>
          <w:i/>
          <w:iCs/>
          <w:highlight w:val="white"/>
          <w:lang w:eastAsia="en-GB"/>
        </w:rPr>
        <w:t>C</w:t>
      </w:r>
      <w:r w:rsidRPr="26F64964">
        <w:rPr>
          <w:rFonts w:asciiTheme="minorHAnsi" w:eastAsia="Times New Roman" w:hAnsiTheme="minorHAnsi" w:cstheme="minorBidi"/>
          <w:i/>
          <w:iCs/>
          <w:highlight w:val="white"/>
          <w:lang w:eastAsia="en-GB"/>
        </w:rPr>
        <w:t xml:space="preserve">are for the </w:t>
      </w:r>
      <w:r w:rsidR="000A0E81" w:rsidRPr="26F64964">
        <w:rPr>
          <w:rFonts w:asciiTheme="minorHAnsi" w:eastAsia="Times New Roman" w:hAnsiTheme="minorHAnsi" w:cstheme="minorBidi"/>
          <w:i/>
          <w:iCs/>
          <w:highlight w:val="white"/>
          <w:lang w:eastAsia="en-GB"/>
        </w:rPr>
        <w:t>P</w:t>
      </w:r>
      <w:r w:rsidRPr="26F64964">
        <w:rPr>
          <w:rFonts w:asciiTheme="minorHAnsi" w:eastAsia="Times New Roman" w:hAnsiTheme="minorHAnsi" w:cstheme="minorBidi"/>
          <w:i/>
          <w:iCs/>
          <w:highlight w:val="white"/>
          <w:lang w:eastAsia="en-GB"/>
        </w:rPr>
        <w:t xml:space="preserve">oor and </w:t>
      </w:r>
      <w:r w:rsidR="000A0E81" w:rsidRPr="26F64964">
        <w:rPr>
          <w:rFonts w:asciiTheme="minorHAnsi" w:eastAsia="Times New Roman" w:hAnsiTheme="minorHAnsi" w:cstheme="minorBidi"/>
          <w:i/>
          <w:iCs/>
          <w:highlight w:val="white"/>
          <w:lang w:eastAsia="en-GB"/>
        </w:rPr>
        <w:t>U</w:t>
      </w:r>
      <w:r w:rsidRPr="26F64964">
        <w:rPr>
          <w:rFonts w:asciiTheme="minorHAnsi" w:eastAsia="Times New Roman" w:hAnsiTheme="minorHAnsi" w:cstheme="minorBidi"/>
          <w:i/>
          <w:iCs/>
          <w:highlight w:val="white"/>
          <w:lang w:eastAsia="en-GB"/>
        </w:rPr>
        <w:t>nderserved</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23</w:t>
      </w:r>
      <w:r w:rsidRPr="26F64964">
        <w:rPr>
          <w:rFonts w:asciiTheme="minorHAnsi" w:eastAsia="Times New Roman" w:hAnsiTheme="minorHAnsi" w:cstheme="minorBidi"/>
          <w:highlight w:val="white"/>
          <w:lang w:eastAsia="en-GB"/>
        </w:rPr>
        <w:t>(3), 935-941</w:t>
      </w:r>
      <w:r w:rsidRPr="26F64964">
        <w:rPr>
          <w:rFonts w:asciiTheme="minorHAnsi" w:eastAsia="Times New Roman" w:hAnsiTheme="minorHAnsi" w:cstheme="minorBidi"/>
          <w:lang w:eastAsia="en-GB"/>
        </w:rPr>
        <w:t>.</w:t>
      </w:r>
    </w:p>
    <w:p w14:paraId="682D4D32" w14:textId="64EDF66F" w:rsidR="00A31269" w:rsidRPr="009E12F9" w:rsidRDefault="00A31269" w:rsidP="00413528">
      <w:pPr>
        <w:spacing w:line="240" w:lineRule="auto"/>
        <w:ind w:hanging="720"/>
        <w:rPr>
          <w:rFonts w:asciiTheme="minorHAnsi" w:eastAsia="Times New Roman" w:hAnsiTheme="minorHAnsi" w:cstheme="minorBidi"/>
          <w:lang w:val="en-US" w:eastAsia="en-GB"/>
        </w:rPr>
      </w:pPr>
      <w:r w:rsidRPr="6A640EE8">
        <w:rPr>
          <w:rFonts w:asciiTheme="minorHAnsi" w:eastAsia="Times New Roman" w:hAnsiTheme="minorHAnsi" w:cstheme="minorBidi"/>
          <w:highlight w:val="white"/>
          <w:lang w:val="en-US" w:eastAsia="en-GB"/>
        </w:rPr>
        <w:t xml:space="preserve">Mathur, S., </w:t>
      </w:r>
      <w:proofErr w:type="spellStart"/>
      <w:r w:rsidRPr="6A640EE8">
        <w:rPr>
          <w:rFonts w:asciiTheme="minorHAnsi" w:eastAsia="Times New Roman" w:hAnsiTheme="minorHAnsi" w:cstheme="minorBidi"/>
          <w:highlight w:val="white"/>
          <w:lang w:val="en-US" w:eastAsia="en-GB"/>
        </w:rPr>
        <w:t>Janaudis</w:t>
      </w:r>
      <w:proofErr w:type="spellEnd"/>
      <w:r w:rsidRPr="6A640EE8">
        <w:rPr>
          <w:rFonts w:asciiTheme="minorHAnsi" w:eastAsia="Times New Roman" w:hAnsiTheme="minorHAnsi" w:cstheme="minorBidi"/>
          <w:highlight w:val="white"/>
          <w:lang w:val="en-US" w:eastAsia="en-GB"/>
        </w:rPr>
        <w:t xml:space="preserve">-Ferreira, T., Hemphill, J., </w:t>
      </w:r>
      <w:proofErr w:type="spellStart"/>
      <w:r w:rsidRPr="6A640EE8">
        <w:rPr>
          <w:rFonts w:asciiTheme="minorHAnsi" w:eastAsia="Times New Roman" w:hAnsiTheme="minorHAnsi" w:cstheme="minorBidi"/>
          <w:highlight w:val="white"/>
          <w:lang w:val="en-US" w:eastAsia="en-GB"/>
        </w:rPr>
        <w:t>Cafazzo</w:t>
      </w:r>
      <w:proofErr w:type="spellEnd"/>
      <w:r w:rsidRPr="6A640EE8">
        <w:rPr>
          <w:rFonts w:asciiTheme="minorHAnsi" w:eastAsia="Times New Roman" w:hAnsiTheme="minorHAnsi" w:cstheme="minorBidi"/>
          <w:highlight w:val="white"/>
          <w:lang w:val="en-US" w:eastAsia="en-GB"/>
        </w:rPr>
        <w:t xml:space="preserve">, J. A., Hart, D., Holdsworth, S., Lovas, M., &amp; Wickerson, L. (2021). User-centered design features for digital health applications to support physical activity behaviors in solid organ transplant recipients: A qualitative study. </w:t>
      </w:r>
      <w:r w:rsidRPr="6A640EE8">
        <w:rPr>
          <w:rFonts w:asciiTheme="minorHAnsi" w:eastAsia="Times New Roman" w:hAnsiTheme="minorHAnsi" w:cstheme="minorBidi"/>
          <w:i/>
          <w:highlight w:val="white"/>
          <w:lang w:val="en-US" w:eastAsia="en-GB"/>
        </w:rPr>
        <w:t xml:space="preserve">Clinical </w:t>
      </w:r>
      <w:r w:rsidR="000A0E81" w:rsidRPr="6A640EE8">
        <w:rPr>
          <w:rFonts w:asciiTheme="minorHAnsi" w:eastAsia="Times New Roman" w:hAnsiTheme="minorHAnsi" w:cstheme="minorBidi"/>
          <w:i/>
          <w:highlight w:val="white"/>
          <w:lang w:val="en-US" w:eastAsia="en-GB"/>
        </w:rPr>
        <w:t>T</w:t>
      </w:r>
      <w:r w:rsidRPr="6A640EE8">
        <w:rPr>
          <w:rFonts w:asciiTheme="minorHAnsi" w:eastAsia="Times New Roman" w:hAnsiTheme="minorHAnsi" w:cstheme="minorBidi"/>
          <w:i/>
          <w:highlight w:val="white"/>
          <w:lang w:val="en-US" w:eastAsia="en-GB"/>
        </w:rPr>
        <w:t>ransplantation</w:t>
      </w:r>
      <w:r w:rsidR="00FA7D2C" w:rsidRPr="6A640EE8">
        <w:rPr>
          <w:rFonts w:asciiTheme="minorHAnsi" w:eastAsia="Times New Roman" w:hAnsiTheme="minorHAnsi" w:cstheme="minorBidi"/>
          <w:i/>
          <w:highlight w:val="white"/>
          <w:lang w:val="en-US" w:eastAsia="en-GB"/>
        </w:rPr>
        <w:t>,</w:t>
      </w:r>
      <w:r w:rsidR="00FA7D2C" w:rsidRPr="6A640EE8">
        <w:rPr>
          <w:rFonts w:asciiTheme="minorHAnsi" w:eastAsia="Times New Roman" w:hAnsiTheme="minorHAnsi" w:cstheme="minorBidi"/>
          <w:i/>
          <w:iCs/>
          <w:highlight w:val="white"/>
          <w:lang w:val="en-US" w:eastAsia="en-GB"/>
        </w:rPr>
        <w:t xml:space="preserve"> </w:t>
      </w:r>
      <w:r w:rsidR="00FA7D2C" w:rsidRPr="6A640EE8">
        <w:rPr>
          <w:rFonts w:asciiTheme="minorHAnsi" w:eastAsia="Times New Roman" w:hAnsiTheme="minorHAnsi" w:cstheme="minorBidi"/>
          <w:i/>
          <w:highlight w:val="white"/>
          <w:lang w:val="en-US" w:eastAsia="en-GB"/>
        </w:rPr>
        <w:t>35</w:t>
      </w:r>
      <w:r w:rsidR="00FA7D2C" w:rsidRPr="6A640EE8">
        <w:rPr>
          <w:rFonts w:asciiTheme="minorHAnsi" w:eastAsia="Times New Roman" w:hAnsiTheme="minorHAnsi" w:cstheme="minorBidi"/>
          <w:highlight w:val="white"/>
          <w:lang w:val="en-US" w:eastAsia="en-GB"/>
        </w:rPr>
        <w:t>(12)</w:t>
      </w:r>
      <w:r w:rsidR="00EB6CA5" w:rsidRPr="6A640EE8">
        <w:rPr>
          <w:rFonts w:asciiTheme="minorHAnsi" w:eastAsia="Times New Roman" w:hAnsiTheme="minorHAnsi" w:cstheme="minorBidi"/>
          <w:highlight w:val="white"/>
          <w:lang w:val="en-US" w:eastAsia="en-GB"/>
        </w:rPr>
        <w:t xml:space="preserve">, </w:t>
      </w:r>
      <w:r w:rsidR="00F64A56" w:rsidRPr="6A640EE8">
        <w:rPr>
          <w:rFonts w:asciiTheme="minorHAnsi" w:eastAsia="Times New Roman" w:hAnsiTheme="minorHAnsi" w:cstheme="minorBidi"/>
          <w:highlight w:val="white"/>
          <w:lang w:val="en-US" w:eastAsia="en-GB"/>
        </w:rPr>
        <w:t xml:space="preserve">Article </w:t>
      </w:r>
      <w:r w:rsidR="00EB6CA5" w:rsidRPr="6A640EE8">
        <w:rPr>
          <w:rFonts w:asciiTheme="minorHAnsi" w:eastAsia="Times New Roman" w:hAnsiTheme="minorHAnsi" w:cstheme="minorBidi"/>
          <w:highlight w:val="white"/>
          <w:lang w:val="en-US" w:eastAsia="en-GB"/>
        </w:rPr>
        <w:t>e14472.</w:t>
      </w:r>
    </w:p>
    <w:p w14:paraId="2A15398E" w14:textId="2903FEB1" w:rsidR="003931A6" w:rsidRPr="009E12F9" w:rsidRDefault="003931A6"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Martin</w:t>
      </w:r>
      <w:r w:rsidR="004D1FD0" w:rsidRPr="26F64964">
        <w:rPr>
          <w:rFonts w:asciiTheme="minorHAnsi" w:eastAsia="Times New Roman" w:hAnsiTheme="minorHAnsi" w:cstheme="minorBidi"/>
          <w:highlight w:val="white"/>
          <w:lang w:val="en-US" w:eastAsia="en-GB"/>
        </w:rPr>
        <w:t xml:space="preserve">ez, M. (2022). </w:t>
      </w:r>
      <w:r w:rsidR="00B97CCE" w:rsidRPr="26F64964">
        <w:rPr>
          <w:rFonts w:asciiTheme="minorHAnsi" w:eastAsia="Times New Roman" w:hAnsiTheme="minorHAnsi" w:cstheme="minorBidi"/>
          <w:i/>
          <w:iCs/>
          <w:highlight w:val="white"/>
          <w:lang w:val="en-US" w:eastAsia="en-GB"/>
        </w:rPr>
        <w:t xml:space="preserve">Conceptual research vs empirical </w:t>
      </w:r>
      <w:proofErr w:type="gramStart"/>
      <w:r w:rsidR="00B97CCE" w:rsidRPr="26F64964">
        <w:rPr>
          <w:rFonts w:asciiTheme="minorHAnsi" w:eastAsia="Times New Roman" w:hAnsiTheme="minorHAnsi" w:cstheme="minorBidi"/>
          <w:i/>
          <w:iCs/>
          <w:highlight w:val="white"/>
          <w:lang w:val="en-US" w:eastAsia="en-GB"/>
        </w:rPr>
        <w:t>research?</w:t>
      </w:r>
      <w:r w:rsidR="001B0AE1" w:rsidRPr="26F64964">
        <w:rPr>
          <w:rFonts w:asciiTheme="minorHAnsi" w:eastAsia="Times New Roman" w:hAnsiTheme="minorHAnsi" w:cstheme="minorBidi"/>
          <w:i/>
          <w:iCs/>
          <w:highlight w:val="white"/>
          <w:lang w:val="en-US" w:eastAsia="en-GB"/>
        </w:rPr>
        <w:t>.</w:t>
      </w:r>
      <w:proofErr w:type="gramEnd"/>
      <w:r w:rsidR="001B0AE1" w:rsidRPr="26F64964">
        <w:rPr>
          <w:rFonts w:asciiTheme="minorHAnsi" w:eastAsia="Times New Roman" w:hAnsiTheme="minorHAnsi" w:cstheme="minorBidi"/>
          <w:highlight w:val="white"/>
          <w:lang w:val="en-US" w:eastAsia="en-GB"/>
        </w:rPr>
        <w:t xml:space="preserve"> Conduct</w:t>
      </w:r>
      <w:r w:rsidR="00F2773B" w:rsidRPr="26F64964">
        <w:rPr>
          <w:rFonts w:asciiTheme="minorHAnsi" w:eastAsia="Times New Roman" w:hAnsiTheme="minorHAnsi" w:cstheme="minorBidi"/>
          <w:highlight w:val="white"/>
          <w:lang w:val="en-US" w:eastAsia="en-GB"/>
        </w:rPr>
        <w:t xml:space="preserve"> Science</w:t>
      </w:r>
      <w:r w:rsidR="001B0AE1" w:rsidRPr="26F64964">
        <w:rPr>
          <w:rFonts w:asciiTheme="minorHAnsi" w:eastAsia="Times New Roman" w:hAnsiTheme="minorHAnsi" w:cstheme="minorBidi"/>
          <w:highlight w:val="white"/>
          <w:lang w:val="en-US" w:eastAsia="en-GB"/>
        </w:rPr>
        <w:t>.</w:t>
      </w:r>
      <w:r w:rsidR="001B0AE1" w:rsidRPr="26F64964">
        <w:rPr>
          <w:rFonts w:asciiTheme="minorHAnsi" w:eastAsia="Times New Roman" w:hAnsiTheme="minorHAnsi" w:cstheme="minorBidi"/>
          <w:lang w:val="en-US" w:eastAsia="en-GB"/>
        </w:rPr>
        <w:t xml:space="preserve"> </w:t>
      </w:r>
      <w:hyperlink r:id="rId20">
        <w:r w:rsidR="001B0AE1" w:rsidRPr="26F64964">
          <w:rPr>
            <w:rStyle w:val="Hyperlink"/>
            <w:rFonts w:asciiTheme="minorHAnsi" w:eastAsia="Times New Roman" w:hAnsiTheme="minorHAnsi" w:cstheme="minorBidi"/>
            <w:color w:val="auto"/>
            <w:highlight w:val="white"/>
            <w:lang w:val="en-US" w:eastAsia="en-GB"/>
          </w:rPr>
          <w:t>https://conductscience.com/conceptual-research-vs-empirical-research</w:t>
        </w:r>
        <w:r w:rsidR="001B0AE1" w:rsidRPr="26F64964">
          <w:rPr>
            <w:rStyle w:val="Hyperlink"/>
            <w:rFonts w:asciiTheme="minorHAnsi" w:eastAsia="Times New Roman" w:hAnsiTheme="minorHAnsi" w:cstheme="minorBidi"/>
            <w:color w:val="auto"/>
            <w:lang w:val="en-US" w:eastAsia="en-GB"/>
          </w:rPr>
          <w:t>/</w:t>
        </w:r>
      </w:hyperlink>
      <w:r w:rsidR="001B0AE1" w:rsidRPr="26F64964">
        <w:rPr>
          <w:rFonts w:asciiTheme="minorHAnsi" w:eastAsia="Times New Roman" w:hAnsiTheme="minorHAnsi" w:cstheme="minorBidi"/>
          <w:lang w:val="en-US" w:eastAsia="en-GB"/>
        </w:rPr>
        <w:t xml:space="preserve"> </w:t>
      </w:r>
    </w:p>
    <w:p w14:paraId="2CF75AE5" w14:textId="09FC1029" w:rsidR="00A31269" w:rsidRPr="009E12F9" w:rsidRDefault="00A31269" w:rsidP="00413528">
      <w:pPr>
        <w:spacing w:line="240" w:lineRule="auto"/>
        <w:ind w:hanging="720"/>
        <w:rPr>
          <w:rFonts w:asciiTheme="minorHAnsi" w:eastAsia="Times New Roman" w:hAnsiTheme="minorHAnsi" w:cstheme="minorBidi"/>
          <w:lang w:val="en-US" w:eastAsia="en-GB"/>
        </w:rPr>
      </w:pPr>
      <w:r w:rsidRPr="6A640EE8">
        <w:rPr>
          <w:rFonts w:asciiTheme="minorHAnsi" w:eastAsia="Times New Roman" w:hAnsiTheme="minorHAnsi" w:cstheme="minorBidi"/>
          <w:highlight w:val="white"/>
          <w:lang w:val="en-US" w:eastAsia="en-GB"/>
        </w:rPr>
        <w:t>McGillicuddy, J. W., Weiland, A. K., Frenzel, R. M., Mueller, M., Brunner-Jackson, B. M., Taber, D. J., Baliga, P. K., &amp; Treiber, F. A. (2013). Patient attitudes toward mobile phone-based health monitoring: questionnaire study among kidney transplant recipients. </w:t>
      </w:r>
      <w:r w:rsidRPr="6A640EE8">
        <w:rPr>
          <w:rFonts w:asciiTheme="minorHAnsi" w:eastAsia="Times New Roman" w:hAnsiTheme="minorHAnsi" w:cstheme="minorBidi"/>
          <w:i/>
          <w:highlight w:val="white"/>
          <w:lang w:val="en-US" w:eastAsia="en-GB"/>
        </w:rPr>
        <w:t xml:space="preserve">Journal of </w:t>
      </w:r>
      <w:r w:rsidR="000A0E81" w:rsidRPr="6A640EE8">
        <w:rPr>
          <w:rFonts w:asciiTheme="minorHAnsi" w:eastAsia="Times New Roman" w:hAnsiTheme="minorHAnsi" w:cstheme="minorBidi"/>
          <w:i/>
          <w:highlight w:val="white"/>
          <w:lang w:val="en-US" w:eastAsia="en-GB"/>
        </w:rPr>
        <w:t>M</w:t>
      </w:r>
      <w:r w:rsidRPr="6A640EE8">
        <w:rPr>
          <w:rFonts w:asciiTheme="minorHAnsi" w:eastAsia="Times New Roman" w:hAnsiTheme="minorHAnsi" w:cstheme="minorBidi"/>
          <w:i/>
          <w:highlight w:val="white"/>
          <w:lang w:val="en-US" w:eastAsia="en-GB"/>
        </w:rPr>
        <w:t xml:space="preserve">edical Internet </w:t>
      </w:r>
      <w:r w:rsidR="000A0E81" w:rsidRPr="6A640EE8">
        <w:rPr>
          <w:rFonts w:asciiTheme="minorHAnsi" w:eastAsia="Times New Roman" w:hAnsiTheme="minorHAnsi" w:cstheme="minorBidi"/>
          <w:i/>
          <w:highlight w:val="white"/>
          <w:lang w:val="en-US" w:eastAsia="en-GB"/>
        </w:rPr>
        <w:t>R</w:t>
      </w:r>
      <w:r w:rsidRPr="6A640EE8">
        <w:rPr>
          <w:rFonts w:asciiTheme="minorHAnsi" w:eastAsia="Times New Roman" w:hAnsiTheme="minorHAnsi" w:cstheme="minorBidi"/>
          <w:i/>
          <w:highlight w:val="white"/>
          <w:lang w:val="en-US" w:eastAsia="en-GB"/>
        </w:rPr>
        <w:t>esearch</w:t>
      </w:r>
      <w:r w:rsidRPr="6A640EE8">
        <w:rPr>
          <w:rFonts w:asciiTheme="minorHAnsi" w:eastAsia="Times New Roman" w:hAnsiTheme="minorHAnsi" w:cstheme="minorBidi"/>
          <w:highlight w:val="white"/>
          <w:lang w:val="en-US" w:eastAsia="en-GB"/>
        </w:rPr>
        <w:t>, </w:t>
      </w:r>
      <w:r w:rsidRPr="6A640EE8">
        <w:rPr>
          <w:rFonts w:asciiTheme="minorHAnsi" w:eastAsia="Times New Roman" w:hAnsiTheme="minorHAnsi" w:cstheme="minorBidi"/>
          <w:i/>
          <w:highlight w:val="white"/>
          <w:lang w:val="en-US" w:eastAsia="en-GB"/>
        </w:rPr>
        <w:t>15</w:t>
      </w:r>
      <w:r w:rsidRPr="6A640EE8">
        <w:rPr>
          <w:rFonts w:asciiTheme="minorHAnsi" w:eastAsia="Times New Roman" w:hAnsiTheme="minorHAnsi" w:cstheme="minorBidi"/>
          <w:highlight w:val="white"/>
          <w:lang w:val="en-US" w:eastAsia="en-GB"/>
        </w:rPr>
        <w:t xml:space="preserve">(1), </w:t>
      </w:r>
      <w:r w:rsidR="00F64A56" w:rsidRPr="6A640EE8">
        <w:rPr>
          <w:rFonts w:asciiTheme="minorHAnsi" w:eastAsia="Times New Roman" w:hAnsiTheme="minorHAnsi" w:cstheme="minorBidi"/>
          <w:highlight w:val="white"/>
          <w:lang w:val="en-US" w:eastAsia="en-GB"/>
        </w:rPr>
        <w:t xml:space="preserve">Article </w:t>
      </w:r>
      <w:r w:rsidRPr="6A640EE8">
        <w:rPr>
          <w:rFonts w:asciiTheme="minorHAnsi" w:eastAsia="Times New Roman" w:hAnsiTheme="minorHAnsi" w:cstheme="minorBidi"/>
          <w:highlight w:val="white"/>
          <w:lang w:val="en-US" w:eastAsia="en-GB"/>
        </w:rPr>
        <w:t>e2284.</w:t>
      </w:r>
    </w:p>
    <w:p w14:paraId="232116E7" w14:textId="7641101A" w:rsidR="008D4222" w:rsidRPr="009E12F9" w:rsidRDefault="008D4222"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eastAsia="en-GB"/>
        </w:rPr>
        <w:t>Messner, E. M., Probst, T., O’Rourke, T., Stoyanov, S., &amp; Baumeister, H. (2019).</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mHealth applications: potentials, limitations, current quality and future</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directions. </w:t>
      </w:r>
      <w:r w:rsidRPr="26F64964">
        <w:rPr>
          <w:rFonts w:asciiTheme="minorHAnsi" w:eastAsia="Times New Roman" w:hAnsiTheme="minorHAnsi" w:cstheme="minorBidi"/>
          <w:i/>
          <w:iCs/>
          <w:highlight w:val="white"/>
          <w:lang w:eastAsia="en-GB"/>
        </w:rPr>
        <w:t xml:space="preserve">Digital </w:t>
      </w:r>
      <w:r w:rsidR="00B61006" w:rsidRPr="26F64964">
        <w:rPr>
          <w:rFonts w:asciiTheme="minorHAnsi" w:eastAsia="Times New Roman" w:hAnsiTheme="minorHAnsi" w:cstheme="minorBidi"/>
          <w:i/>
          <w:iCs/>
          <w:highlight w:val="white"/>
          <w:lang w:eastAsia="en-GB"/>
        </w:rPr>
        <w:t xml:space="preserve">Phenotyping and Mobile Sensing: </w:t>
      </w:r>
      <w:r w:rsidRPr="26F64964">
        <w:rPr>
          <w:rFonts w:asciiTheme="minorHAnsi" w:eastAsia="Times New Roman" w:hAnsiTheme="minorHAnsi" w:cstheme="minorBidi"/>
          <w:i/>
          <w:iCs/>
          <w:highlight w:val="white"/>
          <w:lang w:eastAsia="en-GB"/>
        </w:rPr>
        <w:t xml:space="preserve">New </w:t>
      </w:r>
      <w:r w:rsidR="00B61006" w:rsidRPr="26F64964">
        <w:rPr>
          <w:rFonts w:asciiTheme="minorHAnsi" w:eastAsia="Times New Roman" w:hAnsiTheme="minorHAnsi" w:cstheme="minorBidi"/>
          <w:i/>
          <w:iCs/>
          <w:highlight w:val="white"/>
          <w:lang w:eastAsia="en-GB"/>
        </w:rPr>
        <w:t>Developments in</w:t>
      </w:r>
      <w:r w:rsidR="00B61006" w:rsidRPr="26F64964">
        <w:rPr>
          <w:rFonts w:asciiTheme="minorHAnsi" w:eastAsia="Times New Roman" w:hAnsiTheme="minorHAnsi" w:cstheme="minorBidi"/>
          <w:i/>
          <w:iCs/>
          <w:lang w:eastAsia="en-GB"/>
        </w:rPr>
        <w:t xml:space="preserve"> </w:t>
      </w:r>
      <w:proofErr w:type="spellStart"/>
      <w:r w:rsidR="00B61006" w:rsidRPr="26F64964">
        <w:rPr>
          <w:rFonts w:asciiTheme="minorHAnsi" w:eastAsia="Times New Roman" w:hAnsiTheme="minorHAnsi" w:cstheme="minorBidi"/>
          <w:i/>
          <w:iCs/>
          <w:highlight w:val="white"/>
          <w:lang w:eastAsia="en-GB"/>
        </w:rPr>
        <w:t>Psychoinformatics</w:t>
      </w:r>
      <w:proofErr w:type="spellEnd"/>
      <w:r w:rsidR="00B61006" w:rsidRPr="26F64964">
        <w:rPr>
          <w:rFonts w:asciiTheme="minorHAnsi" w:eastAsia="Times New Roman" w:hAnsiTheme="minorHAnsi" w:cstheme="minorBidi"/>
          <w:highlight w:val="white"/>
          <w:lang w:eastAsia="en-GB"/>
        </w:rPr>
        <w:t xml:space="preserve">, </w:t>
      </w:r>
      <w:r w:rsidRPr="26F64964">
        <w:rPr>
          <w:rFonts w:asciiTheme="minorHAnsi" w:eastAsia="Times New Roman" w:hAnsiTheme="minorHAnsi" w:cstheme="minorBidi"/>
          <w:highlight w:val="white"/>
          <w:lang w:eastAsia="en-GB"/>
        </w:rPr>
        <w:t>235-248</w:t>
      </w:r>
      <w:r w:rsidRPr="26F64964">
        <w:rPr>
          <w:rFonts w:asciiTheme="minorHAnsi" w:eastAsia="Times New Roman" w:hAnsiTheme="minorHAnsi" w:cstheme="minorBidi"/>
          <w:lang w:eastAsia="en-GB"/>
        </w:rPr>
        <w:t>.</w:t>
      </w:r>
    </w:p>
    <w:p w14:paraId="2866D3F7" w14:textId="6C381D84" w:rsidR="00A31269" w:rsidRPr="009E12F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Moher, D., Liberati, A., Tetzlaff, J., Altman, D. G., &amp; PRISMA Group, T. (</w:t>
      </w:r>
      <w:r w:rsidR="0001578A">
        <w:rPr>
          <w:rFonts w:asciiTheme="minorHAnsi" w:eastAsia="Times New Roman" w:hAnsiTheme="minorHAnsi" w:cstheme="minorBidi"/>
          <w:highlight w:val="white"/>
          <w:lang w:val="en-US" w:eastAsia="en-GB"/>
        </w:rPr>
        <w:t>2020</w:t>
      </w:r>
      <w:r w:rsidRPr="26F64964">
        <w:rPr>
          <w:rFonts w:asciiTheme="minorHAnsi" w:eastAsia="Times New Roman" w:hAnsiTheme="minorHAnsi" w:cstheme="minorBidi"/>
          <w:highlight w:val="white"/>
          <w:lang w:val="en-US" w:eastAsia="en-GB"/>
        </w:rPr>
        <w:t>).</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Preferred reporting items for systematic reviews and meta-analyses: the PRISMA</w:t>
      </w:r>
      <w:r w:rsidRPr="26F64964">
        <w:rPr>
          <w:rFonts w:asciiTheme="minorHAnsi" w:eastAsia="Times New Roman" w:hAnsiTheme="minorHAnsi" w:cstheme="minorBidi"/>
          <w:lang w:val="en-US" w:eastAsia="en-GB"/>
        </w:rPr>
        <w:t xml:space="preserve"> </w:t>
      </w:r>
      <w:r w:rsidRPr="26F64964">
        <w:rPr>
          <w:rFonts w:asciiTheme="minorHAnsi" w:eastAsia="Times New Roman" w:hAnsiTheme="minorHAnsi" w:cstheme="minorBidi"/>
          <w:highlight w:val="white"/>
          <w:lang w:val="en-US" w:eastAsia="en-GB"/>
        </w:rPr>
        <w:t>statement. </w:t>
      </w:r>
      <w:r w:rsidRPr="26F64964">
        <w:rPr>
          <w:rFonts w:asciiTheme="minorHAnsi" w:eastAsia="Times New Roman" w:hAnsiTheme="minorHAnsi" w:cstheme="minorBidi"/>
          <w:i/>
          <w:iCs/>
          <w:highlight w:val="white"/>
          <w:lang w:val="en-US" w:eastAsia="en-GB"/>
        </w:rPr>
        <w:t xml:space="preserve">Annals of </w:t>
      </w:r>
      <w:r w:rsidR="000A0E81" w:rsidRPr="26F64964">
        <w:rPr>
          <w:rFonts w:asciiTheme="minorHAnsi" w:eastAsia="Times New Roman" w:hAnsiTheme="minorHAnsi" w:cstheme="minorBidi"/>
          <w:i/>
          <w:iCs/>
          <w:highlight w:val="white"/>
          <w:lang w:val="en-US" w:eastAsia="en-GB"/>
        </w:rPr>
        <w:t>I</w:t>
      </w:r>
      <w:r w:rsidRPr="26F64964">
        <w:rPr>
          <w:rFonts w:asciiTheme="minorHAnsi" w:eastAsia="Times New Roman" w:hAnsiTheme="minorHAnsi" w:cstheme="minorBidi"/>
          <w:i/>
          <w:iCs/>
          <w:highlight w:val="white"/>
          <w:lang w:val="en-US" w:eastAsia="en-GB"/>
        </w:rPr>
        <w:t xml:space="preserve">nternal </w:t>
      </w:r>
      <w:r w:rsidR="000A0E81" w:rsidRPr="26F64964">
        <w:rPr>
          <w:rFonts w:asciiTheme="minorHAnsi" w:eastAsia="Times New Roman" w:hAnsiTheme="minorHAnsi" w:cstheme="minorBidi"/>
          <w:i/>
          <w:iCs/>
          <w:highlight w:val="white"/>
          <w:lang w:val="en-US" w:eastAsia="en-GB"/>
        </w:rPr>
        <w:t>M</w:t>
      </w:r>
      <w:r w:rsidRPr="26F64964">
        <w:rPr>
          <w:rFonts w:asciiTheme="minorHAnsi" w:eastAsia="Times New Roman" w:hAnsiTheme="minorHAnsi" w:cstheme="minorBidi"/>
          <w:i/>
          <w:iCs/>
          <w:highlight w:val="white"/>
          <w:lang w:val="en-US" w:eastAsia="en-GB"/>
        </w:rPr>
        <w:t>edicine</w:t>
      </w:r>
      <w:r w:rsidRPr="26F64964">
        <w:rPr>
          <w:rFonts w:asciiTheme="minorHAnsi" w:eastAsia="Times New Roman" w:hAnsiTheme="minorHAnsi" w:cstheme="minorBidi"/>
          <w:highlight w:val="white"/>
          <w:lang w:val="en-US" w:eastAsia="en-GB"/>
        </w:rPr>
        <w:t>, </w:t>
      </w:r>
      <w:r w:rsidRPr="26F64964">
        <w:rPr>
          <w:rFonts w:asciiTheme="minorHAnsi" w:eastAsia="Times New Roman" w:hAnsiTheme="minorHAnsi" w:cstheme="minorBidi"/>
          <w:i/>
          <w:iCs/>
          <w:highlight w:val="white"/>
          <w:lang w:val="en-US" w:eastAsia="en-GB"/>
        </w:rPr>
        <w:t>151</w:t>
      </w:r>
      <w:r w:rsidRPr="26F64964">
        <w:rPr>
          <w:rFonts w:asciiTheme="minorHAnsi" w:eastAsia="Times New Roman" w:hAnsiTheme="minorHAnsi" w:cstheme="minorBidi"/>
          <w:highlight w:val="white"/>
          <w:lang w:val="en-US" w:eastAsia="en-GB"/>
        </w:rPr>
        <w:t>(4), 264-269</w:t>
      </w:r>
      <w:r w:rsidRPr="26F64964">
        <w:rPr>
          <w:rFonts w:asciiTheme="minorHAnsi" w:eastAsia="Times New Roman" w:hAnsiTheme="minorHAnsi" w:cstheme="minorBidi"/>
          <w:lang w:val="en-US" w:eastAsia="en-GB"/>
        </w:rPr>
        <w:t>.</w:t>
      </w:r>
    </w:p>
    <w:p w14:paraId="1F714628" w14:textId="6C051435" w:rsidR="0035766F" w:rsidRDefault="0035766F"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Moore, D. R., Feurer, I. D., Zavala, E. Y., Shaffer, D., Karp, S., Hoy, H., &amp; Moore, D. E.</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(2013). A web-based application for initial screening of living kidney donors:</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development, implementation and evaluation. </w:t>
      </w:r>
      <w:r w:rsidRPr="26F64964">
        <w:rPr>
          <w:rFonts w:asciiTheme="minorHAnsi" w:eastAsia="Times New Roman" w:hAnsiTheme="minorHAnsi" w:cstheme="minorBidi"/>
          <w:i/>
          <w:iCs/>
          <w:highlight w:val="white"/>
          <w:lang w:eastAsia="en-GB"/>
        </w:rPr>
        <w:t>American Journal of</w:t>
      </w:r>
      <w:r w:rsidRPr="26F64964">
        <w:rPr>
          <w:rFonts w:asciiTheme="minorHAnsi" w:eastAsia="Times New Roman" w:hAnsiTheme="minorHAnsi" w:cstheme="minorBidi"/>
          <w:i/>
          <w:iCs/>
          <w:lang w:eastAsia="en-GB"/>
        </w:rPr>
        <w:t xml:space="preserve"> </w:t>
      </w:r>
      <w:r w:rsidRPr="26F64964">
        <w:rPr>
          <w:rFonts w:asciiTheme="minorHAnsi" w:eastAsia="Times New Roman" w:hAnsiTheme="minorHAnsi" w:cstheme="minorBidi"/>
          <w:i/>
          <w:iCs/>
          <w:highlight w:val="white"/>
          <w:lang w:eastAsia="en-GB"/>
        </w:rPr>
        <w:t>Transplantation</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13</w:t>
      </w:r>
      <w:r w:rsidRPr="26F64964">
        <w:rPr>
          <w:rFonts w:asciiTheme="minorHAnsi" w:eastAsia="Times New Roman" w:hAnsiTheme="minorHAnsi" w:cstheme="minorBidi"/>
          <w:highlight w:val="white"/>
          <w:lang w:eastAsia="en-GB"/>
        </w:rPr>
        <w:t>(2), 450-457</w:t>
      </w:r>
      <w:r w:rsidRPr="26F64964">
        <w:rPr>
          <w:rFonts w:asciiTheme="minorHAnsi" w:eastAsia="Times New Roman" w:hAnsiTheme="minorHAnsi" w:cstheme="minorBidi"/>
          <w:lang w:eastAsia="en-GB"/>
        </w:rPr>
        <w:t>.</w:t>
      </w:r>
    </w:p>
    <w:p w14:paraId="2C6FE0A4" w14:textId="337387A1" w:rsidR="00765D97" w:rsidRDefault="00765D97" w:rsidP="00413528">
      <w:pPr>
        <w:spacing w:line="240" w:lineRule="auto"/>
        <w:ind w:hanging="720"/>
        <w:rPr>
          <w:rFonts w:asciiTheme="minorHAnsi" w:eastAsia="Times New Roman" w:hAnsiTheme="minorHAnsi" w:cstheme="minorBidi"/>
          <w:lang w:eastAsia="en-GB"/>
        </w:rPr>
      </w:pPr>
      <w:r w:rsidRPr="00765D97">
        <w:rPr>
          <w:rFonts w:asciiTheme="minorHAnsi" w:eastAsia="Times New Roman" w:hAnsiTheme="minorHAnsi" w:cstheme="minorBidi"/>
          <w:lang w:eastAsia="en-GB"/>
        </w:rPr>
        <w:t xml:space="preserve">Morken, C., </w:t>
      </w:r>
      <w:proofErr w:type="spellStart"/>
      <w:r w:rsidRPr="00765D97">
        <w:rPr>
          <w:rFonts w:asciiTheme="minorHAnsi" w:eastAsia="Times New Roman" w:hAnsiTheme="minorHAnsi" w:cstheme="minorBidi"/>
          <w:lang w:eastAsia="en-GB"/>
        </w:rPr>
        <w:t>Tevaarwek</w:t>
      </w:r>
      <w:proofErr w:type="spellEnd"/>
      <w:r w:rsidRPr="00765D97">
        <w:rPr>
          <w:rFonts w:asciiTheme="minorHAnsi" w:eastAsia="Times New Roman" w:hAnsiTheme="minorHAnsi" w:cstheme="minorBidi"/>
          <w:lang w:eastAsia="en-GB"/>
        </w:rPr>
        <w:t xml:space="preserve">, A. J., </w:t>
      </w:r>
      <w:proofErr w:type="spellStart"/>
      <w:r w:rsidRPr="00765D97">
        <w:rPr>
          <w:rFonts w:asciiTheme="minorHAnsi" w:eastAsia="Times New Roman" w:hAnsiTheme="minorHAnsi" w:cstheme="minorBidi"/>
          <w:lang w:eastAsia="en-GB"/>
        </w:rPr>
        <w:t>Jukett</w:t>
      </w:r>
      <w:proofErr w:type="spellEnd"/>
      <w:r w:rsidRPr="00765D97">
        <w:rPr>
          <w:rFonts w:asciiTheme="minorHAnsi" w:eastAsia="Times New Roman" w:hAnsiTheme="minorHAnsi" w:cstheme="minorBidi"/>
          <w:lang w:eastAsia="en-GB"/>
        </w:rPr>
        <w:t xml:space="preserve">, M. B. Swiecichowski, A. K., Haine, J. E., Zhang, X., Williams, Z. T., </w:t>
      </w:r>
      <w:proofErr w:type="spellStart"/>
      <w:r w:rsidRPr="00765D97">
        <w:rPr>
          <w:rFonts w:asciiTheme="minorHAnsi" w:eastAsia="Times New Roman" w:hAnsiTheme="minorHAnsi" w:cstheme="minorBidi"/>
          <w:lang w:eastAsia="en-GB"/>
        </w:rPr>
        <w:t>Norslien</w:t>
      </w:r>
      <w:proofErr w:type="spellEnd"/>
      <w:r w:rsidRPr="00765D97">
        <w:rPr>
          <w:rFonts w:asciiTheme="minorHAnsi" w:eastAsia="Times New Roman" w:hAnsiTheme="minorHAnsi" w:cstheme="minorBidi"/>
          <w:lang w:eastAsia="en-GB"/>
        </w:rPr>
        <w:t>, K., Campbell, B., Wassenaar, T., Sesto, M. E. (</w:t>
      </w:r>
      <w:r w:rsidR="00A963E3">
        <w:rPr>
          <w:rFonts w:asciiTheme="minorHAnsi" w:eastAsia="Times New Roman" w:hAnsiTheme="minorHAnsi" w:cstheme="minorBidi"/>
          <w:lang w:eastAsia="en-GB"/>
        </w:rPr>
        <w:t>2022</w:t>
      </w:r>
      <w:r w:rsidRPr="00765D97">
        <w:rPr>
          <w:rFonts w:asciiTheme="minorHAnsi" w:eastAsia="Times New Roman" w:hAnsiTheme="minorHAnsi" w:cstheme="minorBidi"/>
          <w:lang w:eastAsia="en-GB"/>
        </w:rPr>
        <w:t>)</w:t>
      </w:r>
      <w:r>
        <w:rPr>
          <w:rFonts w:asciiTheme="minorHAnsi" w:eastAsia="Times New Roman" w:hAnsiTheme="minorHAnsi" w:cstheme="minorBidi"/>
          <w:lang w:eastAsia="en-GB"/>
        </w:rPr>
        <w:t xml:space="preserve">. </w:t>
      </w:r>
      <w:r w:rsidR="00214B70" w:rsidRPr="00214B70">
        <w:rPr>
          <w:rFonts w:asciiTheme="minorHAnsi" w:eastAsia="Times New Roman" w:hAnsiTheme="minorHAnsi" w:cstheme="minorBidi"/>
          <w:lang w:eastAsia="en-GB"/>
        </w:rPr>
        <w:t>Barriers and facilitators to the use of survivorship care plans by hematopoietic stem cell transplant survivors and clinicians. </w:t>
      </w:r>
      <w:r w:rsidR="00214B70" w:rsidRPr="00214B70">
        <w:rPr>
          <w:rFonts w:asciiTheme="minorHAnsi" w:eastAsia="Times New Roman" w:hAnsiTheme="minorHAnsi" w:cstheme="minorBidi"/>
          <w:i/>
          <w:iCs/>
          <w:lang w:eastAsia="en-GB"/>
        </w:rPr>
        <w:t>Supportive Care in Cance</w:t>
      </w:r>
      <w:r w:rsidR="0069523D">
        <w:rPr>
          <w:rFonts w:asciiTheme="minorHAnsi" w:eastAsia="Times New Roman" w:hAnsiTheme="minorHAnsi" w:cstheme="minorBidi"/>
          <w:i/>
          <w:iCs/>
          <w:lang w:eastAsia="en-GB"/>
        </w:rPr>
        <w:t xml:space="preserve">r, 30, </w:t>
      </w:r>
      <w:r w:rsidR="00214B70" w:rsidRPr="00214B70">
        <w:rPr>
          <w:rFonts w:asciiTheme="minorHAnsi" w:eastAsia="Times New Roman" w:hAnsiTheme="minorHAnsi" w:cstheme="minorBidi"/>
          <w:lang w:eastAsia="en-GB"/>
        </w:rPr>
        <w:t>1</w:t>
      </w:r>
      <w:r w:rsidR="00D15D20">
        <w:rPr>
          <w:rFonts w:asciiTheme="minorHAnsi" w:eastAsia="Times New Roman" w:hAnsiTheme="minorHAnsi" w:cstheme="minorBidi"/>
          <w:lang w:eastAsia="en-GB"/>
        </w:rPr>
        <w:t>323-1330</w:t>
      </w:r>
      <w:r w:rsidR="00214B70" w:rsidRPr="00214B70">
        <w:rPr>
          <w:rFonts w:asciiTheme="minorHAnsi" w:eastAsia="Times New Roman" w:hAnsiTheme="minorHAnsi" w:cstheme="minorBidi"/>
          <w:lang w:eastAsia="en-GB"/>
        </w:rPr>
        <w:t>.</w:t>
      </w:r>
      <w:r w:rsidR="00214B70">
        <w:rPr>
          <w:rFonts w:asciiTheme="minorHAnsi" w:eastAsia="Times New Roman" w:hAnsiTheme="minorHAnsi" w:cstheme="minorBidi"/>
          <w:lang w:eastAsia="en-GB"/>
        </w:rPr>
        <w:t xml:space="preserve"> </w:t>
      </w:r>
    </w:p>
    <w:p w14:paraId="32764FD0" w14:textId="1723DE04" w:rsidR="00765D97" w:rsidRPr="008E7C10" w:rsidRDefault="00765549" w:rsidP="00413528">
      <w:pPr>
        <w:spacing w:line="240" w:lineRule="auto"/>
        <w:ind w:hanging="720"/>
        <w:rPr>
          <w:rFonts w:asciiTheme="minorHAnsi" w:eastAsia="Times New Roman" w:hAnsiTheme="minorHAnsi" w:cstheme="minorBidi"/>
          <w:lang w:eastAsia="en-GB"/>
        </w:rPr>
      </w:pPr>
      <w:proofErr w:type="spellStart"/>
      <w:r w:rsidRPr="00765549">
        <w:rPr>
          <w:rFonts w:asciiTheme="minorHAnsi" w:eastAsia="Times New Roman" w:hAnsiTheme="minorHAnsi" w:cstheme="minorBidi"/>
          <w:lang w:eastAsia="en-GB"/>
        </w:rPr>
        <w:t>Mussetti</w:t>
      </w:r>
      <w:proofErr w:type="spellEnd"/>
      <w:r w:rsidRPr="00765549">
        <w:rPr>
          <w:rFonts w:asciiTheme="minorHAnsi" w:eastAsia="Times New Roman" w:hAnsiTheme="minorHAnsi" w:cstheme="minorBidi"/>
          <w:lang w:eastAsia="en-GB"/>
        </w:rPr>
        <w:t xml:space="preserve">, A., Salas, M. Q., Condom, M., Antonio, M., Ochoa, C., Ivan, I., Torre, D. J. R. L., Linares, G. S., </w:t>
      </w:r>
      <w:proofErr w:type="spellStart"/>
      <w:r w:rsidRPr="00765549">
        <w:rPr>
          <w:rFonts w:asciiTheme="minorHAnsi" w:eastAsia="Times New Roman" w:hAnsiTheme="minorHAnsi" w:cstheme="minorBidi"/>
          <w:lang w:eastAsia="en-GB"/>
        </w:rPr>
        <w:t>Ansoleaga</w:t>
      </w:r>
      <w:proofErr w:type="spellEnd"/>
      <w:r w:rsidRPr="00765549">
        <w:rPr>
          <w:rFonts w:asciiTheme="minorHAnsi" w:eastAsia="Times New Roman" w:hAnsiTheme="minorHAnsi" w:cstheme="minorBidi"/>
          <w:lang w:eastAsia="en-GB"/>
        </w:rPr>
        <w:t>, B., Patiño-Gutierrez, B., Jimenez-Prat, L., Parody, R., &amp; Sureda-Balari, A. (2021)</w:t>
      </w:r>
      <w:r>
        <w:rPr>
          <w:rFonts w:asciiTheme="minorHAnsi" w:eastAsia="Times New Roman" w:hAnsiTheme="minorHAnsi" w:cstheme="minorBidi"/>
          <w:lang w:eastAsia="en-GB"/>
        </w:rPr>
        <w:t xml:space="preserve">. </w:t>
      </w:r>
      <w:r w:rsidR="0075223B" w:rsidRPr="0075223B">
        <w:rPr>
          <w:rFonts w:asciiTheme="minorHAnsi" w:eastAsia="Times New Roman" w:hAnsiTheme="minorHAnsi" w:cstheme="minorBidi"/>
          <w:lang w:eastAsia="en-GB"/>
        </w:rPr>
        <w:t>Use of telehealth for domiciliary follow-up after hematopoietic cell transplantation during the COVID-19 pandemic: prospective pilot study. </w:t>
      </w:r>
      <w:r w:rsidR="0075223B" w:rsidRPr="0075223B">
        <w:rPr>
          <w:rFonts w:asciiTheme="minorHAnsi" w:eastAsia="Times New Roman" w:hAnsiTheme="minorHAnsi" w:cstheme="minorBidi"/>
          <w:i/>
          <w:iCs/>
          <w:lang w:eastAsia="en-GB"/>
        </w:rPr>
        <w:t>J</w:t>
      </w:r>
      <w:r w:rsidR="0075223B">
        <w:rPr>
          <w:rFonts w:asciiTheme="minorHAnsi" w:eastAsia="Times New Roman" w:hAnsiTheme="minorHAnsi" w:cstheme="minorBidi"/>
          <w:i/>
          <w:iCs/>
          <w:lang w:eastAsia="en-GB"/>
        </w:rPr>
        <w:t xml:space="preserve">ournal of </w:t>
      </w:r>
      <w:r w:rsidR="0075223B" w:rsidRPr="0075223B">
        <w:rPr>
          <w:rFonts w:asciiTheme="minorHAnsi" w:eastAsia="Times New Roman" w:hAnsiTheme="minorHAnsi" w:cstheme="minorBidi"/>
          <w:i/>
          <w:iCs/>
          <w:lang w:eastAsia="en-GB"/>
        </w:rPr>
        <w:t>M</w:t>
      </w:r>
      <w:r w:rsidR="0075223B">
        <w:rPr>
          <w:rFonts w:asciiTheme="minorHAnsi" w:eastAsia="Times New Roman" w:hAnsiTheme="minorHAnsi" w:cstheme="minorBidi"/>
          <w:i/>
          <w:iCs/>
          <w:lang w:eastAsia="en-GB"/>
        </w:rPr>
        <w:t xml:space="preserve">edical </w:t>
      </w:r>
      <w:r w:rsidR="0075223B" w:rsidRPr="0075223B">
        <w:rPr>
          <w:rFonts w:asciiTheme="minorHAnsi" w:eastAsia="Times New Roman" w:hAnsiTheme="minorHAnsi" w:cstheme="minorBidi"/>
          <w:i/>
          <w:iCs/>
          <w:lang w:eastAsia="en-GB"/>
        </w:rPr>
        <w:t>I</w:t>
      </w:r>
      <w:r w:rsidR="0075223B">
        <w:rPr>
          <w:rFonts w:asciiTheme="minorHAnsi" w:eastAsia="Times New Roman" w:hAnsiTheme="minorHAnsi" w:cstheme="minorBidi"/>
          <w:i/>
          <w:iCs/>
          <w:lang w:eastAsia="en-GB"/>
        </w:rPr>
        <w:t xml:space="preserve">nternet </w:t>
      </w:r>
      <w:r w:rsidR="0075223B" w:rsidRPr="0075223B">
        <w:rPr>
          <w:rFonts w:asciiTheme="minorHAnsi" w:eastAsia="Times New Roman" w:hAnsiTheme="minorHAnsi" w:cstheme="minorBidi"/>
          <w:i/>
          <w:iCs/>
          <w:lang w:eastAsia="en-GB"/>
        </w:rPr>
        <w:t>R</w:t>
      </w:r>
      <w:r w:rsidR="0075223B">
        <w:rPr>
          <w:rFonts w:asciiTheme="minorHAnsi" w:eastAsia="Times New Roman" w:hAnsiTheme="minorHAnsi" w:cstheme="minorBidi"/>
          <w:i/>
          <w:iCs/>
          <w:lang w:eastAsia="en-GB"/>
        </w:rPr>
        <w:t>esearch</w:t>
      </w:r>
      <w:r w:rsidR="0075223B" w:rsidRPr="0075223B">
        <w:rPr>
          <w:rFonts w:asciiTheme="minorHAnsi" w:eastAsia="Times New Roman" w:hAnsiTheme="minorHAnsi" w:cstheme="minorBidi"/>
          <w:i/>
          <w:iCs/>
          <w:lang w:eastAsia="en-GB"/>
        </w:rPr>
        <w:t xml:space="preserve"> Formative Research</w:t>
      </w:r>
      <w:r w:rsidR="0075223B" w:rsidRPr="0075223B">
        <w:rPr>
          <w:rFonts w:asciiTheme="minorHAnsi" w:eastAsia="Times New Roman" w:hAnsiTheme="minorHAnsi" w:cstheme="minorBidi"/>
          <w:lang w:eastAsia="en-GB"/>
        </w:rPr>
        <w:t>, </w:t>
      </w:r>
      <w:r w:rsidR="0075223B" w:rsidRPr="0075223B">
        <w:rPr>
          <w:rFonts w:asciiTheme="minorHAnsi" w:eastAsia="Times New Roman" w:hAnsiTheme="minorHAnsi" w:cstheme="minorBidi"/>
          <w:i/>
          <w:iCs/>
          <w:lang w:eastAsia="en-GB"/>
        </w:rPr>
        <w:t>5</w:t>
      </w:r>
      <w:r w:rsidR="0075223B" w:rsidRPr="0075223B">
        <w:rPr>
          <w:rFonts w:asciiTheme="minorHAnsi" w:eastAsia="Times New Roman" w:hAnsiTheme="minorHAnsi" w:cstheme="minorBidi"/>
          <w:lang w:eastAsia="en-GB"/>
        </w:rPr>
        <w:t xml:space="preserve">(3), </w:t>
      </w:r>
      <w:r w:rsidR="0075223B">
        <w:rPr>
          <w:rFonts w:asciiTheme="minorHAnsi" w:eastAsia="Times New Roman" w:hAnsiTheme="minorHAnsi" w:cstheme="minorBidi"/>
          <w:lang w:eastAsia="en-GB"/>
        </w:rPr>
        <w:t xml:space="preserve">Article </w:t>
      </w:r>
      <w:r w:rsidR="0075223B" w:rsidRPr="0075223B">
        <w:rPr>
          <w:rFonts w:asciiTheme="minorHAnsi" w:eastAsia="Times New Roman" w:hAnsiTheme="minorHAnsi" w:cstheme="minorBidi"/>
          <w:lang w:eastAsia="en-GB"/>
        </w:rPr>
        <w:t>e26121.</w:t>
      </w:r>
    </w:p>
    <w:p w14:paraId="6E3E28D6" w14:textId="1F12281B" w:rsidR="00D6505A" w:rsidRPr="009E12F9" w:rsidRDefault="00D6505A" w:rsidP="00413528">
      <w:pPr>
        <w:spacing w:line="240" w:lineRule="auto"/>
        <w:ind w:hanging="720"/>
        <w:rPr>
          <w:rFonts w:asciiTheme="minorHAnsi" w:eastAsia="Times New Roman" w:hAnsiTheme="minorHAnsi" w:cstheme="minorBidi"/>
          <w:lang w:eastAsia="en-GB"/>
        </w:rPr>
      </w:pPr>
      <w:proofErr w:type="spellStart"/>
      <w:r w:rsidRPr="26F64964">
        <w:rPr>
          <w:rFonts w:asciiTheme="minorHAnsi" w:eastAsia="Times New Roman" w:hAnsiTheme="minorHAnsi" w:cstheme="minorBidi"/>
          <w:highlight w:val="white"/>
          <w:lang w:eastAsia="en-GB"/>
        </w:rPr>
        <w:t>Niazkhani</w:t>
      </w:r>
      <w:proofErr w:type="spellEnd"/>
      <w:r w:rsidRPr="26F64964">
        <w:rPr>
          <w:rFonts w:asciiTheme="minorHAnsi" w:eastAsia="Times New Roman" w:hAnsiTheme="minorHAnsi" w:cstheme="minorBidi"/>
          <w:highlight w:val="white"/>
          <w:lang w:eastAsia="en-GB"/>
        </w:rPr>
        <w:t xml:space="preserve">, Z., </w:t>
      </w:r>
      <w:proofErr w:type="spellStart"/>
      <w:r w:rsidRPr="26F64964">
        <w:rPr>
          <w:rFonts w:asciiTheme="minorHAnsi" w:eastAsia="Times New Roman" w:hAnsiTheme="minorHAnsi" w:cstheme="minorBidi"/>
          <w:highlight w:val="white"/>
          <w:lang w:eastAsia="en-GB"/>
        </w:rPr>
        <w:t>Pirnejad</w:t>
      </w:r>
      <w:proofErr w:type="spellEnd"/>
      <w:r w:rsidRPr="26F64964">
        <w:rPr>
          <w:rFonts w:asciiTheme="minorHAnsi" w:eastAsia="Times New Roman" w:hAnsiTheme="minorHAnsi" w:cstheme="minorBidi"/>
          <w:highlight w:val="white"/>
          <w:lang w:eastAsia="en-GB"/>
        </w:rPr>
        <w:t xml:space="preserve">, H., &amp; </w:t>
      </w:r>
      <w:proofErr w:type="spellStart"/>
      <w:r w:rsidRPr="26F64964">
        <w:rPr>
          <w:rFonts w:asciiTheme="minorHAnsi" w:eastAsia="Times New Roman" w:hAnsiTheme="minorHAnsi" w:cstheme="minorBidi"/>
          <w:highlight w:val="white"/>
          <w:lang w:eastAsia="en-GB"/>
        </w:rPr>
        <w:t>Khazaee</w:t>
      </w:r>
      <w:proofErr w:type="spellEnd"/>
      <w:r w:rsidRPr="26F64964">
        <w:rPr>
          <w:rFonts w:asciiTheme="minorHAnsi" w:eastAsia="Times New Roman" w:hAnsiTheme="minorHAnsi" w:cstheme="minorBidi"/>
          <w:highlight w:val="white"/>
          <w:lang w:eastAsia="en-GB"/>
        </w:rPr>
        <w:t>, P. R. (2017). The impact of health information</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technology on organ transplant care: A systematic review. </w:t>
      </w:r>
      <w:r w:rsidRPr="26F64964">
        <w:rPr>
          <w:rFonts w:asciiTheme="minorHAnsi" w:eastAsia="Times New Roman" w:hAnsiTheme="minorHAnsi" w:cstheme="minorBidi"/>
          <w:i/>
          <w:iCs/>
          <w:highlight w:val="white"/>
          <w:lang w:eastAsia="en-GB"/>
        </w:rPr>
        <w:t>International Journal of</w:t>
      </w:r>
      <w:r w:rsidRPr="26F64964">
        <w:rPr>
          <w:rFonts w:asciiTheme="minorHAnsi" w:eastAsia="Times New Roman" w:hAnsiTheme="minorHAnsi" w:cstheme="minorBidi"/>
          <w:i/>
          <w:iCs/>
          <w:lang w:eastAsia="en-GB"/>
        </w:rPr>
        <w:t xml:space="preserve"> </w:t>
      </w:r>
      <w:r w:rsidRPr="26F64964">
        <w:rPr>
          <w:rFonts w:asciiTheme="minorHAnsi" w:eastAsia="Times New Roman" w:hAnsiTheme="minorHAnsi" w:cstheme="minorBidi"/>
          <w:i/>
          <w:iCs/>
          <w:highlight w:val="white"/>
          <w:lang w:eastAsia="en-GB"/>
        </w:rPr>
        <w:t>Medical Informatics</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100</w:t>
      </w:r>
      <w:r w:rsidRPr="26F64964">
        <w:rPr>
          <w:rFonts w:asciiTheme="minorHAnsi" w:eastAsia="Times New Roman" w:hAnsiTheme="minorHAnsi" w:cstheme="minorBidi"/>
          <w:highlight w:val="white"/>
          <w:lang w:eastAsia="en-GB"/>
        </w:rPr>
        <w:t>, 95-107</w:t>
      </w:r>
      <w:r w:rsidRPr="26F64964">
        <w:rPr>
          <w:rFonts w:asciiTheme="minorHAnsi" w:eastAsia="Times New Roman" w:hAnsiTheme="minorHAnsi" w:cstheme="minorBidi"/>
          <w:lang w:eastAsia="en-GB"/>
        </w:rPr>
        <w:t>.</w:t>
      </w:r>
    </w:p>
    <w:p w14:paraId="097A7784" w14:textId="1E639B01" w:rsidR="003712AB" w:rsidRPr="009E12F9" w:rsidRDefault="003712AB"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eastAsia="en-GB"/>
        </w:rPr>
        <w:lastRenderedPageBreak/>
        <w:t>Niehm, L. S., Tyner, K., Shelley, M. C., &amp; Fitzgerald, M. A. (2010). Technology</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adoption in small family-owned businesses: Accessibility, perceived advantage, and</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information technology literacy. </w:t>
      </w:r>
      <w:r w:rsidRPr="26F64964">
        <w:rPr>
          <w:rFonts w:asciiTheme="minorHAnsi" w:eastAsia="Times New Roman" w:hAnsiTheme="minorHAnsi" w:cstheme="minorBidi"/>
          <w:i/>
          <w:iCs/>
          <w:highlight w:val="white"/>
          <w:lang w:eastAsia="en-GB"/>
        </w:rPr>
        <w:t>Journal of Family and Economic Issues</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31</w:t>
      </w:r>
      <w:r w:rsidRPr="26F64964">
        <w:rPr>
          <w:rFonts w:asciiTheme="minorHAnsi" w:eastAsia="Times New Roman" w:hAnsiTheme="minorHAnsi" w:cstheme="minorBidi"/>
          <w:highlight w:val="white"/>
          <w:lang w:eastAsia="en-GB"/>
        </w:rPr>
        <w:t>, 498-515</w:t>
      </w:r>
      <w:r w:rsidRPr="26F64964">
        <w:rPr>
          <w:rFonts w:asciiTheme="minorHAnsi" w:eastAsia="Times New Roman" w:hAnsiTheme="minorHAnsi" w:cstheme="minorBidi"/>
          <w:lang w:eastAsia="en-GB"/>
        </w:rPr>
        <w:t>.</w:t>
      </w:r>
    </w:p>
    <w:p w14:paraId="0BDE7D3B" w14:textId="5690BB9E" w:rsidR="00A31269" w:rsidRDefault="00A31269" w:rsidP="00413528">
      <w:pPr>
        <w:spacing w:line="240" w:lineRule="auto"/>
        <w:ind w:hanging="720"/>
        <w:rPr>
          <w:rFonts w:asciiTheme="minorHAnsi" w:eastAsia="Times New Roman" w:hAnsiTheme="minorHAnsi" w:cstheme="minorBidi"/>
          <w:lang w:val="en-US" w:eastAsia="en-GB"/>
        </w:rPr>
      </w:pPr>
      <w:r w:rsidRPr="26F64964">
        <w:rPr>
          <w:rFonts w:asciiTheme="minorHAnsi" w:eastAsia="Times New Roman" w:hAnsiTheme="minorHAnsi" w:cstheme="minorBidi"/>
          <w:highlight w:val="white"/>
          <w:lang w:val="en-US" w:eastAsia="en-GB"/>
        </w:rPr>
        <w:t>Nightingale, A. (2009). A guide to systematic literature reviews. </w:t>
      </w:r>
      <w:r w:rsidRPr="26F64964">
        <w:rPr>
          <w:rFonts w:asciiTheme="minorHAnsi" w:eastAsia="Times New Roman" w:hAnsiTheme="minorHAnsi" w:cstheme="minorBidi"/>
          <w:i/>
          <w:iCs/>
          <w:highlight w:val="white"/>
          <w:lang w:val="en-US" w:eastAsia="en-GB"/>
        </w:rPr>
        <w:t>Surgery</w:t>
      </w:r>
      <w:r w:rsidRPr="26F64964">
        <w:rPr>
          <w:rFonts w:asciiTheme="minorHAnsi" w:eastAsia="Times New Roman" w:hAnsiTheme="minorHAnsi" w:cstheme="minorBidi"/>
          <w:i/>
          <w:iCs/>
          <w:lang w:val="en-US" w:eastAsia="en-GB"/>
        </w:rPr>
        <w:t xml:space="preserve"> </w:t>
      </w:r>
      <w:r w:rsidRPr="26F64964">
        <w:rPr>
          <w:rFonts w:asciiTheme="minorHAnsi" w:eastAsia="Times New Roman" w:hAnsiTheme="minorHAnsi" w:cstheme="minorBidi"/>
          <w:i/>
          <w:iCs/>
          <w:highlight w:val="white"/>
          <w:lang w:val="en-US" w:eastAsia="en-GB"/>
        </w:rPr>
        <w:t>(Oxford)</w:t>
      </w:r>
      <w:r w:rsidRPr="26F64964">
        <w:rPr>
          <w:rFonts w:asciiTheme="minorHAnsi" w:eastAsia="Times New Roman" w:hAnsiTheme="minorHAnsi" w:cstheme="minorBidi"/>
          <w:highlight w:val="white"/>
          <w:lang w:val="en-US" w:eastAsia="en-GB"/>
        </w:rPr>
        <w:t>, </w:t>
      </w:r>
      <w:r w:rsidRPr="26F64964">
        <w:rPr>
          <w:rFonts w:asciiTheme="minorHAnsi" w:eastAsia="Times New Roman" w:hAnsiTheme="minorHAnsi" w:cstheme="minorBidi"/>
          <w:i/>
          <w:iCs/>
          <w:highlight w:val="white"/>
          <w:lang w:val="en-US" w:eastAsia="en-GB"/>
        </w:rPr>
        <w:t>27</w:t>
      </w:r>
      <w:r w:rsidRPr="26F64964">
        <w:rPr>
          <w:rFonts w:asciiTheme="minorHAnsi" w:eastAsia="Times New Roman" w:hAnsiTheme="minorHAnsi" w:cstheme="minorBidi"/>
          <w:highlight w:val="white"/>
          <w:lang w:val="en-US" w:eastAsia="en-GB"/>
        </w:rPr>
        <w:t>(9), 381-384</w:t>
      </w:r>
      <w:r w:rsidRPr="26F64964">
        <w:rPr>
          <w:rFonts w:asciiTheme="minorHAnsi" w:eastAsia="Times New Roman" w:hAnsiTheme="minorHAnsi" w:cstheme="minorBidi"/>
          <w:lang w:val="en-US" w:eastAsia="en-GB"/>
        </w:rPr>
        <w:t>.</w:t>
      </w:r>
    </w:p>
    <w:p w14:paraId="6592ABA4" w14:textId="6A89AC36" w:rsidR="00840104" w:rsidRDefault="00840104" w:rsidP="00413528">
      <w:pPr>
        <w:spacing w:line="240" w:lineRule="auto"/>
        <w:ind w:hanging="720"/>
        <w:rPr>
          <w:rFonts w:asciiTheme="minorHAnsi" w:eastAsia="Times New Roman" w:hAnsiTheme="minorHAnsi" w:cstheme="minorBidi"/>
          <w:lang w:eastAsia="en-GB"/>
        </w:rPr>
      </w:pPr>
      <w:r w:rsidRPr="00840104">
        <w:rPr>
          <w:rFonts w:asciiTheme="minorHAnsi" w:eastAsia="Times New Roman" w:hAnsiTheme="minorHAnsi" w:cstheme="minorBidi"/>
          <w:lang w:eastAsia="en-GB"/>
        </w:rPr>
        <w:t>O'Brien, T., &amp; Rosenthal, A. (2020). Preferred Features in Mobile Health Applications for Kidney Transplant Recipients: A Qualitative Approach. </w:t>
      </w:r>
      <w:r w:rsidRPr="00840104">
        <w:rPr>
          <w:rFonts w:asciiTheme="minorHAnsi" w:eastAsia="Times New Roman" w:hAnsiTheme="minorHAnsi" w:cstheme="minorBidi"/>
          <w:i/>
          <w:iCs/>
          <w:lang w:eastAsia="en-GB"/>
        </w:rPr>
        <w:t>Nephrology Nursing Journal</w:t>
      </w:r>
      <w:r w:rsidRPr="00840104">
        <w:rPr>
          <w:rFonts w:asciiTheme="minorHAnsi" w:eastAsia="Times New Roman" w:hAnsiTheme="minorHAnsi" w:cstheme="minorBidi"/>
          <w:lang w:eastAsia="en-GB"/>
        </w:rPr>
        <w:t>, </w:t>
      </w:r>
      <w:r w:rsidRPr="00840104">
        <w:rPr>
          <w:rFonts w:asciiTheme="minorHAnsi" w:eastAsia="Times New Roman" w:hAnsiTheme="minorHAnsi" w:cstheme="minorBidi"/>
          <w:i/>
          <w:iCs/>
          <w:lang w:eastAsia="en-GB"/>
        </w:rPr>
        <w:t>47</w:t>
      </w:r>
      <w:r w:rsidRPr="00840104">
        <w:rPr>
          <w:rFonts w:asciiTheme="minorHAnsi" w:eastAsia="Times New Roman" w:hAnsiTheme="minorHAnsi" w:cstheme="minorBidi"/>
          <w:lang w:eastAsia="en-GB"/>
        </w:rPr>
        <w:t>(6)</w:t>
      </w:r>
      <w:r w:rsidR="00970A42">
        <w:rPr>
          <w:rFonts w:asciiTheme="minorHAnsi" w:eastAsia="Times New Roman" w:hAnsiTheme="minorHAnsi" w:cstheme="minorBidi"/>
          <w:lang w:eastAsia="en-GB"/>
        </w:rPr>
        <w:t>, 529-536.</w:t>
      </w:r>
    </w:p>
    <w:p w14:paraId="4F3BC84B" w14:textId="7D095C4D" w:rsidR="00601DEF" w:rsidRDefault="00601DEF" w:rsidP="00413528">
      <w:pPr>
        <w:spacing w:line="240" w:lineRule="auto"/>
        <w:ind w:hanging="720"/>
        <w:rPr>
          <w:rFonts w:asciiTheme="minorHAnsi" w:eastAsia="Times New Roman" w:hAnsiTheme="minorHAnsi" w:cstheme="minorBidi"/>
          <w:lang w:eastAsia="en-GB"/>
        </w:rPr>
      </w:pPr>
      <w:r w:rsidRPr="00601DEF">
        <w:rPr>
          <w:rFonts w:asciiTheme="minorHAnsi" w:eastAsia="Times New Roman" w:hAnsiTheme="minorHAnsi" w:cstheme="minorBidi"/>
          <w:lang w:eastAsia="en-GB"/>
        </w:rPr>
        <w:t>O'Brien, T. (2022). Lessons Learned for Training a Research Team and Teaching Kidney Transplant Recipients How to Use a Mobile Health Technology for Dietary Intake and Physical Activity via a Virtual Platform. </w:t>
      </w:r>
      <w:r w:rsidRPr="00601DEF">
        <w:rPr>
          <w:rFonts w:asciiTheme="minorHAnsi" w:eastAsia="Times New Roman" w:hAnsiTheme="minorHAnsi" w:cstheme="minorBidi"/>
          <w:i/>
          <w:iCs/>
          <w:lang w:eastAsia="en-GB"/>
        </w:rPr>
        <w:t>Nephrology Nursing Journal</w:t>
      </w:r>
      <w:r w:rsidRPr="00601DEF">
        <w:rPr>
          <w:rFonts w:asciiTheme="minorHAnsi" w:eastAsia="Times New Roman" w:hAnsiTheme="minorHAnsi" w:cstheme="minorBidi"/>
          <w:lang w:eastAsia="en-GB"/>
        </w:rPr>
        <w:t>, </w:t>
      </w:r>
      <w:r w:rsidRPr="00601DEF">
        <w:rPr>
          <w:rFonts w:asciiTheme="minorHAnsi" w:eastAsia="Times New Roman" w:hAnsiTheme="minorHAnsi" w:cstheme="minorBidi"/>
          <w:i/>
          <w:iCs/>
          <w:lang w:eastAsia="en-GB"/>
        </w:rPr>
        <w:t>49</w:t>
      </w:r>
      <w:r w:rsidRPr="00601DEF">
        <w:rPr>
          <w:rFonts w:asciiTheme="minorHAnsi" w:eastAsia="Times New Roman" w:hAnsiTheme="minorHAnsi" w:cstheme="minorBidi"/>
          <w:lang w:eastAsia="en-GB"/>
        </w:rPr>
        <w:t>(6)</w:t>
      </w:r>
      <w:r w:rsidR="00DE1A4D">
        <w:rPr>
          <w:rFonts w:asciiTheme="minorHAnsi" w:eastAsia="Times New Roman" w:hAnsiTheme="minorHAnsi" w:cstheme="minorBidi"/>
          <w:lang w:eastAsia="en-GB"/>
        </w:rPr>
        <w:t>, 527-530.</w:t>
      </w:r>
    </w:p>
    <w:p w14:paraId="5CF77554" w14:textId="2B281BF5" w:rsidR="003A6D66" w:rsidRDefault="003A6D66" w:rsidP="00413528">
      <w:pPr>
        <w:spacing w:line="240" w:lineRule="auto"/>
        <w:ind w:hanging="720"/>
        <w:rPr>
          <w:rFonts w:asciiTheme="minorHAnsi" w:eastAsia="Times New Roman" w:hAnsiTheme="minorHAnsi" w:cstheme="minorBidi"/>
          <w:lang w:eastAsia="en-GB"/>
        </w:rPr>
      </w:pPr>
      <w:r w:rsidRPr="003A6D66">
        <w:rPr>
          <w:rFonts w:asciiTheme="minorHAnsi" w:eastAsia="Times New Roman" w:hAnsiTheme="minorHAnsi" w:cstheme="minorBidi"/>
          <w:lang w:eastAsia="en-GB"/>
        </w:rPr>
        <w:t>O’Brien, T., Russell, C. L., Tan, A., Washington, M., &amp; Hathaway, D. (2018). An exploratory correlational study in the use of mobile technology among adult kidney transplant recipients. </w:t>
      </w:r>
      <w:r w:rsidRPr="003A6D66">
        <w:rPr>
          <w:rFonts w:asciiTheme="minorHAnsi" w:eastAsia="Times New Roman" w:hAnsiTheme="minorHAnsi" w:cstheme="minorBidi"/>
          <w:i/>
          <w:iCs/>
          <w:lang w:eastAsia="en-GB"/>
        </w:rPr>
        <w:t>Progress in Transplantation</w:t>
      </w:r>
      <w:r w:rsidRPr="003A6D66">
        <w:rPr>
          <w:rFonts w:asciiTheme="minorHAnsi" w:eastAsia="Times New Roman" w:hAnsiTheme="minorHAnsi" w:cstheme="minorBidi"/>
          <w:lang w:eastAsia="en-GB"/>
        </w:rPr>
        <w:t>, </w:t>
      </w:r>
      <w:r w:rsidRPr="003A6D66">
        <w:rPr>
          <w:rFonts w:asciiTheme="minorHAnsi" w:eastAsia="Times New Roman" w:hAnsiTheme="minorHAnsi" w:cstheme="minorBidi"/>
          <w:i/>
          <w:iCs/>
          <w:lang w:eastAsia="en-GB"/>
        </w:rPr>
        <w:t>28</w:t>
      </w:r>
      <w:r w:rsidRPr="003A6D66">
        <w:rPr>
          <w:rFonts w:asciiTheme="minorHAnsi" w:eastAsia="Times New Roman" w:hAnsiTheme="minorHAnsi" w:cstheme="minorBidi"/>
          <w:lang w:eastAsia="en-GB"/>
        </w:rPr>
        <w:t>(4), 368-375.</w:t>
      </w:r>
    </w:p>
    <w:p w14:paraId="51F6F11C" w14:textId="19809FB1" w:rsidR="00744869" w:rsidRPr="009E12F9" w:rsidRDefault="004B2C84" w:rsidP="00413528">
      <w:pPr>
        <w:spacing w:line="240" w:lineRule="auto"/>
        <w:ind w:hanging="720"/>
        <w:rPr>
          <w:rFonts w:asciiTheme="minorHAnsi" w:eastAsia="Times New Roman" w:hAnsiTheme="minorHAnsi" w:cstheme="minorBidi"/>
          <w:lang w:val="en-US" w:eastAsia="en-GB"/>
        </w:rPr>
      </w:pPr>
      <w:r w:rsidRPr="004B2C84">
        <w:rPr>
          <w:rFonts w:asciiTheme="minorHAnsi" w:eastAsia="Times New Roman" w:hAnsiTheme="minorHAnsi" w:cstheme="minorBidi"/>
          <w:lang w:eastAsia="en-GB"/>
        </w:rPr>
        <w:t xml:space="preserve">Odisho, A. Y., Liu, A. W., Maiorano, A. R., </w:t>
      </w:r>
      <w:proofErr w:type="spellStart"/>
      <w:r w:rsidRPr="004B2C84">
        <w:rPr>
          <w:rFonts w:asciiTheme="minorHAnsi" w:eastAsia="Times New Roman" w:hAnsiTheme="minorHAnsi" w:cstheme="minorBidi"/>
          <w:lang w:eastAsia="en-GB"/>
        </w:rPr>
        <w:t>Bigazzi</w:t>
      </w:r>
      <w:proofErr w:type="spellEnd"/>
      <w:r w:rsidRPr="004B2C84">
        <w:rPr>
          <w:rFonts w:asciiTheme="minorHAnsi" w:eastAsia="Times New Roman" w:hAnsiTheme="minorHAnsi" w:cstheme="minorBidi"/>
          <w:lang w:eastAsia="en-GB"/>
        </w:rPr>
        <w:t xml:space="preserve">, Olivia. M. A., Medina, E., Leard, L. E., Shah, R., </w:t>
      </w:r>
      <w:proofErr w:type="spellStart"/>
      <w:r w:rsidRPr="004B2C84">
        <w:rPr>
          <w:rFonts w:asciiTheme="minorHAnsi" w:eastAsia="Times New Roman" w:hAnsiTheme="minorHAnsi" w:cstheme="minorBidi"/>
          <w:lang w:eastAsia="en-GB"/>
        </w:rPr>
        <w:t>Venado</w:t>
      </w:r>
      <w:proofErr w:type="spellEnd"/>
      <w:r w:rsidRPr="004B2C84">
        <w:rPr>
          <w:rFonts w:asciiTheme="minorHAnsi" w:eastAsia="Times New Roman" w:hAnsiTheme="minorHAnsi" w:cstheme="minorBidi"/>
          <w:lang w:eastAsia="en-GB"/>
        </w:rPr>
        <w:t xml:space="preserve">, A., Perez, A., Golden, J., Kleinhenz, M. E., </w:t>
      </w:r>
      <w:proofErr w:type="spellStart"/>
      <w:r w:rsidRPr="004B2C84">
        <w:rPr>
          <w:rFonts w:asciiTheme="minorHAnsi" w:eastAsia="Times New Roman" w:hAnsiTheme="minorHAnsi" w:cstheme="minorBidi"/>
          <w:lang w:eastAsia="en-GB"/>
        </w:rPr>
        <w:t>Kolaitis</w:t>
      </w:r>
      <w:proofErr w:type="spellEnd"/>
      <w:r w:rsidRPr="004B2C84">
        <w:rPr>
          <w:rFonts w:asciiTheme="minorHAnsi" w:eastAsia="Times New Roman" w:hAnsiTheme="minorHAnsi" w:cstheme="minorBidi"/>
          <w:lang w:eastAsia="en-GB"/>
        </w:rPr>
        <w:t xml:space="preserve">, N. A., Maheshwari, J., Trinh, Binh, N., Kukreja, J., Greenland, J., Calabrese, D., </w:t>
      </w:r>
      <w:proofErr w:type="spellStart"/>
      <w:r w:rsidRPr="004B2C84">
        <w:rPr>
          <w:rFonts w:asciiTheme="minorHAnsi" w:eastAsia="Times New Roman" w:hAnsiTheme="minorHAnsi" w:cstheme="minorBidi"/>
          <w:lang w:eastAsia="en-GB"/>
        </w:rPr>
        <w:t>Neinstein</w:t>
      </w:r>
      <w:proofErr w:type="spellEnd"/>
      <w:r w:rsidRPr="004B2C84">
        <w:rPr>
          <w:rFonts w:asciiTheme="minorHAnsi" w:eastAsia="Times New Roman" w:hAnsiTheme="minorHAnsi" w:cstheme="minorBidi"/>
          <w:lang w:eastAsia="en-GB"/>
        </w:rPr>
        <w:t>, A. B., Singer, J. P., Hays, S. R. (2023)</w:t>
      </w:r>
      <w:r>
        <w:rPr>
          <w:rFonts w:asciiTheme="minorHAnsi" w:eastAsia="Times New Roman" w:hAnsiTheme="minorHAnsi" w:cstheme="minorBidi"/>
          <w:lang w:eastAsia="en-GB"/>
        </w:rPr>
        <w:t xml:space="preserve">. </w:t>
      </w:r>
      <w:r w:rsidR="00744869" w:rsidRPr="00744869">
        <w:rPr>
          <w:rFonts w:asciiTheme="minorHAnsi" w:eastAsia="Times New Roman" w:hAnsiTheme="minorHAnsi" w:cstheme="minorBidi"/>
          <w:lang w:eastAsia="en-GB"/>
        </w:rPr>
        <w:t>Design and implementation of a digital health home spirometry intervention for remote monitoring of lung transplant function. </w:t>
      </w:r>
      <w:r w:rsidR="00744869" w:rsidRPr="00744869">
        <w:rPr>
          <w:rFonts w:asciiTheme="minorHAnsi" w:eastAsia="Times New Roman" w:hAnsiTheme="minorHAnsi" w:cstheme="minorBidi"/>
          <w:i/>
          <w:iCs/>
          <w:lang w:eastAsia="en-GB"/>
        </w:rPr>
        <w:t>The Journal of Heart and Lung Transplantation</w:t>
      </w:r>
      <w:r w:rsidR="00744869" w:rsidRPr="00744869">
        <w:rPr>
          <w:rFonts w:asciiTheme="minorHAnsi" w:eastAsia="Times New Roman" w:hAnsiTheme="minorHAnsi" w:cstheme="minorBidi"/>
          <w:lang w:eastAsia="en-GB"/>
        </w:rPr>
        <w:t>, </w:t>
      </w:r>
      <w:r w:rsidR="00744869" w:rsidRPr="00744869">
        <w:rPr>
          <w:rFonts w:asciiTheme="minorHAnsi" w:eastAsia="Times New Roman" w:hAnsiTheme="minorHAnsi" w:cstheme="minorBidi"/>
          <w:i/>
          <w:iCs/>
          <w:lang w:eastAsia="en-GB"/>
        </w:rPr>
        <w:t>42</w:t>
      </w:r>
      <w:r w:rsidR="00744869" w:rsidRPr="00744869">
        <w:rPr>
          <w:rFonts w:asciiTheme="minorHAnsi" w:eastAsia="Times New Roman" w:hAnsiTheme="minorHAnsi" w:cstheme="minorBidi"/>
          <w:lang w:eastAsia="en-GB"/>
        </w:rPr>
        <w:t>(6), 828-837.</w:t>
      </w:r>
    </w:p>
    <w:p w14:paraId="4CF8FC4A" w14:textId="0F30B6EB" w:rsidR="000B07AE" w:rsidRDefault="000B07AE"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 xml:space="preserve">Oh, H., Rizo, C., </w:t>
      </w:r>
      <w:proofErr w:type="spellStart"/>
      <w:r w:rsidRPr="26F64964">
        <w:rPr>
          <w:rFonts w:asciiTheme="minorHAnsi" w:eastAsia="Times New Roman" w:hAnsiTheme="minorHAnsi" w:cstheme="minorBidi"/>
          <w:highlight w:val="white"/>
          <w:lang w:eastAsia="en-GB"/>
        </w:rPr>
        <w:t>Enkin</w:t>
      </w:r>
      <w:proofErr w:type="spellEnd"/>
      <w:r w:rsidRPr="26F64964">
        <w:rPr>
          <w:rFonts w:asciiTheme="minorHAnsi" w:eastAsia="Times New Roman" w:hAnsiTheme="minorHAnsi" w:cstheme="minorBidi"/>
          <w:highlight w:val="white"/>
          <w:lang w:eastAsia="en-GB"/>
        </w:rPr>
        <w:t>, M., &amp; Jadad, A. (2005). What is eHealth?: a systematic review</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of published definitions. </w:t>
      </w:r>
      <w:r w:rsidRPr="26F64964">
        <w:rPr>
          <w:rFonts w:asciiTheme="minorHAnsi" w:eastAsia="Times New Roman" w:hAnsiTheme="minorHAnsi" w:cstheme="minorBidi"/>
          <w:i/>
          <w:iCs/>
          <w:highlight w:val="white"/>
          <w:lang w:eastAsia="en-GB"/>
        </w:rPr>
        <w:t>World Hosp Health</w:t>
      </w:r>
      <w:r w:rsidRPr="26F64964">
        <w:rPr>
          <w:rFonts w:asciiTheme="minorHAnsi" w:eastAsia="Times New Roman" w:hAnsiTheme="minorHAnsi" w:cstheme="minorBidi"/>
          <w:i/>
          <w:iCs/>
          <w:lang w:eastAsia="en-GB"/>
        </w:rPr>
        <w:t xml:space="preserve"> Serv</w:t>
      </w:r>
      <w:r w:rsidR="002E0AC8" w:rsidRPr="26F64964">
        <w:rPr>
          <w:rFonts w:asciiTheme="minorHAnsi" w:eastAsia="Times New Roman" w:hAnsiTheme="minorHAnsi" w:cstheme="minorBidi"/>
          <w:i/>
          <w:iCs/>
          <w:lang w:eastAsia="en-GB"/>
        </w:rPr>
        <w:t>ices</w:t>
      </w:r>
      <w:r w:rsidRPr="26F64964">
        <w:rPr>
          <w:rFonts w:asciiTheme="minorHAnsi" w:eastAsia="Times New Roman" w:hAnsiTheme="minorHAnsi" w:cstheme="minorBidi"/>
          <w:lang w:eastAsia="en-GB"/>
        </w:rPr>
        <w:t>, </w:t>
      </w:r>
      <w:r w:rsidRPr="26F64964">
        <w:rPr>
          <w:rFonts w:asciiTheme="minorHAnsi" w:eastAsia="Times New Roman" w:hAnsiTheme="minorHAnsi" w:cstheme="minorBidi"/>
          <w:i/>
          <w:iCs/>
          <w:highlight w:val="white"/>
          <w:lang w:eastAsia="en-GB"/>
        </w:rPr>
        <w:t>41</w:t>
      </w:r>
      <w:r w:rsidRPr="26F64964">
        <w:rPr>
          <w:rFonts w:asciiTheme="minorHAnsi" w:eastAsia="Times New Roman" w:hAnsiTheme="minorHAnsi" w:cstheme="minorBidi"/>
          <w:highlight w:val="white"/>
          <w:lang w:eastAsia="en-GB"/>
        </w:rPr>
        <w:t>(1), 32-40</w:t>
      </w:r>
      <w:r w:rsidRPr="26F64964">
        <w:rPr>
          <w:rFonts w:asciiTheme="minorHAnsi" w:eastAsia="Times New Roman" w:hAnsiTheme="minorHAnsi" w:cstheme="minorBidi"/>
          <w:lang w:eastAsia="en-GB"/>
        </w:rPr>
        <w:t>.</w:t>
      </w:r>
    </w:p>
    <w:p w14:paraId="09146955" w14:textId="0F408FEF" w:rsidR="000A6DF7" w:rsidRPr="009E12F9" w:rsidRDefault="000A6DF7" w:rsidP="00413528">
      <w:pPr>
        <w:spacing w:line="240" w:lineRule="auto"/>
        <w:ind w:hanging="720"/>
        <w:rPr>
          <w:rFonts w:asciiTheme="minorHAnsi" w:eastAsia="Times New Roman" w:hAnsiTheme="minorHAnsi" w:cstheme="minorBidi"/>
          <w:lang w:eastAsia="en-GB"/>
        </w:rPr>
      </w:pPr>
      <w:r w:rsidRPr="000A6DF7">
        <w:rPr>
          <w:rFonts w:asciiTheme="minorHAnsi" w:eastAsia="Times New Roman" w:hAnsiTheme="minorHAnsi" w:cstheme="minorBidi"/>
          <w:lang w:eastAsia="en-GB"/>
        </w:rPr>
        <w:t>Oliveira, J. G. R. D., Sanders-Pinheiro, H., Freitas Filho, R. A. D., Vasconcelos Filho, J. E., Askari, M., &amp; Silva Júnior, G. B. D. (2023). Evaluation of the use of a Renal Health application by kidney transplant recipients. </w:t>
      </w:r>
      <w:proofErr w:type="spellStart"/>
      <w:r w:rsidRPr="000A6DF7">
        <w:rPr>
          <w:rFonts w:asciiTheme="minorHAnsi" w:eastAsia="Times New Roman" w:hAnsiTheme="minorHAnsi" w:cstheme="minorBidi"/>
          <w:i/>
          <w:iCs/>
          <w:lang w:eastAsia="en-GB"/>
        </w:rPr>
        <w:t>Revista</w:t>
      </w:r>
      <w:proofErr w:type="spellEnd"/>
      <w:r w:rsidRPr="000A6DF7">
        <w:rPr>
          <w:rFonts w:asciiTheme="minorHAnsi" w:eastAsia="Times New Roman" w:hAnsiTheme="minorHAnsi" w:cstheme="minorBidi"/>
          <w:i/>
          <w:iCs/>
          <w:lang w:eastAsia="en-GB"/>
        </w:rPr>
        <w:t xml:space="preserve"> Latino-Americana de </w:t>
      </w:r>
      <w:proofErr w:type="spellStart"/>
      <w:r w:rsidRPr="000A6DF7">
        <w:rPr>
          <w:rFonts w:asciiTheme="minorHAnsi" w:eastAsia="Times New Roman" w:hAnsiTheme="minorHAnsi" w:cstheme="minorBidi"/>
          <w:i/>
          <w:iCs/>
          <w:lang w:eastAsia="en-GB"/>
        </w:rPr>
        <w:t>Enfermagem</w:t>
      </w:r>
      <w:proofErr w:type="spellEnd"/>
      <w:r w:rsidRPr="000A6DF7">
        <w:rPr>
          <w:rFonts w:asciiTheme="minorHAnsi" w:eastAsia="Times New Roman" w:hAnsiTheme="minorHAnsi" w:cstheme="minorBidi"/>
          <w:lang w:eastAsia="en-GB"/>
        </w:rPr>
        <w:t>, </w:t>
      </w:r>
      <w:r w:rsidRPr="000A6DF7">
        <w:rPr>
          <w:rFonts w:asciiTheme="minorHAnsi" w:eastAsia="Times New Roman" w:hAnsiTheme="minorHAnsi" w:cstheme="minorBidi"/>
          <w:i/>
          <w:iCs/>
          <w:lang w:eastAsia="en-GB"/>
        </w:rPr>
        <w:t>31</w:t>
      </w:r>
      <w:r w:rsidR="00596046">
        <w:rPr>
          <w:rFonts w:asciiTheme="minorHAnsi" w:eastAsia="Times New Roman" w:hAnsiTheme="minorHAnsi" w:cstheme="minorBidi"/>
          <w:lang w:eastAsia="en-GB"/>
        </w:rPr>
        <w:t xml:space="preserve">, Article </w:t>
      </w:r>
      <w:r w:rsidR="00174B70">
        <w:rPr>
          <w:rFonts w:asciiTheme="minorHAnsi" w:eastAsia="Times New Roman" w:hAnsiTheme="minorHAnsi" w:cstheme="minorBidi"/>
          <w:lang w:eastAsia="en-GB"/>
        </w:rPr>
        <w:t>e3822.</w:t>
      </w:r>
    </w:p>
    <w:p w14:paraId="3BED295E" w14:textId="53C3A5B2" w:rsidR="00037515" w:rsidRPr="009E12F9" w:rsidRDefault="00037515"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 xml:space="preserve">Ortiz, F., &amp; </w:t>
      </w:r>
      <w:proofErr w:type="spellStart"/>
      <w:r w:rsidRPr="26F64964">
        <w:rPr>
          <w:rFonts w:asciiTheme="minorHAnsi" w:eastAsia="Times New Roman" w:hAnsiTheme="minorHAnsi" w:cstheme="minorBidi"/>
          <w:highlight w:val="white"/>
          <w:lang w:eastAsia="en-GB"/>
        </w:rPr>
        <w:t>Giunti</w:t>
      </w:r>
      <w:proofErr w:type="spellEnd"/>
      <w:r w:rsidRPr="26F64964">
        <w:rPr>
          <w:rFonts w:asciiTheme="minorHAnsi" w:eastAsia="Times New Roman" w:hAnsiTheme="minorHAnsi" w:cstheme="minorBidi"/>
          <w:highlight w:val="white"/>
          <w:lang w:eastAsia="en-GB"/>
        </w:rPr>
        <w:t>, G. (2022). Usability assessment of an interactive health technology</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for kidney living donors: protocol for a prospective cross-sectional survey. </w:t>
      </w:r>
      <w:r w:rsidRPr="26F64964">
        <w:rPr>
          <w:rFonts w:asciiTheme="minorHAnsi" w:eastAsia="Times New Roman" w:hAnsiTheme="minorHAnsi" w:cstheme="minorBidi"/>
          <w:i/>
          <w:iCs/>
          <w:highlight w:val="white"/>
          <w:lang w:eastAsia="en-GB"/>
        </w:rPr>
        <w:t>BMJ</w:t>
      </w:r>
      <w:r w:rsidRPr="26F64964">
        <w:rPr>
          <w:rFonts w:asciiTheme="minorHAnsi" w:eastAsia="Times New Roman" w:hAnsiTheme="minorHAnsi" w:cstheme="minorBidi"/>
          <w:i/>
          <w:iCs/>
          <w:lang w:eastAsia="en-GB"/>
        </w:rPr>
        <w:t xml:space="preserve"> </w:t>
      </w:r>
      <w:r w:rsidRPr="26F64964">
        <w:rPr>
          <w:rFonts w:asciiTheme="minorHAnsi" w:eastAsia="Times New Roman" w:hAnsiTheme="minorHAnsi" w:cstheme="minorBidi"/>
          <w:i/>
          <w:iCs/>
          <w:highlight w:val="white"/>
          <w:lang w:eastAsia="en-GB"/>
        </w:rPr>
        <w:t>open</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12</w:t>
      </w:r>
      <w:r w:rsidRPr="26F64964">
        <w:rPr>
          <w:rFonts w:asciiTheme="minorHAnsi" w:eastAsia="Times New Roman" w:hAnsiTheme="minorHAnsi" w:cstheme="minorBidi"/>
          <w:highlight w:val="white"/>
          <w:lang w:eastAsia="en-GB"/>
        </w:rPr>
        <w:t>(1</w:t>
      </w:r>
      <w:r w:rsidRPr="26F64964">
        <w:rPr>
          <w:rFonts w:asciiTheme="minorHAnsi" w:eastAsia="Times New Roman" w:hAnsiTheme="minorHAnsi" w:cstheme="minorBidi"/>
          <w:lang w:eastAsia="en-GB"/>
        </w:rPr>
        <w:t xml:space="preserve">), </w:t>
      </w:r>
      <w:r w:rsidR="0050029D" w:rsidRPr="26F64964">
        <w:rPr>
          <w:rFonts w:asciiTheme="minorHAnsi" w:eastAsia="Times New Roman" w:hAnsiTheme="minorHAnsi" w:cstheme="minorBidi"/>
          <w:lang w:eastAsia="en-GB"/>
        </w:rPr>
        <w:t xml:space="preserve">Article </w:t>
      </w:r>
      <w:r w:rsidRPr="26F64964">
        <w:rPr>
          <w:rFonts w:asciiTheme="minorHAnsi" w:eastAsia="Times New Roman" w:hAnsiTheme="minorHAnsi" w:cstheme="minorBidi"/>
          <w:highlight w:val="white"/>
          <w:lang w:eastAsia="en-GB"/>
        </w:rPr>
        <w:t>e051166</w:t>
      </w:r>
      <w:r w:rsidRPr="26F64964">
        <w:rPr>
          <w:rFonts w:asciiTheme="minorHAnsi" w:eastAsia="Times New Roman" w:hAnsiTheme="minorHAnsi" w:cstheme="minorBidi"/>
          <w:lang w:eastAsia="en-GB"/>
        </w:rPr>
        <w:t>.</w:t>
      </w:r>
    </w:p>
    <w:p w14:paraId="1597333F" w14:textId="3374675F" w:rsidR="00916969" w:rsidRPr="009E12F9" w:rsidRDefault="00916969" w:rsidP="00413528">
      <w:pPr>
        <w:spacing w:line="240" w:lineRule="auto"/>
        <w:ind w:hanging="720"/>
        <w:rPr>
          <w:rFonts w:asciiTheme="minorHAnsi" w:eastAsia="Times New Roman" w:hAnsiTheme="minorHAnsi" w:cstheme="minorBidi"/>
          <w:lang w:val="en-US" w:eastAsia="en-GB"/>
        </w:rPr>
      </w:pPr>
      <w:proofErr w:type="spellStart"/>
      <w:r w:rsidRPr="26F64964">
        <w:rPr>
          <w:rFonts w:asciiTheme="minorHAnsi" w:eastAsia="Times New Roman" w:hAnsiTheme="minorHAnsi" w:cstheme="minorBidi"/>
          <w:highlight w:val="white"/>
          <w:lang w:eastAsia="en-GB"/>
        </w:rPr>
        <w:t>Paglialonga</w:t>
      </w:r>
      <w:proofErr w:type="spellEnd"/>
      <w:r w:rsidRPr="26F64964">
        <w:rPr>
          <w:rFonts w:asciiTheme="minorHAnsi" w:eastAsia="Times New Roman" w:hAnsiTheme="minorHAnsi" w:cstheme="minorBidi"/>
          <w:highlight w:val="white"/>
          <w:lang w:eastAsia="en-GB"/>
        </w:rPr>
        <w:t>, A., Patel, A. A., Pinto, E., Mugambi, D., &amp; Keshavjee, K. (2019). The</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healthcare system perspective in mHealth. </w:t>
      </w:r>
      <w:proofErr w:type="spellStart"/>
      <w:r w:rsidRPr="26F64964">
        <w:rPr>
          <w:rFonts w:asciiTheme="minorHAnsi" w:eastAsia="Times New Roman" w:hAnsiTheme="minorHAnsi" w:cstheme="minorBidi"/>
          <w:i/>
          <w:iCs/>
          <w:highlight w:val="white"/>
          <w:lang w:eastAsia="en-GB"/>
        </w:rPr>
        <w:t>m_Health</w:t>
      </w:r>
      <w:proofErr w:type="spellEnd"/>
      <w:r w:rsidRPr="26F64964">
        <w:rPr>
          <w:rFonts w:asciiTheme="minorHAnsi" w:eastAsia="Times New Roman" w:hAnsiTheme="minorHAnsi" w:cstheme="minorBidi"/>
          <w:i/>
          <w:iCs/>
          <w:highlight w:val="white"/>
          <w:lang w:eastAsia="en-GB"/>
        </w:rPr>
        <w:t xml:space="preserve"> </w:t>
      </w:r>
      <w:r w:rsidR="00866A75" w:rsidRPr="26F64964">
        <w:rPr>
          <w:rFonts w:asciiTheme="minorHAnsi" w:eastAsia="Times New Roman" w:hAnsiTheme="minorHAnsi" w:cstheme="minorBidi"/>
          <w:i/>
          <w:iCs/>
          <w:highlight w:val="white"/>
          <w:lang w:eastAsia="en-GB"/>
        </w:rPr>
        <w:t>C</w:t>
      </w:r>
      <w:r w:rsidRPr="26F64964">
        <w:rPr>
          <w:rFonts w:asciiTheme="minorHAnsi" w:eastAsia="Times New Roman" w:hAnsiTheme="minorHAnsi" w:cstheme="minorBidi"/>
          <w:i/>
          <w:iCs/>
          <w:highlight w:val="white"/>
          <w:lang w:eastAsia="en-GB"/>
        </w:rPr>
        <w:t>ur</w:t>
      </w:r>
      <w:r w:rsidR="00866A75" w:rsidRPr="26F64964">
        <w:rPr>
          <w:rFonts w:asciiTheme="minorHAnsi" w:eastAsia="Times New Roman" w:hAnsiTheme="minorHAnsi" w:cstheme="minorBidi"/>
          <w:i/>
          <w:iCs/>
          <w:highlight w:val="white"/>
          <w:lang w:eastAsia="en-GB"/>
        </w:rPr>
        <w:t>rent</w:t>
      </w:r>
      <w:r w:rsidRPr="26F64964">
        <w:rPr>
          <w:rFonts w:asciiTheme="minorHAnsi" w:eastAsia="Times New Roman" w:hAnsiTheme="minorHAnsi" w:cstheme="minorBidi"/>
          <w:i/>
          <w:iCs/>
          <w:highlight w:val="white"/>
          <w:lang w:eastAsia="en-GB"/>
        </w:rPr>
        <w:t xml:space="preserve"> and </w:t>
      </w:r>
      <w:r w:rsidR="00866A75" w:rsidRPr="26F64964">
        <w:rPr>
          <w:rFonts w:asciiTheme="minorHAnsi" w:eastAsia="Times New Roman" w:hAnsiTheme="minorHAnsi" w:cstheme="minorBidi"/>
          <w:i/>
          <w:iCs/>
          <w:highlight w:val="white"/>
          <w:lang w:eastAsia="en-GB"/>
        </w:rPr>
        <w:t>Future Applications</w:t>
      </w:r>
      <w:r w:rsidRPr="26F64964">
        <w:rPr>
          <w:rFonts w:asciiTheme="minorHAnsi" w:eastAsia="Times New Roman" w:hAnsiTheme="minorHAnsi" w:cstheme="minorBidi"/>
          <w:highlight w:val="white"/>
          <w:lang w:eastAsia="en-GB"/>
        </w:rPr>
        <w:t>,</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127-142</w:t>
      </w:r>
      <w:r w:rsidRPr="26F64964">
        <w:rPr>
          <w:rFonts w:asciiTheme="minorHAnsi" w:eastAsia="Times New Roman" w:hAnsiTheme="minorHAnsi" w:cstheme="minorBidi"/>
          <w:lang w:eastAsia="en-GB"/>
        </w:rPr>
        <w:t>.</w:t>
      </w:r>
    </w:p>
    <w:p w14:paraId="61D24E84" w14:textId="5F6B8836" w:rsidR="007161A6" w:rsidRPr="009E12F9" w:rsidRDefault="007161A6" w:rsidP="00413528">
      <w:pPr>
        <w:spacing w:line="240" w:lineRule="auto"/>
        <w:ind w:hanging="720"/>
        <w:rPr>
          <w:rFonts w:asciiTheme="minorHAnsi" w:eastAsia="Times New Roman" w:hAnsiTheme="minorHAnsi" w:cstheme="minorBidi"/>
          <w:lang w:eastAsia="en-GB"/>
        </w:rPr>
      </w:pPr>
      <w:r w:rsidRPr="6A640EE8">
        <w:rPr>
          <w:rFonts w:asciiTheme="minorHAnsi" w:eastAsia="Times New Roman" w:hAnsiTheme="minorHAnsi" w:cstheme="minorBidi"/>
          <w:highlight w:val="white"/>
          <w:lang w:val="en-GB" w:eastAsia="en-GB"/>
        </w:rPr>
        <w:t xml:space="preserve">Paré, G., &amp; </w:t>
      </w:r>
      <w:proofErr w:type="spellStart"/>
      <w:r w:rsidRPr="6A640EE8">
        <w:rPr>
          <w:rFonts w:asciiTheme="minorHAnsi" w:eastAsia="Times New Roman" w:hAnsiTheme="minorHAnsi" w:cstheme="minorBidi"/>
          <w:highlight w:val="white"/>
          <w:lang w:val="en-GB" w:eastAsia="en-GB"/>
        </w:rPr>
        <w:t>Kitsiou</w:t>
      </w:r>
      <w:proofErr w:type="spellEnd"/>
      <w:r w:rsidRPr="6A640EE8">
        <w:rPr>
          <w:rFonts w:asciiTheme="minorHAnsi" w:eastAsia="Times New Roman" w:hAnsiTheme="minorHAnsi" w:cstheme="minorBidi"/>
          <w:highlight w:val="white"/>
          <w:lang w:val="en-GB" w:eastAsia="en-GB"/>
        </w:rPr>
        <w:t xml:space="preserve">, S. (2017). Methods for literature reviews. </w:t>
      </w:r>
      <w:r w:rsidRPr="6A640EE8">
        <w:rPr>
          <w:rFonts w:asciiTheme="minorHAnsi" w:eastAsia="Times New Roman" w:hAnsiTheme="minorHAnsi" w:cstheme="minorBidi"/>
          <w:i/>
          <w:highlight w:val="white"/>
          <w:lang w:val="en-US" w:eastAsia="en-GB"/>
        </w:rPr>
        <w:t>Handbook of</w:t>
      </w:r>
      <w:r w:rsidRPr="6A640EE8">
        <w:rPr>
          <w:rFonts w:asciiTheme="minorHAnsi" w:eastAsia="Times New Roman" w:hAnsiTheme="minorHAnsi" w:cstheme="minorBidi"/>
          <w:i/>
          <w:iCs/>
          <w:highlight w:val="white"/>
          <w:lang w:val="en-US" w:eastAsia="en-GB"/>
        </w:rPr>
        <w:t xml:space="preserve"> </w:t>
      </w:r>
      <w:r w:rsidRPr="6A640EE8">
        <w:rPr>
          <w:rFonts w:asciiTheme="minorHAnsi" w:eastAsia="Times New Roman" w:hAnsiTheme="minorHAnsi" w:cstheme="minorBidi"/>
          <w:i/>
          <w:highlight w:val="white"/>
          <w:lang w:val="en-US" w:eastAsia="en-GB"/>
        </w:rPr>
        <w:t>eHealth evaluation: An evidence-based approach</w:t>
      </w:r>
      <w:r w:rsidR="00C436D1" w:rsidRPr="6A640EE8">
        <w:rPr>
          <w:rFonts w:asciiTheme="minorHAnsi" w:eastAsia="Times New Roman" w:hAnsiTheme="minorHAnsi" w:cstheme="minorBidi"/>
          <w:i/>
          <w:highlight w:val="white"/>
          <w:lang w:val="en-US" w:eastAsia="en-GB"/>
        </w:rPr>
        <w:t xml:space="preserve">. </w:t>
      </w:r>
      <w:r w:rsidRPr="6A640EE8">
        <w:rPr>
          <w:rFonts w:asciiTheme="minorHAnsi" w:eastAsia="Times New Roman" w:hAnsiTheme="minorHAnsi" w:cstheme="minorBidi"/>
          <w:highlight w:val="white"/>
          <w:lang w:val="en-GB" w:eastAsia="en-GB"/>
        </w:rPr>
        <w:t>University of</w:t>
      </w:r>
      <w:r w:rsidR="000A022C" w:rsidRPr="6A640EE8">
        <w:rPr>
          <w:rFonts w:asciiTheme="minorHAnsi" w:eastAsia="Times New Roman" w:hAnsiTheme="minorHAnsi" w:cstheme="minorBidi"/>
          <w:highlight w:val="white"/>
          <w:lang w:val="en-GB" w:eastAsia="en-GB"/>
        </w:rPr>
        <w:t xml:space="preserve"> </w:t>
      </w:r>
      <w:r w:rsidRPr="6A640EE8">
        <w:rPr>
          <w:rFonts w:asciiTheme="minorHAnsi" w:eastAsia="Times New Roman" w:hAnsiTheme="minorHAnsi" w:cstheme="minorBidi"/>
          <w:highlight w:val="white"/>
          <w:lang w:val="en-GB" w:eastAsia="en-GB"/>
        </w:rPr>
        <w:t>Victoria.</w:t>
      </w:r>
      <w:r w:rsidRPr="6A640EE8">
        <w:rPr>
          <w:rFonts w:asciiTheme="minorHAnsi" w:eastAsia="Times New Roman" w:hAnsiTheme="minorHAnsi" w:cstheme="minorBidi"/>
          <w:highlight w:val="white"/>
          <w:lang w:val="en-US" w:eastAsia="en-GB"/>
        </w:rPr>
        <w:t> </w:t>
      </w:r>
      <w:hyperlink r:id="rId21">
        <w:r w:rsidRPr="6A640EE8">
          <w:rPr>
            <w:rStyle w:val="Hyperlink"/>
            <w:rFonts w:asciiTheme="minorHAnsi" w:eastAsia="Times New Roman" w:hAnsiTheme="minorHAnsi" w:cstheme="minorBidi"/>
            <w:color w:val="auto"/>
            <w:highlight w:val="white"/>
            <w:lang w:val="en-GB" w:eastAsia="en-GB"/>
          </w:rPr>
          <w:t>https://</w:t>
        </w:r>
      </w:hyperlink>
      <w:r w:rsidRPr="6A640EE8">
        <w:rPr>
          <w:rStyle w:val="Hyperlink"/>
          <w:rFonts w:asciiTheme="minorHAnsi" w:eastAsia="Times New Roman" w:hAnsiTheme="minorHAnsi" w:cstheme="minorBidi"/>
          <w:color w:val="auto"/>
          <w:highlight w:val="white"/>
          <w:lang w:val="en-GB" w:eastAsia="en-GB"/>
        </w:rPr>
        <w:t>www.ncbi.nlm.nih.gov/books/NBK481583/</w:t>
      </w:r>
    </w:p>
    <w:p w14:paraId="3D0B3A6B" w14:textId="2A7399C5" w:rsidR="007161A6" w:rsidRPr="009E12F9" w:rsidRDefault="007161A6" w:rsidP="00413528">
      <w:pPr>
        <w:spacing w:line="240" w:lineRule="auto"/>
        <w:ind w:hanging="720"/>
        <w:rPr>
          <w:rFonts w:asciiTheme="minorHAnsi" w:eastAsia="Times New Roman" w:hAnsiTheme="minorHAnsi" w:cstheme="minorBidi"/>
          <w:lang w:val="en-GB" w:eastAsia="en-GB"/>
        </w:rPr>
      </w:pPr>
      <w:r w:rsidRPr="26F64964">
        <w:rPr>
          <w:rFonts w:asciiTheme="minorHAnsi" w:eastAsia="Times New Roman" w:hAnsiTheme="minorHAnsi" w:cstheme="minorBidi"/>
          <w:highlight w:val="white"/>
          <w:lang w:val="en-GB" w:eastAsia="en-GB"/>
        </w:rPr>
        <w:t xml:space="preserve">Paré, G., Tate, M., Johnstone, D., &amp; </w:t>
      </w:r>
      <w:proofErr w:type="spellStart"/>
      <w:r w:rsidRPr="26F64964">
        <w:rPr>
          <w:rFonts w:asciiTheme="minorHAnsi" w:eastAsia="Times New Roman" w:hAnsiTheme="minorHAnsi" w:cstheme="minorBidi"/>
          <w:highlight w:val="white"/>
          <w:lang w:val="en-GB" w:eastAsia="en-GB"/>
        </w:rPr>
        <w:t>Kitsiou</w:t>
      </w:r>
      <w:proofErr w:type="spellEnd"/>
      <w:r w:rsidRPr="26F64964">
        <w:rPr>
          <w:rFonts w:asciiTheme="minorHAnsi" w:eastAsia="Times New Roman" w:hAnsiTheme="minorHAnsi" w:cstheme="minorBidi"/>
          <w:highlight w:val="white"/>
          <w:lang w:val="en-GB" w:eastAsia="en-GB"/>
        </w:rPr>
        <w:t>, S. (2016). Contextualizing the twin</w:t>
      </w:r>
      <w:r w:rsidRPr="26F64964">
        <w:rPr>
          <w:rFonts w:asciiTheme="minorHAnsi" w:eastAsia="Times New Roman" w:hAnsiTheme="minorHAnsi" w:cstheme="minorBidi"/>
          <w:lang w:val="en-GB" w:eastAsia="en-GB"/>
        </w:rPr>
        <w:t xml:space="preserve"> </w:t>
      </w:r>
      <w:r w:rsidRPr="26F64964">
        <w:rPr>
          <w:rFonts w:asciiTheme="minorHAnsi" w:eastAsia="Times New Roman" w:hAnsiTheme="minorHAnsi" w:cstheme="minorBidi"/>
          <w:highlight w:val="white"/>
          <w:lang w:val="en-GB" w:eastAsia="en-GB"/>
        </w:rPr>
        <w:t>concepts of systematicity and transparency in information systems literature reviews.</w:t>
      </w:r>
      <w:r w:rsidRPr="26F64964">
        <w:rPr>
          <w:rFonts w:asciiTheme="minorHAnsi" w:eastAsia="Times New Roman" w:hAnsiTheme="minorHAnsi" w:cstheme="minorBidi"/>
          <w:lang w:val="en-GB" w:eastAsia="en-GB"/>
        </w:rPr>
        <w:t xml:space="preserve"> </w:t>
      </w:r>
      <w:r w:rsidRPr="26F64964">
        <w:rPr>
          <w:rFonts w:asciiTheme="minorHAnsi" w:eastAsia="Times New Roman" w:hAnsiTheme="minorHAnsi" w:cstheme="minorBidi"/>
          <w:i/>
          <w:iCs/>
          <w:highlight w:val="white"/>
          <w:lang w:val="en-GB" w:eastAsia="en-GB"/>
        </w:rPr>
        <w:t>European Journal of Information Systems</w:t>
      </w:r>
      <w:r w:rsidRPr="26F64964">
        <w:rPr>
          <w:rFonts w:asciiTheme="minorHAnsi" w:eastAsia="Times New Roman" w:hAnsiTheme="minorHAnsi" w:cstheme="minorBidi"/>
          <w:highlight w:val="white"/>
          <w:lang w:val="en-GB" w:eastAsia="en-GB"/>
        </w:rPr>
        <w:t>, 25(6), 493-508.</w:t>
      </w:r>
      <w:r w:rsidRPr="26F64964">
        <w:rPr>
          <w:rFonts w:asciiTheme="minorHAnsi" w:eastAsia="Times New Roman" w:hAnsiTheme="minorHAnsi" w:cstheme="minorBidi"/>
          <w:lang w:val="en-US" w:eastAsia="en-GB"/>
        </w:rPr>
        <w:t> </w:t>
      </w:r>
    </w:p>
    <w:p w14:paraId="1A991B09" w14:textId="14724EB1" w:rsidR="007161A6" w:rsidRDefault="007161A6" w:rsidP="00413528">
      <w:pPr>
        <w:spacing w:line="240" w:lineRule="auto"/>
        <w:ind w:hanging="720"/>
        <w:rPr>
          <w:rFonts w:asciiTheme="minorHAnsi" w:eastAsia="Times New Roman" w:hAnsiTheme="minorHAnsi" w:cstheme="minorBidi"/>
          <w:lang w:val="en-GB" w:eastAsia="en-GB"/>
        </w:rPr>
      </w:pPr>
      <w:r w:rsidRPr="26F64964">
        <w:rPr>
          <w:rFonts w:asciiTheme="minorHAnsi" w:eastAsia="Times New Roman" w:hAnsiTheme="minorHAnsi" w:cstheme="minorBidi"/>
          <w:highlight w:val="white"/>
          <w:lang w:val="en-GB" w:eastAsia="en-GB"/>
        </w:rPr>
        <w:t xml:space="preserve">Paré, G., Trudel, M. C., Jaana, M., &amp; </w:t>
      </w:r>
      <w:proofErr w:type="spellStart"/>
      <w:r w:rsidRPr="26F64964">
        <w:rPr>
          <w:rFonts w:asciiTheme="minorHAnsi" w:eastAsia="Times New Roman" w:hAnsiTheme="minorHAnsi" w:cstheme="minorBidi"/>
          <w:highlight w:val="white"/>
          <w:lang w:val="en-GB" w:eastAsia="en-GB"/>
        </w:rPr>
        <w:t>Kitsiou</w:t>
      </w:r>
      <w:proofErr w:type="spellEnd"/>
      <w:r w:rsidRPr="26F64964">
        <w:rPr>
          <w:rFonts w:asciiTheme="minorHAnsi" w:eastAsia="Times New Roman" w:hAnsiTheme="minorHAnsi" w:cstheme="minorBidi"/>
          <w:highlight w:val="white"/>
          <w:lang w:val="en-GB" w:eastAsia="en-GB"/>
        </w:rPr>
        <w:t>, S. (2015). Synthesizing information</w:t>
      </w:r>
      <w:r w:rsidRPr="26F64964">
        <w:rPr>
          <w:rFonts w:asciiTheme="minorHAnsi" w:eastAsia="Times New Roman" w:hAnsiTheme="minorHAnsi" w:cstheme="minorBidi"/>
          <w:lang w:val="en-GB" w:eastAsia="en-GB"/>
        </w:rPr>
        <w:t xml:space="preserve"> </w:t>
      </w:r>
      <w:r w:rsidRPr="26F64964">
        <w:rPr>
          <w:rFonts w:asciiTheme="minorHAnsi" w:eastAsia="Times New Roman" w:hAnsiTheme="minorHAnsi" w:cstheme="minorBidi"/>
          <w:highlight w:val="white"/>
          <w:lang w:val="en-GB" w:eastAsia="en-GB"/>
        </w:rPr>
        <w:t xml:space="preserve">systems knowledge: A typology of literature reviews. </w:t>
      </w:r>
      <w:r w:rsidRPr="26F64964">
        <w:rPr>
          <w:rFonts w:asciiTheme="minorHAnsi" w:eastAsia="Times New Roman" w:hAnsiTheme="minorHAnsi" w:cstheme="minorBidi"/>
          <w:i/>
          <w:iCs/>
          <w:highlight w:val="white"/>
          <w:lang w:val="en-GB" w:eastAsia="en-GB"/>
        </w:rPr>
        <w:t>Information and Management,</w:t>
      </w:r>
      <w:r w:rsidRPr="26F64964">
        <w:rPr>
          <w:rFonts w:asciiTheme="minorHAnsi" w:eastAsia="Times New Roman" w:hAnsiTheme="minorHAnsi" w:cstheme="minorBidi"/>
          <w:lang w:val="en-GB" w:eastAsia="en-GB"/>
        </w:rPr>
        <w:t xml:space="preserve"> </w:t>
      </w:r>
      <w:r w:rsidRPr="26F64964">
        <w:rPr>
          <w:rFonts w:asciiTheme="minorHAnsi" w:eastAsia="Times New Roman" w:hAnsiTheme="minorHAnsi" w:cstheme="minorBidi"/>
          <w:highlight w:val="white"/>
          <w:lang w:val="en-GB" w:eastAsia="en-GB"/>
        </w:rPr>
        <w:t>52(2), 183-199</w:t>
      </w:r>
      <w:r w:rsidRPr="26F64964">
        <w:rPr>
          <w:rFonts w:asciiTheme="minorHAnsi" w:eastAsia="Times New Roman" w:hAnsiTheme="minorHAnsi" w:cstheme="minorBidi"/>
          <w:lang w:val="en-GB" w:eastAsia="en-GB"/>
        </w:rPr>
        <w:t>.</w:t>
      </w:r>
      <w:r w:rsidRPr="26F64964">
        <w:rPr>
          <w:rFonts w:asciiTheme="minorHAnsi" w:eastAsia="Times New Roman" w:hAnsiTheme="minorHAnsi" w:cstheme="minorBidi"/>
          <w:lang w:val="en-US" w:eastAsia="en-GB"/>
        </w:rPr>
        <w:t> </w:t>
      </w:r>
      <w:r w:rsidR="000A022C" w:rsidRPr="26F64964">
        <w:rPr>
          <w:rFonts w:asciiTheme="minorHAnsi" w:eastAsia="Times New Roman" w:hAnsiTheme="minorHAnsi" w:cstheme="minorBidi"/>
          <w:lang w:val="en-GB" w:eastAsia="en-GB"/>
        </w:rPr>
        <w:t xml:space="preserve"> </w:t>
      </w:r>
    </w:p>
    <w:p w14:paraId="2DEEC7A5" w14:textId="196683AD" w:rsidR="00905431" w:rsidRPr="009E12F9" w:rsidRDefault="00905431" w:rsidP="00413528">
      <w:pPr>
        <w:spacing w:line="240" w:lineRule="auto"/>
        <w:ind w:hanging="720"/>
        <w:rPr>
          <w:rFonts w:asciiTheme="minorHAnsi" w:eastAsia="Times New Roman" w:hAnsiTheme="minorHAnsi" w:cstheme="minorBidi"/>
          <w:lang w:val="en-GB" w:eastAsia="en-GB"/>
        </w:rPr>
      </w:pPr>
      <w:r w:rsidRPr="00905431">
        <w:rPr>
          <w:rFonts w:asciiTheme="minorHAnsi" w:eastAsia="Times New Roman" w:hAnsiTheme="minorHAnsi" w:cstheme="minorBidi"/>
          <w:lang w:eastAsia="en-GB"/>
        </w:rPr>
        <w:t>Park, L., Kim, J. H., Waldman, G., Marks, C. R., &amp; Clark, J. E. (2021). Impact analysis of virtual ambulatory transplant pharmacists during COVID‐19. </w:t>
      </w:r>
      <w:r w:rsidRPr="00905431">
        <w:rPr>
          <w:rFonts w:asciiTheme="minorHAnsi" w:eastAsia="Times New Roman" w:hAnsiTheme="minorHAnsi" w:cstheme="minorBidi"/>
          <w:i/>
          <w:iCs/>
          <w:lang w:eastAsia="en-GB"/>
        </w:rPr>
        <w:t>Journal of the American College of Clinical Pharmacy</w:t>
      </w:r>
      <w:r w:rsidRPr="00905431">
        <w:rPr>
          <w:rFonts w:asciiTheme="minorHAnsi" w:eastAsia="Times New Roman" w:hAnsiTheme="minorHAnsi" w:cstheme="minorBidi"/>
          <w:lang w:eastAsia="en-GB"/>
        </w:rPr>
        <w:t>, </w:t>
      </w:r>
      <w:r w:rsidRPr="00905431">
        <w:rPr>
          <w:rFonts w:asciiTheme="minorHAnsi" w:eastAsia="Times New Roman" w:hAnsiTheme="minorHAnsi" w:cstheme="minorBidi"/>
          <w:i/>
          <w:iCs/>
          <w:lang w:eastAsia="en-GB"/>
        </w:rPr>
        <w:t>4</w:t>
      </w:r>
      <w:r w:rsidRPr="00905431">
        <w:rPr>
          <w:rFonts w:asciiTheme="minorHAnsi" w:eastAsia="Times New Roman" w:hAnsiTheme="minorHAnsi" w:cstheme="minorBidi"/>
          <w:lang w:eastAsia="en-GB"/>
        </w:rPr>
        <w:t>(8), 978-987.</w:t>
      </w:r>
    </w:p>
    <w:p w14:paraId="5B5CD843" w14:textId="01EFA67A" w:rsidR="00803C04" w:rsidRPr="009E12F9" w:rsidRDefault="00803C04"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t xml:space="preserve">Patzer, R. E., McPherson, L., Basu, M., Mohan, S., Wolf, M., Chiles, M., </w:t>
      </w:r>
      <w:r w:rsidR="007C37A2" w:rsidRPr="26F64964">
        <w:rPr>
          <w:rFonts w:asciiTheme="minorHAnsi" w:eastAsia="Times New Roman" w:hAnsiTheme="minorHAnsi" w:cstheme="minorBidi"/>
          <w:highlight w:val="white"/>
          <w:lang w:eastAsia="en-GB"/>
        </w:rPr>
        <w:t>Russell, A.,</w:t>
      </w:r>
      <w:r w:rsidR="007C37A2" w:rsidRPr="26F64964">
        <w:rPr>
          <w:rFonts w:asciiTheme="minorHAnsi" w:eastAsia="Times New Roman" w:hAnsiTheme="minorHAnsi" w:cstheme="minorBidi"/>
          <w:lang w:eastAsia="en-GB"/>
        </w:rPr>
        <w:t xml:space="preserve"> </w:t>
      </w:r>
      <w:r w:rsidR="00350238" w:rsidRPr="26F64964">
        <w:rPr>
          <w:rFonts w:asciiTheme="minorHAnsi" w:eastAsia="Times New Roman" w:hAnsiTheme="minorHAnsi" w:cstheme="minorBidi"/>
          <w:highlight w:val="white"/>
          <w:lang w:eastAsia="en-GB"/>
        </w:rPr>
        <w:t xml:space="preserve">Gander, J. C., </w:t>
      </w:r>
      <w:proofErr w:type="spellStart"/>
      <w:r w:rsidR="00350238" w:rsidRPr="26F64964">
        <w:rPr>
          <w:rFonts w:asciiTheme="minorHAnsi" w:eastAsia="Times New Roman" w:hAnsiTheme="minorHAnsi" w:cstheme="minorBidi"/>
          <w:highlight w:val="white"/>
          <w:lang w:eastAsia="en-GB"/>
        </w:rPr>
        <w:t>Friedewald</w:t>
      </w:r>
      <w:proofErr w:type="spellEnd"/>
      <w:r w:rsidR="00350238" w:rsidRPr="26F64964">
        <w:rPr>
          <w:rFonts w:asciiTheme="minorHAnsi" w:eastAsia="Times New Roman" w:hAnsiTheme="minorHAnsi" w:cstheme="minorBidi"/>
          <w:highlight w:val="white"/>
          <w:lang w:eastAsia="en-GB"/>
        </w:rPr>
        <w:t xml:space="preserve">, J. J., Ladner, D., Larsen, C. P., Pearson, T., </w:t>
      </w:r>
      <w:r w:rsidRPr="26F64964">
        <w:rPr>
          <w:rFonts w:asciiTheme="minorHAnsi" w:eastAsia="Times New Roman" w:hAnsiTheme="minorHAnsi" w:cstheme="minorBidi"/>
          <w:highlight w:val="white"/>
          <w:lang w:eastAsia="en-GB"/>
        </w:rPr>
        <w:t xml:space="preserve">&amp; </w:t>
      </w:r>
      <w:proofErr w:type="spellStart"/>
      <w:r w:rsidRPr="26F64964">
        <w:rPr>
          <w:rFonts w:asciiTheme="minorHAnsi" w:eastAsia="Times New Roman" w:hAnsiTheme="minorHAnsi" w:cstheme="minorBidi"/>
          <w:highlight w:val="white"/>
          <w:lang w:eastAsia="en-GB"/>
        </w:rPr>
        <w:t>Pastan</w:t>
      </w:r>
      <w:proofErr w:type="spellEnd"/>
      <w:r w:rsidRPr="26F64964">
        <w:rPr>
          <w:rFonts w:asciiTheme="minorHAnsi" w:eastAsia="Times New Roman" w:hAnsiTheme="minorHAnsi" w:cstheme="minorBidi"/>
          <w:highlight w:val="white"/>
          <w:lang w:eastAsia="en-GB"/>
        </w:rPr>
        <w:t>, S.</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 xml:space="preserve">(2018). Effect of the </w:t>
      </w:r>
      <w:proofErr w:type="spellStart"/>
      <w:r w:rsidRPr="26F64964">
        <w:rPr>
          <w:rFonts w:asciiTheme="minorHAnsi" w:eastAsia="Times New Roman" w:hAnsiTheme="minorHAnsi" w:cstheme="minorBidi"/>
          <w:highlight w:val="white"/>
          <w:lang w:eastAsia="en-GB"/>
        </w:rPr>
        <w:t>iChoose</w:t>
      </w:r>
      <w:proofErr w:type="spellEnd"/>
      <w:r w:rsidRPr="26F64964">
        <w:rPr>
          <w:rFonts w:asciiTheme="minorHAnsi" w:eastAsia="Times New Roman" w:hAnsiTheme="minorHAnsi" w:cstheme="minorBidi"/>
          <w:highlight w:val="white"/>
          <w:lang w:eastAsia="en-GB"/>
        </w:rPr>
        <w:t xml:space="preserve"> Kidney decision aid in improving knowledge about</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treatment options among transplant candidates: a randomized controlled</w:t>
      </w:r>
      <w:r w:rsidRPr="26F64964">
        <w:rPr>
          <w:rFonts w:asciiTheme="minorHAnsi" w:eastAsia="Times New Roman" w:hAnsiTheme="minorHAnsi" w:cstheme="minorBidi"/>
          <w:lang w:eastAsia="en-GB"/>
        </w:rPr>
        <w:t xml:space="preserve"> </w:t>
      </w:r>
      <w:r w:rsidRPr="26F64964">
        <w:rPr>
          <w:rFonts w:asciiTheme="minorHAnsi" w:eastAsia="Times New Roman" w:hAnsiTheme="minorHAnsi" w:cstheme="minorBidi"/>
          <w:highlight w:val="white"/>
          <w:lang w:eastAsia="en-GB"/>
        </w:rPr>
        <w:t>trial. </w:t>
      </w:r>
      <w:r w:rsidRPr="26F64964">
        <w:rPr>
          <w:rFonts w:asciiTheme="minorHAnsi" w:eastAsia="Times New Roman" w:hAnsiTheme="minorHAnsi" w:cstheme="minorBidi"/>
          <w:i/>
          <w:iCs/>
          <w:highlight w:val="white"/>
          <w:lang w:eastAsia="en-GB"/>
        </w:rPr>
        <w:t>American Journal of Transplantation</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18</w:t>
      </w:r>
      <w:r w:rsidRPr="26F64964">
        <w:rPr>
          <w:rFonts w:asciiTheme="minorHAnsi" w:eastAsia="Times New Roman" w:hAnsiTheme="minorHAnsi" w:cstheme="minorBidi"/>
          <w:highlight w:val="white"/>
          <w:lang w:eastAsia="en-GB"/>
        </w:rPr>
        <w:t>(8), 1954-1965</w:t>
      </w:r>
      <w:r w:rsidRPr="26F64964">
        <w:rPr>
          <w:rFonts w:asciiTheme="minorHAnsi" w:eastAsia="Times New Roman" w:hAnsiTheme="minorHAnsi" w:cstheme="minorBidi"/>
          <w:lang w:eastAsia="en-GB"/>
        </w:rPr>
        <w:t>.</w:t>
      </w:r>
    </w:p>
    <w:p w14:paraId="06E43B6D" w14:textId="4616F25F" w:rsidR="000A6C66" w:rsidRDefault="0054343E" w:rsidP="00413528">
      <w:pPr>
        <w:spacing w:line="240" w:lineRule="auto"/>
        <w:ind w:hanging="720"/>
        <w:rPr>
          <w:rFonts w:asciiTheme="minorHAnsi" w:eastAsia="Times New Roman" w:hAnsiTheme="minorHAnsi" w:cstheme="minorBidi"/>
          <w:lang w:eastAsia="en-GB"/>
        </w:rPr>
      </w:pPr>
      <w:r w:rsidRPr="26F64964">
        <w:rPr>
          <w:rFonts w:asciiTheme="minorHAnsi" w:eastAsia="Times New Roman" w:hAnsiTheme="minorHAnsi" w:cstheme="minorBidi"/>
          <w:highlight w:val="white"/>
          <w:lang w:eastAsia="en-GB"/>
        </w:rPr>
        <w:lastRenderedPageBreak/>
        <w:t xml:space="preserve">Paul, J., Lim, W. M., </w:t>
      </w:r>
      <w:proofErr w:type="spellStart"/>
      <w:r w:rsidRPr="26F64964">
        <w:rPr>
          <w:rFonts w:asciiTheme="minorHAnsi" w:eastAsia="Times New Roman" w:hAnsiTheme="minorHAnsi" w:cstheme="minorBidi"/>
          <w:highlight w:val="white"/>
          <w:lang w:eastAsia="en-GB"/>
        </w:rPr>
        <w:t>O’Cass</w:t>
      </w:r>
      <w:proofErr w:type="spellEnd"/>
      <w:r w:rsidRPr="26F64964">
        <w:rPr>
          <w:rFonts w:asciiTheme="minorHAnsi" w:eastAsia="Times New Roman" w:hAnsiTheme="minorHAnsi" w:cstheme="minorBidi"/>
          <w:highlight w:val="white"/>
          <w:lang w:eastAsia="en-GB"/>
        </w:rPr>
        <w:t>, A., Hao, A. W., &amp; Bresciani, S. (2021). Scientific</w:t>
      </w:r>
      <w:r w:rsidRPr="26F64964">
        <w:rPr>
          <w:rFonts w:asciiTheme="minorHAnsi" w:eastAsia="Times New Roman" w:hAnsiTheme="minorHAnsi" w:cstheme="minorBidi"/>
          <w:lang w:eastAsia="en-GB"/>
        </w:rPr>
        <w:t xml:space="preserve"> procedures and rationales for systematic literature reviews (SPAR‐4‐</w:t>
      </w:r>
      <w:r w:rsidRPr="26F64964">
        <w:rPr>
          <w:rFonts w:asciiTheme="minorHAnsi" w:eastAsia="Times New Roman" w:hAnsiTheme="minorHAnsi" w:cstheme="minorBidi"/>
          <w:highlight w:val="white"/>
          <w:lang w:eastAsia="en-GB"/>
        </w:rPr>
        <w:t>SLR). </w:t>
      </w:r>
      <w:r w:rsidRPr="26F64964">
        <w:rPr>
          <w:rFonts w:asciiTheme="minorHAnsi" w:eastAsia="Times New Roman" w:hAnsiTheme="minorHAnsi" w:cstheme="minorBidi"/>
          <w:i/>
          <w:iCs/>
          <w:highlight w:val="white"/>
          <w:lang w:eastAsia="en-GB"/>
        </w:rPr>
        <w:t>International Journal of Consumer Studies</w:t>
      </w:r>
      <w:r w:rsidRPr="26F64964">
        <w:rPr>
          <w:rFonts w:asciiTheme="minorHAnsi" w:eastAsia="Times New Roman" w:hAnsiTheme="minorHAnsi" w:cstheme="minorBidi"/>
          <w:highlight w:val="white"/>
          <w:lang w:eastAsia="en-GB"/>
        </w:rPr>
        <w:t>, </w:t>
      </w:r>
      <w:r w:rsidRPr="26F64964">
        <w:rPr>
          <w:rFonts w:asciiTheme="minorHAnsi" w:eastAsia="Times New Roman" w:hAnsiTheme="minorHAnsi" w:cstheme="minorBidi"/>
          <w:i/>
          <w:iCs/>
          <w:highlight w:val="white"/>
          <w:lang w:eastAsia="en-GB"/>
        </w:rPr>
        <w:t>45</w:t>
      </w:r>
      <w:r w:rsidRPr="26F64964">
        <w:rPr>
          <w:rFonts w:asciiTheme="minorHAnsi" w:eastAsia="Times New Roman" w:hAnsiTheme="minorHAnsi" w:cstheme="minorBidi"/>
          <w:highlight w:val="white"/>
          <w:lang w:eastAsia="en-GB"/>
        </w:rPr>
        <w:t>(4), O1-O16</w:t>
      </w:r>
      <w:r w:rsidRPr="26F64964">
        <w:rPr>
          <w:rFonts w:asciiTheme="minorHAnsi" w:eastAsia="Times New Roman" w:hAnsiTheme="minorHAnsi" w:cstheme="minorBidi"/>
          <w:lang w:eastAsia="en-GB"/>
        </w:rPr>
        <w:t>.</w:t>
      </w:r>
    </w:p>
    <w:p w14:paraId="61C3427A" w14:textId="0B9741F4" w:rsidR="004431A7" w:rsidRPr="009E12F9" w:rsidRDefault="004431A7" w:rsidP="00413528">
      <w:pPr>
        <w:spacing w:line="240" w:lineRule="auto"/>
        <w:ind w:hanging="720"/>
        <w:rPr>
          <w:rFonts w:asciiTheme="minorHAnsi" w:eastAsia="Times New Roman" w:hAnsiTheme="minorHAnsi" w:cstheme="minorBidi"/>
          <w:lang w:eastAsia="en-GB"/>
        </w:rPr>
      </w:pPr>
      <w:proofErr w:type="spellStart"/>
      <w:r w:rsidRPr="004431A7">
        <w:rPr>
          <w:rFonts w:asciiTheme="minorHAnsi" w:eastAsia="Times New Roman" w:hAnsiTheme="minorHAnsi" w:cstheme="minorBidi"/>
          <w:lang w:eastAsia="en-GB"/>
        </w:rPr>
        <w:t>Pollockm</w:t>
      </w:r>
      <w:proofErr w:type="spellEnd"/>
      <w:r w:rsidRPr="004431A7">
        <w:rPr>
          <w:rFonts w:asciiTheme="minorHAnsi" w:eastAsia="Times New Roman" w:hAnsiTheme="minorHAnsi" w:cstheme="minorBidi"/>
          <w:lang w:eastAsia="en-GB"/>
        </w:rPr>
        <w:t xml:space="preserve"> M. D., Stauffer, N., Lee, H., Chow, S., Satoru, I., Moats, L., Swan-Nesbit, S., Li, Y., Roberts, J. K., Ellis, M. J., </w:t>
      </w:r>
      <w:proofErr w:type="spellStart"/>
      <w:r w:rsidRPr="004431A7">
        <w:rPr>
          <w:rFonts w:asciiTheme="minorHAnsi" w:eastAsia="Times New Roman" w:hAnsiTheme="minorHAnsi" w:cstheme="minorBidi"/>
          <w:lang w:eastAsia="en-GB"/>
        </w:rPr>
        <w:t>Diamantidism</w:t>
      </w:r>
      <w:proofErr w:type="spellEnd"/>
      <w:r w:rsidRPr="004431A7">
        <w:rPr>
          <w:rFonts w:asciiTheme="minorHAnsi" w:eastAsia="Times New Roman" w:hAnsiTheme="minorHAnsi" w:cstheme="minorBidi"/>
          <w:lang w:eastAsia="en-GB"/>
        </w:rPr>
        <w:t xml:space="preserve"> C. J., Docherty, S. L., Chambers, E. T. (2023)</w:t>
      </w:r>
      <w:r>
        <w:rPr>
          <w:rFonts w:asciiTheme="minorHAnsi" w:eastAsia="Times New Roman" w:hAnsiTheme="minorHAnsi" w:cstheme="minorBidi"/>
          <w:lang w:eastAsia="en-GB"/>
        </w:rPr>
        <w:t xml:space="preserve">. </w:t>
      </w:r>
      <w:proofErr w:type="spellStart"/>
      <w:r w:rsidR="005A6460" w:rsidRPr="005A6460">
        <w:rPr>
          <w:rFonts w:asciiTheme="minorHAnsi" w:eastAsia="Times New Roman" w:hAnsiTheme="minorHAnsi" w:cstheme="minorBidi"/>
          <w:lang w:eastAsia="en-GB"/>
        </w:rPr>
        <w:t>MyKidneyCoach</w:t>
      </w:r>
      <w:proofErr w:type="spellEnd"/>
      <w:r w:rsidR="005A6460" w:rsidRPr="005A6460">
        <w:rPr>
          <w:rFonts w:asciiTheme="minorHAnsi" w:eastAsia="Times New Roman" w:hAnsiTheme="minorHAnsi" w:cstheme="minorBidi"/>
          <w:lang w:eastAsia="en-GB"/>
        </w:rPr>
        <w:t xml:space="preserve">, </w:t>
      </w:r>
      <w:r w:rsidR="005A6460">
        <w:rPr>
          <w:rFonts w:asciiTheme="minorHAnsi" w:eastAsia="Times New Roman" w:hAnsiTheme="minorHAnsi" w:cstheme="minorBidi"/>
          <w:lang w:eastAsia="en-GB"/>
        </w:rPr>
        <w:t>p</w:t>
      </w:r>
      <w:r w:rsidR="005A6460" w:rsidRPr="005A6460">
        <w:rPr>
          <w:rFonts w:asciiTheme="minorHAnsi" w:eastAsia="Times New Roman" w:hAnsiTheme="minorHAnsi" w:cstheme="minorBidi"/>
          <w:lang w:eastAsia="en-GB"/>
        </w:rPr>
        <w:t xml:space="preserve">atient </w:t>
      </w:r>
      <w:r w:rsidR="005A6460">
        <w:rPr>
          <w:rFonts w:asciiTheme="minorHAnsi" w:eastAsia="Times New Roman" w:hAnsiTheme="minorHAnsi" w:cstheme="minorBidi"/>
          <w:lang w:eastAsia="en-GB"/>
        </w:rPr>
        <w:t>a</w:t>
      </w:r>
      <w:r w:rsidR="005A6460" w:rsidRPr="005A6460">
        <w:rPr>
          <w:rFonts w:asciiTheme="minorHAnsi" w:eastAsia="Times New Roman" w:hAnsiTheme="minorHAnsi" w:cstheme="minorBidi"/>
          <w:lang w:eastAsia="en-GB"/>
        </w:rPr>
        <w:t xml:space="preserve">ctivation, and </w:t>
      </w:r>
      <w:r w:rsidR="005A6460">
        <w:rPr>
          <w:rFonts w:asciiTheme="minorHAnsi" w:eastAsia="Times New Roman" w:hAnsiTheme="minorHAnsi" w:cstheme="minorBidi"/>
          <w:lang w:eastAsia="en-GB"/>
        </w:rPr>
        <w:t>c</w:t>
      </w:r>
      <w:r w:rsidR="005A6460" w:rsidRPr="005A6460">
        <w:rPr>
          <w:rFonts w:asciiTheme="minorHAnsi" w:eastAsia="Times New Roman" w:hAnsiTheme="minorHAnsi" w:cstheme="minorBidi"/>
          <w:lang w:eastAsia="en-GB"/>
        </w:rPr>
        <w:t xml:space="preserve">linical </w:t>
      </w:r>
      <w:r w:rsidR="005A6460">
        <w:rPr>
          <w:rFonts w:asciiTheme="minorHAnsi" w:eastAsia="Times New Roman" w:hAnsiTheme="minorHAnsi" w:cstheme="minorBidi"/>
          <w:lang w:eastAsia="en-GB"/>
        </w:rPr>
        <w:t>o</w:t>
      </w:r>
      <w:r w:rsidR="005A6460" w:rsidRPr="005A6460">
        <w:rPr>
          <w:rFonts w:asciiTheme="minorHAnsi" w:eastAsia="Times New Roman" w:hAnsiTheme="minorHAnsi" w:cstheme="minorBidi"/>
          <w:lang w:eastAsia="en-GB"/>
        </w:rPr>
        <w:t xml:space="preserve">utcomes in </w:t>
      </w:r>
      <w:r w:rsidR="005A6460">
        <w:rPr>
          <w:rFonts w:asciiTheme="minorHAnsi" w:eastAsia="Times New Roman" w:hAnsiTheme="minorHAnsi" w:cstheme="minorBidi"/>
          <w:lang w:eastAsia="en-GB"/>
        </w:rPr>
        <w:t>d</w:t>
      </w:r>
      <w:r w:rsidR="005A6460" w:rsidRPr="005A6460">
        <w:rPr>
          <w:rFonts w:asciiTheme="minorHAnsi" w:eastAsia="Times New Roman" w:hAnsiTheme="minorHAnsi" w:cstheme="minorBidi"/>
          <w:lang w:eastAsia="en-GB"/>
        </w:rPr>
        <w:t xml:space="preserve">iverse </w:t>
      </w:r>
      <w:r w:rsidR="005A6460">
        <w:rPr>
          <w:rFonts w:asciiTheme="minorHAnsi" w:eastAsia="Times New Roman" w:hAnsiTheme="minorHAnsi" w:cstheme="minorBidi"/>
          <w:lang w:eastAsia="en-GB"/>
        </w:rPr>
        <w:t>k</w:t>
      </w:r>
      <w:r w:rsidR="005A6460" w:rsidRPr="005A6460">
        <w:rPr>
          <w:rFonts w:asciiTheme="minorHAnsi" w:eastAsia="Times New Roman" w:hAnsiTheme="minorHAnsi" w:cstheme="minorBidi"/>
          <w:lang w:eastAsia="en-GB"/>
        </w:rPr>
        <w:t xml:space="preserve">idney </w:t>
      </w:r>
      <w:r w:rsidR="005A6460">
        <w:rPr>
          <w:rFonts w:asciiTheme="minorHAnsi" w:eastAsia="Times New Roman" w:hAnsiTheme="minorHAnsi" w:cstheme="minorBidi"/>
          <w:lang w:eastAsia="en-GB"/>
        </w:rPr>
        <w:t>t</w:t>
      </w:r>
      <w:r w:rsidR="005A6460" w:rsidRPr="005A6460">
        <w:rPr>
          <w:rFonts w:asciiTheme="minorHAnsi" w:eastAsia="Times New Roman" w:hAnsiTheme="minorHAnsi" w:cstheme="minorBidi"/>
          <w:lang w:eastAsia="en-GB"/>
        </w:rPr>
        <w:t xml:space="preserve">ransplant </w:t>
      </w:r>
      <w:r w:rsidR="005A6460">
        <w:rPr>
          <w:rFonts w:asciiTheme="minorHAnsi" w:eastAsia="Times New Roman" w:hAnsiTheme="minorHAnsi" w:cstheme="minorBidi"/>
          <w:lang w:eastAsia="en-GB"/>
        </w:rPr>
        <w:t>r</w:t>
      </w:r>
      <w:r w:rsidR="005A6460" w:rsidRPr="005A6460">
        <w:rPr>
          <w:rFonts w:asciiTheme="minorHAnsi" w:eastAsia="Times New Roman" w:hAnsiTheme="minorHAnsi" w:cstheme="minorBidi"/>
          <w:lang w:eastAsia="en-GB"/>
        </w:rPr>
        <w:t xml:space="preserve">ecipients: A </w:t>
      </w:r>
      <w:r w:rsidR="005A6460">
        <w:rPr>
          <w:rFonts w:asciiTheme="minorHAnsi" w:eastAsia="Times New Roman" w:hAnsiTheme="minorHAnsi" w:cstheme="minorBidi"/>
          <w:lang w:eastAsia="en-GB"/>
        </w:rPr>
        <w:t>r</w:t>
      </w:r>
      <w:r w:rsidR="005A6460" w:rsidRPr="005A6460">
        <w:rPr>
          <w:rFonts w:asciiTheme="minorHAnsi" w:eastAsia="Times New Roman" w:hAnsiTheme="minorHAnsi" w:cstheme="minorBidi"/>
          <w:lang w:eastAsia="en-GB"/>
        </w:rPr>
        <w:t xml:space="preserve">andomized </w:t>
      </w:r>
      <w:r w:rsidR="005A6460">
        <w:rPr>
          <w:rFonts w:asciiTheme="minorHAnsi" w:eastAsia="Times New Roman" w:hAnsiTheme="minorHAnsi" w:cstheme="minorBidi"/>
          <w:lang w:eastAsia="en-GB"/>
        </w:rPr>
        <w:t>c</w:t>
      </w:r>
      <w:r w:rsidR="005A6460" w:rsidRPr="005A6460">
        <w:rPr>
          <w:rFonts w:asciiTheme="minorHAnsi" w:eastAsia="Times New Roman" w:hAnsiTheme="minorHAnsi" w:cstheme="minorBidi"/>
          <w:lang w:eastAsia="en-GB"/>
        </w:rPr>
        <w:t xml:space="preserve">ontrol </w:t>
      </w:r>
      <w:r w:rsidR="005A6460">
        <w:rPr>
          <w:rFonts w:asciiTheme="minorHAnsi" w:eastAsia="Times New Roman" w:hAnsiTheme="minorHAnsi" w:cstheme="minorBidi"/>
          <w:lang w:eastAsia="en-GB"/>
        </w:rPr>
        <w:t>p</w:t>
      </w:r>
      <w:r w:rsidR="005A6460" w:rsidRPr="005A6460">
        <w:rPr>
          <w:rFonts w:asciiTheme="minorHAnsi" w:eastAsia="Times New Roman" w:hAnsiTheme="minorHAnsi" w:cstheme="minorBidi"/>
          <w:lang w:eastAsia="en-GB"/>
        </w:rPr>
        <w:t xml:space="preserve">ilot </w:t>
      </w:r>
      <w:r w:rsidR="005A6460">
        <w:rPr>
          <w:rFonts w:asciiTheme="minorHAnsi" w:eastAsia="Times New Roman" w:hAnsiTheme="minorHAnsi" w:cstheme="minorBidi"/>
          <w:lang w:eastAsia="en-GB"/>
        </w:rPr>
        <w:t>t</w:t>
      </w:r>
      <w:r w:rsidR="005A6460" w:rsidRPr="005A6460">
        <w:rPr>
          <w:rFonts w:asciiTheme="minorHAnsi" w:eastAsia="Times New Roman" w:hAnsiTheme="minorHAnsi" w:cstheme="minorBidi"/>
          <w:lang w:eastAsia="en-GB"/>
        </w:rPr>
        <w:t>rial. </w:t>
      </w:r>
      <w:r w:rsidR="005A6460" w:rsidRPr="005A6460">
        <w:rPr>
          <w:rFonts w:asciiTheme="minorHAnsi" w:eastAsia="Times New Roman" w:hAnsiTheme="minorHAnsi" w:cstheme="minorBidi"/>
          <w:i/>
          <w:iCs/>
          <w:lang w:eastAsia="en-GB"/>
        </w:rPr>
        <w:t>Transplantation Direct</w:t>
      </w:r>
      <w:r w:rsidR="005A6460" w:rsidRPr="005A6460">
        <w:rPr>
          <w:rFonts w:asciiTheme="minorHAnsi" w:eastAsia="Times New Roman" w:hAnsiTheme="minorHAnsi" w:cstheme="minorBidi"/>
          <w:lang w:eastAsia="en-GB"/>
        </w:rPr>
        <w:t>, </w:t>
      </w:r>
      <w:r w:rsidR="005A6460" w:rsidRPr="005A6460">
        <w:rPr>
          <w:rFonts w:asciiTheme="minorHAnsi" w:eastAsia="Times New Roman" w:hAnsiTheme="minorHAnsi" w:cstheme="minorBidi"/>
          <w:i/>
          <w:iCs/>
          <w:lang w:eastAsia="en-GB"/>
        </w:rPr>
        <w:t>9</w:t>
      </w:r>
      <w:r w:rsidR="005A6460" w:rsidRPr="005A6460">
        <w:rPr>
          <w:rFonts w:asciiTheme="minorHAnsi" w:eastAsia="Times New Roman" w:hAnsiTheme="minorHAnsi" w:cstheme="minorBidi"/>
          <w:lang w:eastAsia="en-GB"/>
        </w:rPr>
        <w:t>(4).</w:t>
      </w:r>
    </w:p>
    <w:p w14:paraId="700D6FCC" w14:textId="7C65923B" w:rsidR="002C4127" w:rsidRPr="00D33C9F" w:rsidRDefault="002C4127" w:rsidP="00413528">
      <w:pPr>
        <w:spacing w:line="240" w:lineRule="auto"/>
        <w:ind w:hanging="720"/>
        <w:rPr>
          <w:rFonts w:asciiTheme="minorHAnsi" w:eastAsia="Times New Roman" w:hAnsiTheme="minorHAnsi" w:cstheme="minorHAnsi"/>
          <w:lang w:eastAsia="en-GB"/>
        </w:rPr>
      </w:pPr>
      <w:r w:rsidRPr="009E12F9">
        <w:rPr>
          <w:rFonts w:asciiTheme="minorHAnsi" w:eastAsia="Times New Roman" w:hAnsiTheme="minorHAnsi" w:cstheme="minorHAnsi"/>
          <w:lang w:eastAsia="en-GB"/>
        </w:rPr>
        <w:t>Precedence Research (</w:t>
      </w:r>
      <w:r w:rsidR="006E03E3" w:rsidRPr="009E12F9">
        <w:rPr>
          <w:rFonts w:asciiTheme="minorHAnsi" w:eastAsia="Times New Roman" w:hAnsiTheme="minorHAnsi" w:cstheme="minorHAnsi"/>
          <w:lang w:eastAsia="en-GB"/>
        </w:rPr>
        <w:t>2023</w:t>
      </w:r>
      <w:r w:rsidRPr="009E12F9">
        <w:rPr>
          <w:rFonts w:asciiTheme="minorHAnsi" w:eastAsia="Times New Roman" w:hAnsiTheme="minorHAnsi" w:cstheme="minorHAnsi"/>
          <w:lang w:eastAsia="en-GB"/>
        </w:rPr>
        <w:t xml:space="preserve">). </w:t>
      </w:r>
      <w:r w:rsidRPr="009E12F9">
        <w:rPr>
          <w:rFonts w:asciiTheme="minorHAnsi" w:eastAsia="Times New Roman" w:hAnsiTheme="minorHAnsi" w:cstheme="minorHAnsi"/>
          <w:i/>
          <w:iCs/>
          <w:lang w:eastAsia="en-GB"/>
        </w:rPr>
        <w:t xml:space="preserve">eHealth </w:t>
      </w:r>
      <w:r w:rsidRPr="00D33C9F">
        <w:rPr>
          <w:rFonts w:asciiTheme="minorHAnsi" w:eastAsia="Times New Roman" w:hAnsiTheme="minorHAnsi" w:cstheme="minorHAnsi"/>
          <w:i/>
          <w:iCs/>
          <w:lang w:eastAsia="en-GB"/>
        </w:rPr>
        <w:t>Market</w:t>
      </w:r>
      <w:r w:rsidRPr="00D33C9F">
        <w:rPr>
          <w:rFonts w:asciiTheme="minorHAnsi" w:eastAsia="Times New Roman" w:hAnsiTheme="minorHAnsi" w:cstheme="minorHAnsi"/>
          <w:lang w:eastAsia="en-GB"/>
        </w:rPr>
        <w:t xml:space="preserve">. </w:t>
      </w:r>
      <w:hyperlink r:id="rId22" w:history="1">
        <w:r w:rsidR="00B44063" w:rsidRPr="00D33C9F">
          <w:rPr>
            <w:rStyle w:val="Hyperlink"/>
            <w:rFonts w:asciiTheme="minorHAnsi" w:eastAsia="Times New Roman" w:hAnsiTheme="minorHAnsi" w:cstheme="minorHAnsi"/>
            <w:color w:val="auto"/>
            <w:lang w:eastAsia="en-GB"/>
          </w:rPr>
          <w:t>https://www.precedenceresearch.com/ehealth-market</w:t>
        </w:r>
      </w:hyperlink>
      <w:r w:rsidR="00B44063" w:rsidRPr="00D33C9F">
        <w:rPr>
          <w:rFonts w:asciiTheme="minorHAnsi" w:eastAsia="Times New Roman" w:hAnsiTheme="minorHAnsi" w:cstheme="minorHAnsi"/>
          <w:lang w:eastAsia="en-GB"/>
        </w:rPr>
        <w:t xml:space="preserve"> </w:t>
      </w:r>
    </w:p>
    <w:p w14:paraId="383E5548" w14:textId="26876628" w:rsidR="005669C3" w:rsidRPr="00D33C9F" w:rsidRDefault="005669C3" w:rsidP="00413528">
      <w:pPr>
        <w:spacing w:line="240" w:lineRule="auto"/>
        <w:ind w:hanging="720"/>
        <w:rPr>
          <w:rFonts w:asciiTheme="minorHAnsi" w:eastAsia="Times New Roman" w:hAnsiTheme="minorHAnsi" w:cstheme="minorHAnsi"/>
          <w:lang w:eastAsia="en-GB"/>
        </w:rPr>
      </w:pPr>
      <w:r w:rsidRPr="00D33C9F">
        <w:rPr>
          <w:rFonts w:asciiTheme="minorHAnsi" w:eastAsia="Times New Roman" w:hAnsiTheme="minorHAnsi" w:cstheme="minorHAnsi"/>
          <w:lang w:eastAsia="en-GB"/>
        </w:rPr>
        <w:t xml:space="preserve">Reber, S., Scheel, S., Stoessel, L., Schieber, K., Jank, S., </w:t>
      </w:r>
      <w:proofErr w:type="spellStart"/>
      <w:r w:rsidRPr="00D33C9F">
        <w:rPr>
          <w:rFonts w:asciiTheme="minorHAnsi" w:eastAsia="Times New Roman" w:hAnsiTheme="minorHAnsi" w:cstheme="minorHAnsi"/>
          <w:lang w:eastAsia="en-GB"/>
        </w:rPr>
        <w:t>Lüker</w:t>
      </w:r>
      <w:proofErr w:type="spellEnd"/>
      <w:r w:rsidRPr="00D33C9F">
        <w:rPr>
          <w:rFonts w:asciiTheme="minorHAnsi" w:eastAsia="Times New Roman" w:hAnsiTheme="minorHAnsi" w:cstheme="minorHAnsi"/>
          <w:lang w:eastAsia="en-GB"/>
        </w:rPr>
        <w:t xml:space="preserve">, C., </w:t>
      </w:r>
      <w:proofErr w:type="spellStart"/>
      <w:r w:rsidRPr="00D33C9F">
        <w:rPr>
          <w:rFonts w:asciiTheme="minorHAnsi" w:eastAsia="Times New Roman" w:hAnsiTheme="minorHAnsi" w:cstheme="minorHAnsi"/>
          <w:lang w:eastAsia="en-GB"/>
        </w:rPr>
        <w:t>Vitinius</w:t>
      </w:r>
      <w:proofErr w:type="spellEnd"/>
      <w:r w:rsidRPr="00D33C9F">
        <w:rPr>
          <w:rFonts w:asciiTheme="minorHAnsi" w:eastAsia="Times New Roman" w:hAnsiTheme="minorHAnsi" w:cstheme="minorHAnsi"/>
          <w:lang w:eastAsia="en-GB"/>
        </w:rPr>
        <w:t xml:space="preserve">, F., Grundmann, F., Eckardt, K.-U., Prokosch, H.-U., &amp; Erim, Y. (2018). </w:t>
      </w:r>
      <w:r w:rsidR="001E0984" w:rsidRPr="00D33C9F">
        <w:rPr>
          <w:rFonts w:asciiTheme="minorHAnsi" w:eastAsia="Times New Roman" w:hAnsiTheme="minorHAnsi" w:cstheme="minorHAnsi"/>
          <w:lang w:eastAsia="en-GB"/>
        </w:rPr>
        <w:t xml:space="preserve">Mobile technology affinity in renal transplant recipients. </w:t>
      </w:r>
      <w:r w:rsidR="001E0984" w:rsidRPr="00D33C9F">
        <w:rPr>
          <w:rFonts w:asciiTheme="minorHAnsi" w:eastAsia="Times New Roman" w:hAnsiTheme="minorHAnsi" w:cstheme="minorHAnsi"/>
          <w:i/>
          <w:iCs/>
          <w:lang w:eastAsia="en-GB"/>
        </w:rPr>
        <w:t>Transplantation Proceedings,</w:t>
      </w:r>
      <w:r w:rsidR="001E0984" w:rsidRPr="00D33C9F">
        <w:rPr>
          <w:rFonts w:asciiTheme="minorHAnsi" w:eastAsia="Times New Roman" w:hAnsiTheme="minorHAnsi" w:cstheme="minorHAnsi"/>
          <w:lang w:eastAsia="en-GB"/>
        </w:rPr>
        <w:t> </w:t>
      </w:r>
      <w:r w:rsidR="001E0984" w:rsidRPr="00D33C9F">
        <w:rPr>
          <w:rFonts w:asciiTheme="minorHAnsi" w:eastAsia="Times New Roman" w:hAnsiTheme="minorHAnsi" w:cstheme="minorHAnsi"/>
          <w:i/>
          <w:iCs/>
          <w:lang w:eastAsia="en-GB"/>
        </w:rPr>
        <w:t>50</w:t>
      </w:r>
      <w:r w:rsidR="001E0984" w:rsidRPr="00D33C9F">
        <w:rPr>
          <w:rFonts w:asciiTheme="minorHAnsi" w:eastAsia="Times New Roman" w:hAnsiTheme="minorHAnsi" w:cstheme="minorHAnsi"/>
          <w:lang w:eastAsia="en-GB"/>
        </w:rPr>
        <w:t xml:space="preserve">(1), 92-98. </w:t>
      </w:r>
    </w:p>
    <w:p w14:paraId="2E622B2F" w14:textId="34E5D447" w:rsidR="006410C9" w:rsidRPr="00D33C9F" w:rsidRDefault="006410C9"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highlight w:val="white"/>
          <w:lang w:eastAsia="en-GB"/>
        </w:rPr>
        <w:t>Rowe, F. (2014). What literature review is not: diversity, boundaries and</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recommendations. </w:t>
      </w:r>
      <w:r w:rsidRPr="00D33C9F">
        <w:rPr>
          <w:rFonts w:asciiTheme="minorHAnsi" w:eastAsia="Times New Roman" w:hAnsiTheme="minorHAnsi" w:cstheme="minorBidi"/>
          <w:i/>
          <w:iCs/>
          <w:highlight w:val="white"/>
          <w:lang w:eastAsia="en-GB"/>
        </w:rPr>
        <w:t>European Journal of Information Systems</w:t>
      </w:r>
      <w:r w:rsidRPr="00D33C9F">
        <w:rPr>
          <w:rFonts w:asciiTheme="minorHAnsi" w:eastAsia="Times New Roman" w:hAnsiTheme="minorHAnsi" w:cstheme="minorBidi"/>
          <w:highlight w:val="white"/>
          <w:lang w:eastAsia="en-GB"/>
        </w:rPr>
        <w:t>, </w:t>
      </w:r>
      <w:r w:rsidRPr="00D33C9F">
        <w:rPr>
          <w:rFonts w:asciiTheme="minorHAnsi" w:eastAsia="Times New Roman" w:hAnsiTheme="minorHAnsi" w:cstheme="minorBidi"/>
          <w:i/>
          <w:iCs/>
          <w:highlight w:val="white"/>
          <w:lang w:eastAsia="en-GB"/>
        </w:rPr>
        <w:t>23</w:t>
      </w:r>
      <w:r w:rsidRPr="00D33C9F">
        <w:rPr>
          <w:rFonts w:asciiTheme="minorHAnsi" w:eastAsia="Times New Roman" w:hAnsiTheme="minorHAnsi" w:cstheme="minorBidi"/>
          <w:highlight w:val="white"/>
          <w:lang w:eastAsia="en-GB"/>
        </w:rPr>
        <w:t>(3), 241-255</w:t>
      </w:r>
      <w:r w:rsidRPr="00D33C9F">
        <w:rPr>
          <w:rFonts w:asciiTheme="minorHAnsi" w:eastAsia="Times New Roman" w:hAnsiTheme="minorHAnsi" w:cstheme="minorBidi"/>
          <w:lang w:eastAsia="en-GB"/>
        </w:rPr>
        <w:t>.</w:t>
      </w:r>
    </w:p>
    <w:p w14:paraId="1CE7EC57" w14:textId="00761D67" w:rsidR="00022086" w:rsidRPr="00D33C9F" w:rsidRDefault="00022086"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 xml:space="preserve">Rowland, S. P., </w:t>
      </w:r>
      <w:r w:rsidRPr="00D33C9F">
        <w:rPr>
          <w:rFonts w:asciiTheme="minorHAnsi" w:eastAsia="Times New Roman" w:hAnsiTheme="minorHAnsi" w:cstheme="minorBidi"/>
          <w:highlight w:val="white"/>
          <w:lang w:eastAsia="en-GB"/>
        </w:rPr>
        <w:t>Fitzgerald, J</w:t>
      </w:r>
      <w:r w:rsidRPr="00D33C9F">
        <w:rPr>
          <w:rFonts w:asciiTheme="minorHAnsi" w:eastAsia="Times New Roman" w:hAnsiTheme="minorHAnsi" w:cstheme="minorBidi"/>
          <w:lang w:eastAsia="en-GB"/>
        </w:rPr>
        <w:t xml:space="preserve">. E., </w:t>
      </w:r>
      <w:r w:rsidRPr="00D33C9F">
        <w:rPr>
          <w:rFonts w:asciiTheme="minorHAnsi" w:eastAsia="Times New Roman" w:hAnsiTheme="minorHAnsi" w:cstheme="minorBidi"/>
          <w:highlight w:val="white"/>
          <w:lang w:eastAsia="en-GB"/>
        </w:rPr>
        <w:t>Holme, T., Powell, J., &amp; McGregor, A. (2020). What is</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the clinical value of mHealth for patients</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highlight w:val="white"/>
          <w:lang w:eastAsia="en-GB"/>
        </w:rPr>
        <w:t xml:space="preserve">NPJ </w:t>
      </w:r>
      <w:r w:rsidR="007805F6" w:rsidRPr="00D33C9F">
        <w:rPr>
          <w:rFonts w:asciiTheme="minorHAnsi" w:eastAsia="Times New Roman" w:hAnsiTheme="minorHAnsi" w:cstheme="minorBidi"/>
          <w:i/>
          <w:iCs/>
          <w:highlight w:val="white"/>
          <w:lang w:eastAsia="en-GB"/>
        </w:rPr>
        <w:t>Digital Medicine</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3</w:t>
      </w:r>
      <w:r w:rsidRPr="00D33C9F">
        <w:rPr>
          <w:rFonts w:asciiTheme="minorHAnsi" w:eastAsia="Times New Roman" w:hAnsiTheme="minorHAnsi" w:cstheme="minorBidi"/>
          <w:lang w:eastAsia="en-GB"/>
        </w:rPr>
        <w:t xml:space="preserve">(1), </w:t>
      </w:r>
      <w:r w:rsidR="00144C52" w:rsidRPr="00D33C9F">
        <w:rPr>
          <w:rFonts w:asciiTheme="minorHAnsi" w:eastAsia="Times New Roman" w:hAnsiTheme="minorHAnsi" w:cstheme="minorBidi"/>
          <w:lang w:eastAsia="en-GB"/>
        </w:rPr>
        <w:t xml:space="preserve">Article </w:t>
      </w:r>
      <w:r w:rsidRPr="00D33C9F">
        <w:rPr>
          <w:rFonts w:asciiTheme="minorHAnsi" w:eastAsia="Times New Roman" w:hAnsiTheme="minorHAnsi" w:cstheme="minorBidi"/>
          <w:lang w:eastAsia="en-GB"/>
        </w:rPr>
        <w:t>4.</w:t>
      </w:r>
    </w:p>
    <w:p w14:paraId="2E460BE6" w14:textId="59E9401F" w:rsidR="006749D9" w:rsidRPr="00D33C9F" w:rsidRDefault="006749D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eastAsia="en-GB"/>
        </w:rPr>
        <w:t xml:space="preserve">Satterfield, B. A., </w:t>
      </w:r>
      <w:proofErr w:type="spellStart"/>
      <w:r w:rsidRPr="00D33C9F">
        <w:rPr>
          <w:rFonts w:asciiTheme="minorHAnsi" w:eastAsia="Times New Roman" w:hAnsiTheme="minorHAnsi" w:cstheme="minorBidi"/>
          <w:highlight w:val="white"/>
          <w:lang w:eastAsia="en-GB"/>
        </w:rPr>
        <w:t>Dikilitas</w:t>
      </w:r>
      <w:proofErr w:type="spellEnd"/>
      <w:r w:rsidRPr="00D33C9F">
        <w:rPr>
          <w:rFonts w:asciiTheme="minorHAnsi" w:eastAsia="Times New Roman" w:hAnsiTheme="minorHAnsi" w:cstheme="minorBidi"/>
          <w:highlight w:val="white"/>
          <w:lang w:eastAsia="en-GB"/>
        </w:rPr>
        <w:t xml:space="preserve">, O., &amp; </w:t>
      </w:r>
      <w:proofErr w:type="spellStart"/>
      <w:r w:rsidRPr="00D33C9F">
        <w:rPr>
          <w:rFonts w:asciiTheme="minorHAnsi" w:eastAsia="Times New Roman" w:hAnsiTheme="minorHAnsi" w:cstheme="minorBidi"/>
          <w:highlight w:val="white"/>
          <w:lang w:eastAsia="en-GB"/>
        </w:rPr>
        <w:t>Kullo</w:t>
      </w:r>
      <w:proofErr w:type="spellEnd"/>
      <w:r w:rsidRPr="00D33C9F">
        <w:rPr>
          <w:rFonts w:asciiTheme="minorHAnsi" w:eastAsia="Times New Roman" w:hAnsiTheme="minorHAnsi" w:cstheme="minorBidi"/>
          <w:highlight w:val="white"/>
          <w:lang w:eastAsia="en-GB"/>
        </w:rPr>
        <w:t>, I. J. (2021</w:t>
      </w:r>
      <w:r w:rsidRPr="00D33C9F">
        <w:rPr>
          <w:rFonts w:asciiTheme="minorHAnsi" w:eastAsia="Times New Roman" w:hAnsiTheme="minorHAnsi" w:cstheme="minorBidi"/>
          <w:lang w:eastAsia="en-GB"/>
        </w:rPr>
        <w:t xml:space="preserve">, June). </w:t>
      </w:r>
      <w:r w:rsidRPr="00D33C9F">
        <w:rPr>
          <w:rFonts w:asciiTheme="minorHAnsi" w:eastAsia="Times New Roman" w:hAnsiTheme="minorHAnsi" w:cstheme="minorBidi"/>
          <w:highlight w:val="white"/>
          <w:lang w:eastAsia="en-GB"/>
        </w:rPr>
        <w:t>Leveraging the electronic</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 xml:space="preserve">health record to address the COVID-19 pandemic. </w:t>
      </w:r>
      <w:r w:rsidRPr="00D33C9F">
        <w:rPr>
          <w:rFonts w:asciiTheme="minorHAnsi" w:eastAsia="Times New Roman" w:hAnsiTheme="minorHAnsi" w:cstheme="minorBidi"/>
          <w:i/>
          <w:iCs/>
          <w:highlight w:val="white"/>
          <w:lang w:eastAsia="en-GB"/>
        </w:rPr>
        <w:t>Mayo Clinic Proceedings</w:t>
      </w:r>
      <w:r w:rsidR="007805F6" w:rsidRPr="00D33C9F">
        <w:rPr>
          <w:rFonts w:asciiTheme="minorHAnsi" w:eastAsia="Times New Roman" w:hAnsiTheme="minorHAnsi" w:cstheme="minorBidi"/>
          <w:highlight w:val="white"/>
          <w:lang w:eastAsia="en-GB"/>
        </w:rPr>
        <w:t xml:space="preserve">, </w:t>
      </w:r>
      <w:r w:rsidRPr="00D33C9F">
        <w:rPr>
          <w:rFonts w:asciiTheme="minorHAnsi" w:eastAsia="Times New Roman" w:hAnsiTheme="minorHAnsi" w:cstheme="minorBidi"/>
          <w:i/>
          <w:iCs/>
          <w:highlight w:val="white"/>
          <w:lang w:eastAsia="en-GB"/>
        </w:rPr>
        <w:t>96</w:t>
      </w:r>
      <w:r w:rsidR="007805F6" w:rsidRPr="00D33C9F">
        <w:rPr>
          <w:rFonts w:asciiTheme="minorHAnsi" w:eastAsia="Times New Roman" w:hAnsiTheme="minorHAnsi" w:cstheme="minorBidi"/>
          <w:highlight w:val="white"/>
          <w:lang w:eastAsia="en-GB"/>
        </w:rPr>
        <w:t>(</w:t>
      </w:r>
      <w:r w:rsidRPr="00D33C9F">
        <w:rPr>
          <w:rFonts w:asciiTheme="minorHAnsi" w:eastAsia="Times New Roman" w:hAnsiTheme="minorHAnsi" w:cstheme="minorBidi"/>
          <w:highlight w:val="white"/>
          <w:lang w:eastAsia="en-GB"/>
        </w:rPr>
        <w:t>6</w:t>
      </w:r>
      <w:r w:rsidR="007805F6"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lang w:eastAsia="en-GB"/>
        </w:rPr>
        <w:t>1592-1608</w:t>
      </w:r>
      <w:r w:rsidR="007805F6" w:rsidRPr="00D33C9F">
        <w:rPr>
          <w:rFonts w:asciiTheme="minorHAnsi" w:eastAsia="Times New Roman" w:hAnsiTheme="minorHAnsi" w:cstheme="minorBidi"/>
          <w:lang w:eastAsia="en-GB"/>
        </w:rPr>
        <w:t>.</w:t>
      </w:r>
      <w:r w:rsidRPr="00D33C9F">
        <w:rPr>
          <w:rFonts w:asciiTheme="minorHAnsi" w:eastAsia="Times New Roman" w:hAnsiTheme="minorHAnsi" w:cstheme="minorBidi"/>
          <w:lang w:eastAsia="en-GB"/>
        </w:rPr>
        <w:t xml:space="preserve"> </w:t>
      </w:r>
    </w:p>
    <w:p w14:paraId="7176F362" w14:textId="61104462" w:rsidR="00A31269" w:rsidRPr="00D33C9F" w:rsidRDefault="00A31269" w:rsidP="00413528">
      <w:pPr>
        <w:spacing w:line="240" w:lineRule="auto"/>
        <w:ind w:hanging="720"/>
        <w:rPr>
          <w:rFonts w:asciiTheme="minorHAnsi" w:eastAsia="Times New Roman" w:hAnsiTheme="minorHAnsi" w:cstheme="minorBidi"/>
          <w:lang w:val="en-US" w:eastAsia="en-GB"/>
        </w:rPr>
      </w:pPr>
      <w:proofErr w:type="spellStart"/>
      <w:r w:rsidRPr="00D33C9F">
        <w:rPr>
          <w:rFonts w:asciiTheme="minorHAnsi" w:eastAsia="Times New Roman" w:hAnsiTheme="minorHAnsi" w:cstheme="minorBidi"/>
          <w:highlight w:val="white"/>
          <w:lang w:val="en-US" w:eastAsia="en-GB"/>
        </w:rPr>
        <w:t>Savikko</w:t>
      </w:r>
      <w:proofErr w:type="spellEnd"/>
      <w:r w:rsidRPr="00D33C9F">
        <w:rPr>
          <w:rFonts w:asciiTheme="minorHAnsi" w:eastAsia="Times New Roman" w:hAnsiTheme="minorHAnsi" w:cstheme="minorBidi"/>
          <w:highlight w:val="white"/>
          <w:lang w:val="en-US" w:eastAsia="en-GB"/>
        </w:rPr>
        <w:t>, J., &amp; Rauta, V. (2019). Implementing eHealth in kidney transplantation in</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 xml:space="preserve">Finland. </w:t>
      </w:r>
      <w:r w:rsidRPr="00D33C9F">
        <w:rPr>
          <w:rFonts w:asciiTheme="minorHAnsi" w:eastAsia="Times New Roman" w:hAnsiTheme="minorHAnsi" w:cstheme="minorBidi"/>
          <w:i/>
          <w:iCs/>
          <w:highlight w:val="white"/>
          <w:lang w:val="en-US" w:eastAsia="en-GB"/>
        </w:rPr>
        <w:t>Transplantation Proceedings</w:t>
      </w:r>
      <w:r w:rsidR="007805F6" w:rsidRPr="00D33C9F">
        <w:rPr>
          <w:rFonts w:asciiTheme="minorHAnsi" w:eastAsia="Times New Roman" w:hAnsiTheme="minorHAnsi" w:cstheme="minorBidi"/>
          <w:highlight w:val="white"/>
          <w:lang w:val="en-US" w:eastAsia="en-GB"/>
        </w:rPr>
        <w:t xml:space="preserve">, </w:t>
      </w:r>
      <w:r w:rsidRPr="00D33C9F">
        <w:rPr>
          <w:rFonts w:asciiTheme="minorHAnsi" w:eastAsia="Times New Roman" w:hAnsiTheme="minorHAnsi" w:cstheme="minorBidi"/>
          <w:i/>
          <w:iCs/>
          <w:highlight w:val="white"/>
          <w:lang w:val="en-US" w:eastAsia="en-GB"/>
        </w:rPr>
        <w:t>51</w:t>
      </w:r>
      <w:r w:rsidR="007805F6" w:rsidRPr="00D33C9F">
        <w:rPr>
          <w:rFonts w:asciiTheme="minorHAnsi" w:eastAsia="Times New Roman" w:hAnsiTheme="minorHAnsi" w:cstheme="minorBidi"/>
          <w:highlight w:val="white"/>
          <w:lang w:val="en-US" w:eastAsia="en-GB"/>
        </w:rPr>
        <w:t>(</w:t>
      </w:r>
      <w:r w:rsidRPr="00D33C9F">
        <w:rPr>
          <w:rFonts w:asciiTheme="minorHAnsi" w:eastAsia="Times New Roman" w:hAnsiTheme="minorHAnsi" w:cstheme="minorBidi"/>
          <w:highlight w:val="white"/>
          <w:lang w:val="en-US" w:eastAsia="en-GB"/>
        </w:rPr>
        <w:t>2</w:t>
      </w:r>
      <w:r w:rsidR="007805F6" w:rsidRPr="00D33C9F">
        <w:rPr>
          <w:rFonts w:asciiTheme="minorHAnsi" w:eastAsia="Times New Roman" w:hAnsiTheme="minorHAnsi" w:cstheme="minorBidi"/>
          <w:highlight w:val="white"/>
          <w:lang w:val="en-US" w:eastAsia="en-GB"/>
        </w:rPr>
        <w:t xml:space="preserve">), </w:t>
      </w:r>
      <w:r w:rsidRPr="00D33C9F">
        <w:rPr>
          <w:rFonts w:asciiTheme="minorHAnsi" w:eastAsia="Times New Roman" w:hAnsiTheme="minorHAnsi" w:cstheme="minorBidi"/>
          <w:highlight w:val="white"/>
          <w:lang w:val="en-US" w:eastAsia="en-GB"/>
        </w:rPr>
        <w:t>464-465</w:t>
      </w:r>
      <w:r w:rsidR="005A1615" w:rsidRPr="00D33C9F">
        <w:rPr>
          <w:rFonts w:asciiTheme="minorHAnsi" w:eastAsia="Times New Roman" w:hAnsiTheme="minorHAnsi" w:cstheme="minorBidi"/>
          <w:lang w:val="en-US" w:eastAsia="en-GB"/>
        </w:rPr>
        <w:t>.</w:t>
      </w:r>
    </w:p>
    <w:p w14:paraId="7E2EAC90" w14:textId="1CA00FA6" w:rsidR="005A1615" w:rsidRPr="00D33C9F" w:rsidRDefault="005A1615"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lang w:eastAsia="en-GB"/>
        </w:rPr>
        <w:t xml:space="preserve">Sayegh, C., </w:t>
      </w:r>
      <w:proofErr w:type="spellStart"/>
      <w:r w:rsidRPr="00D33C9F">
        <w:rPr>
          <w:rFonts w:asciiTheme="minorHAnsi" w:eastAsia="Times New Roman" w:hAnsiTheme="minorHAnsi" w:cstheme="minorBidi"/>
          <w:lang w:eastAsia="en-GB"/>
        </w:rPr>
        <w:t>Im</w:t>
      </w:r>
      <w:proofErr w:type="spellEnd"/>
      <w:r w:rsidRPr="00D33C9F">
        <w:rPr>
          <w:rFonts w:asciiTheme="minorHAnsi" w:eastAsia="Times New Roman" w:hAnsiTheme="minorHAnsi" w:cstheme="minorBidi"/>
          <w:lang w:eastAsia="en-GB"/>
        </w:rPr>
        <w:t>, D., Moss, I. K., Urquiza, R., Patel, S., &amp; Thomas, D. W. (2022). Randomized pilot trial of praise text messages to improve medication adherence among adolescents and young adults with liver transplants. </w:t>
      </w:r>
      <w:proofErr w:type="spellStart"/>
      <w:r w:rsidRPr="00D33C9F">
        <w:rPr>
          <w:rFonts w:asciiTheme="minorHAnsi" w:eastAsia="Times New Roman" w:hAnsiTheme="minorHAnsi" w:cstheme="minorBidi"/>
          <w:i/>
          <w:iCs/>
          <w:lang w:eastAsia="en-GB"/>
        </w:rPr>
        <w:t>Pediatric</w:t>
      </w:r>
      <w:proofErr w:type="spellEnd"/>
      <w:r w:rsidRPr="00D33C9F">
        <w:rPr>
          <w:rFonts w:asciiTheme="minorHAnsi" w:eastAsia="Times New Roman" w:hAnsiTheme="minorHAnsi" w:cstheme="minorBidi"/>
          <w:i/>
          <w:iCs/>
          <w:lang w:eastAsia="en-GB"/>
        </w:rPr>
        <w:t xml:space="preserve"> Transplantation</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26</w:t>
      </w:r>
      <w:r w:rsidRPr="00D33C9F">
        <w:rPr>
          <w:rFonts w:asciiTheme="minorHAnsi" w:eastAsia="Times New Roman" w:hAnsiTheme="minorHAnsi" w:cstheme="minorBidi"/>
          <w:lang w:eastAsia="en-GB"/>
        </w:rPr>
        <w:t>(7), Article e14361.</w:t>
      </w:r>
    </w:p>
    <w:p w14:paraId="6ABFE5E7" w14:textId="4C9981B0" w:rsidR="007E0AF5" w:rsidRPr="00D33C9F" w:rsidRDefault="007E0AF5"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highlight w:val="white"/>
          <w:lang w:eastAsia="en-GB"/>
        </w:rPr>
        <w:t xml:space="preserve">Seh, A. H., Zarour, M., </w:t>
      </w:r>
      <w:proofErr w:type="spellStart"/>
      <w:r w:rsidRPr="00D33C9F">
        <w:rPr>
          <w:rFonts w:asciiTheme="minorHAnsi" w:eastAsia="Times New Roman" w:hAnsiTheme="minorHAnsi" w:cstheme="minorBidi"/>
          <w:highlight w:val="white"/>
          <w:lang w:eastAsia="en-GB"/>
        </w:rPr>
        <w:t>Alenezi</w:t>
      </w:r>
      <w:proofErr w:type="spellEnd"/>
      <w:r w:rsidRPr="00D33C9F">
        <w:rPr>
          <w:rFonts w:asciiTheme="minorHAnsi" w:eastAsia="Times New Roman" w:hAnsiTheme="minorHAnsi" w:cstheme="minorBidi"/>
          <w:highlight w:val="white"/>
          <w:lang w:eastAsia="en-GB"/>
        </w:rPr>
        <w:t xml:space="preserve">, M., Sarkar, A. K., Agrawal, A., Kumar, R., &amp; Ahmad Khan, R. (2020). Healthcare data breaches: insights and implications. </w:t>
      </w:r>
      <w:r w:rsidRPr="00D33C9F">
        <w:rPr>
          <w:rFonts w:asciiTheme="minorHAnsi" w:eastAsia="Times New Roman" w:hAnsiTheme="minorHAnsi" w:cstheme="minorBidi"/>
          <w:i/>
          <w:highlight w:val="white"/>
          <w:lang w:eastAsia="en-GB"/>
        </w:rPr>
        <w:t>Healthcare</w:t>
      </w:r>
      <w:r w:rsidR="00D1676E" w:rsidRPr="00D33C9F">
        <w:rPr>
          <w:rFonts w:asciiTheme="minorHAnsi" w:eastAsia="Times New Roman" w:hAnsiTheme="minorHAnsi" w:cstheme="minorBidi"/>
          <w:highlight w:val="white"/>
          <w:lang w:eastAsia="en-GB"/>
        </w:rPr>
        <w:t>,</w:t>
      </w:r>
      <w:r w:rsidR="00D1676E" w:rsidRPr="00D33C9F">
        <w:rPr>
          <w:rFonts w:asciiTheme="minorHAnsi" w:eastAsia="Times New Roman" w:hAnsiTheme="minorHAnsi" w:cstheme="minorBidi"/>
          <w:i/>
          <w:highlight w:val="white"/>
          <w:lang w:eastAsia="en-GB"/>
        </w:rPr>
        <w:t xml:space="preserve"> </w:t>
      </w:r>
      <w:r w:rsidRPr="00D33C9F">
        <w:rPr>
          <w:rFonts w:asciiTheme="minorHAnsi" w:eastAsia="Times New Roman" w:hAnsiTheme="minorHAnsi" w:cstheme="minorBidi"/>
          <w:i/>
          <w:highlight w:val="white"/>
          <w:lang w:eastAsia="en-GB"/>
        </w:rPr>
        <w:t>8</w:t>
      </w:r>
      <w:r w:rsidR="00D1676E" w:rsidRPr="00D33C9F">
        <w:rPr>
          <w:rFonts w:asciiTheme="minorHAnsi" w:eastAsia="Times New Roman" w:hAnsiTheme="minorHAnsi" w:cstheme="minorBidi"/>
          <w:highlight w:val="white"/>
          <w:lang w:eastAsia="en-GB"/>
        </w:rPr>
        <w:t>(</w:t>
      </w:r>
      <w:r w:rsidRPr="00D33C9F">
        <w:rPr>
          <w:rFonts w:asciiTheme="minorHAnsi" w:eastAsia="Times New Roman" w:hAnsiTheme="minorHAnsi" w:cstheme="minorBidi"/>
          <w:highlight w:val="white"/>
          <w:lang w:eastAsia="en-GB"/>
        </w:rPr>
        <w:t>2</w:t>
      </w:r>
      <w:r w:rsidR="00D1676E" w:rsidRPr="00D33C9F">
        <w:rPr>
          <w:rFonts w:asciiTheme="minorHAnsi" w:eastAsia="Times New Roman" w:hAnsiTheme="minorHAnsi" w:cstheme="minorBidi"/>
          <w:highlight w:val="white"/>
          <w:lang w:eastAsia="en-GB"/>
        </w:rPr>
        <w:t>),</w:t>
      </w:r>
      <w:r w:rsidRPr="00D33C9F">
        <w:rPr>
          <w:rFonts w:asciiTheme="minorHAnsi" w:eastAsia="Times New Roman" w:hAnsiTheme="minorHAnsi" w:cstheme="minorBidi"/>
          <w:highlight w:val="white"/>
          <w:lang w:eastAsia="en-GB"/>
        </w:rPr>
        <w:t xml:space="preserve"> 133.</w:t>
      </w:r>
      <w:r w:rsidRPr="00D33C9F">
        <w:rPr>
          <w:rFonts w:asciiTheme="minorHAnsi" w:eastAsia="Times New Roman" w:hAnsiTheme="minorHAnsi" w:cstheme="minorBidi"/>
          <w:lang w:eastAsia="en-GB"/>
        </w:rPr>
        <w:t xml:space="preserve"> </w:t>
      </w:r>
    </w:p>
    <w:p w14:paraId="6E19384D" w14:textId="5721E130" w:rsidR="001A087F" w:rsidRPr="00D33C9F" w:rsidRDefault="001A087F"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highlight w:val="white"/>
          <w:lang w:eastAsia="en-GB"/>
        </w:rPr>
        <w:t>Shaheen, M. Y. (2021). Applications of Artificial Intelligence (AI) in healthcare: A</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review. </w:t>
      </w:r>
      <w:proofErr w:type="spellStart"/>
      <w:r w:rsidRPr="00D33C9F">
        <w:rPr>
          <w:rFonts w:asciiTheme="minorHAnsi" w:eastAsia="Times New Roman" w:hAnsiTheme="minorHAnsi" w:cstheme="minorBidi"/>
          <w:i/>
          <w:iCs/>
          <w:highlight w:val="white"/>
          <w:lang w:eastAsia="en-GB"/>
        </w:rPr>
        <w:t>ScienceOpen</w:t>
      </w:r>
      <w:proofErr w:type="spellEnd"/>
      <w:r w:rsidRPr="00D33C9F">
        <w:rPr>
          <w:rFonts w:asciiTheme="minorHAnsi" w:eastAsia="Times New Roman" w:hAnsiTheme="minorHAnsi" w:cstheme="minorBidi"/>
          <w:i/>
          <w:iCs/>
          <w:highlight w:val="white"/>
          <w:lang w:eastAsia="en-GB"/>
        </w:rPr>
        <w:t xml:space="preserve"> Preprints</w:t>
      </w:r>
      <w:r w:rsidRPr="00D33C9F">
        <w:rPr>
          <w:rFonts w:asciiTheme="minorHAnsi" w:eastAsia="Times New Roman" w:hAnsiTheme="minorHAnsi" w:cstheme="minorBidi"/>
          <w:lang w:eastAsia="en-GB"/>
        </w:rPr>
        <w:t>.</w:t>
      </w:r>
    </w:p>
    <w:p w14:paraId="397DD2B2" w14:textId="2B268173" w:rsidR="008952F0" w:rsidRPr="00D33C9F" w:rsidRDefault="008952F0" w:rsidP="008952F0">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Shahmoradi, L., Abtahi, H., Amini, S., &amp; Gholamzadeh, M. (2020). Systematic review of using medical informatics in lung transplantation studies. </w:t>
      </w:r>
      <w:r w:rsidRPr="00D33C9F">
        <w:rPr>
          <w:rFonts w:asciiTheme="minorHAnsi" w:eastAsia="Times New Roman" w:hAnsiTheme="minorHAnsi" w:cstheme="minorBidi"/>
          <w:i/>
          <w:iCs/>
          <w:lang w:eastAsia="en-GB"/>
        </w:rPr>
        <w:t>International Journal of Medical Informatics</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136</w:t>
      </w:r>
      <w:r w:rsidRPr="00D33C9F">
        <w:rPr>
          <w:rFonts w:asciiTheme="minorHAnsi" w:eastAsia="Times New Roman" w:hAnsiTheme="minorHAnsi" w:cstheme="minorBidi"/>
          <w:lang w:eastAsia="en-GB"/>
        </w:rPr>
        <w:t>, 104096.</w:t>
      </w:r>
    </w:p>
    <w:p w14:paraId="7B63E438" w14:textId="5A652BE7" w:rsidR="00A31269" w:rsidRPr="00D33C9F" w:rsidRDefault="00A3126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val="en-US" w:eastAsia="en-GB"/>
        </w:rPr>
        <w:t xml:space="preserve">Sharma, V., </w:t>
      </w:r>
      <w:proofErr w:type="spellStart"/>
      <w:r w:rsidRPr="00D33C9F">
        <w:rPr>
          <w:rFonts w:asciiTheme="minorHAnsi" w:eastAsia="Times New Roman" w:hAnsiTheme="minorHAnsi" w:cstheme="minorBidi"/>
          <w:highlight w:val="white"/>
          <w:lang w:val="en-US" w:eastAsia="en-GB"/>
        </w:rPr>
        <w:t>Piscoran</w:t>
      </w:r>
      <w:proofErr w:type="spellEnd"/>
      <w:r w:rsidRPr="00D33C9F">
        <w:rPr>
          <w:rFonts w:asciiTheme="minorHAnsi" w:eastAsia="Times New Roman" w:hAnsiTheme="minorHAnsi" w:cstheme="minorBidi"/>
          <w:highlight w:val="white"/>
          <w:lang w:val="en-US" w:eastAsia="en-GB"/>
        </w:rPr>
        <w:t xml:space="preserve">, O., Summers, A., </w:t>
      </w:r>
      <w:proofErr w:type="spellStart"/>
      <w:r w:rsidRPr="00D33C9F">
        <w:rPr>
          <w:rFonts w:asciiTheme="minorHAnsi" w:eastAsia="Times New Roman" w:hAnsiTheme="minorHAnsi" w:cstheme="minorBidi"/>
          <w:highlight w:val="white"/>
          <w:lang w:val="en-US" w:eastAsia="en-GB"/>
        </w:rPr>
        <w:t>Woywodt</w:t>
      </w:r>
      <w:proofErr w:type="spellEnd"/>
      <w:r w:rsidRPr="00D33C9F">
        <w:rPr>
          <w:rFonts w:asciiTheme="minorHAnsi" w:eastAsia="Times New Roman" w:hAnsiTheme="minorHAnsi" w:cstheme="minorBidi"/>
          <w:highlight w:val="white"/>
          <w:lang w:val="en-US" w:eastAsia="en-GB"/>
        </w:rPr>
        <w:t>, A., van der Veer, S. N., Ainsworth, J., &amp; Augustine, T. (2021). The use of health information technology in renal transplantation: A systematic review. </w:t>
      </w:r>
      <w:r w:rsidRPr="00D33C9F">
        <w:rPr>
          <w:rFonts w:asciiTheme="minorHAnsi" w:eastAsia="Times New Roman" w:hAnsiTheme="minorHAnsi" w:cstheme="minorBidi"/>
          <w:i/>
          <w:highlight w:val="white"/>
          <w:lang w:val="en-US" w:eastAsia="en-GB"/>
        </w:rPr>
        <w:t>Transplantation Reviews</w:t>
      </w:r>
      <w:r w:rsidRPr="00D33C9F">
        <w:rPr>
          <w:rFonts w:asciiTheme="minorHAnsi" w:eastAsia="Times New Roman" w:hAnsiTheme="minorHAnsi" w:cstheme="minorBidi"/>
          <w:highlight w:val="white"/>
          <w:lang w:val="en-US" w:eastAsia="en-GB"/>
        </w:rPr>
        <w:t>, </w:t>
      </w:r>
      <w:r w:rsidRPr="00D33C9F">
        <w:rPr>
          <w:rFonts w:asciiTheme="minorHAnsi" w:eastAsia="Times New Roman" w:hAnsiTheme="minorHAnsi" w:cstheme="minorBidi"/>
          <w:i/>
          <w:highlight w:val="white"/>
          <w:lang w:val="en-US" w:eastAsia="en-GB"/>
        </w:rPr>
        <w:t>35</w:t>
      </w:r>
      <w:r w:rsidRPr="00D33C9F">
        <w:rPr>
          <w:rFonts w:asciiTheme="minorHAnsi" w:eastAsia="Times New Roman" w:hAnsiTheme="minorHAnsi" w:cstheme="minorBidi"/>
          <w:highlight w:val="white"/>
          <w:lang w:val="en-US" w:eastAsia="en-GB"/>
        </w:rPr>
        <w:t>(2),</w:t>
      </w:r>
      <w:r w:rsidRPr="00D33C9F">
        <w:rPr>
          <w:rFonts w:asciiTheme="minorHAnsi" w:eastAsia="Times New Roman" w:hAnsiTheme="minorHAnsi" w:cstheme="minorBidi"/>
          <w:lang w:val="en-US" w:eastAsia="en-GB"/>
        </w:rPr>
        <w:t xml:space="preserve"> </w:t>
      </w:r>
      <w:r w:rsidR="00BF18E8" w:rsidRPr="00D33C9F">
        <w:rPr>
          <w:rFonts w:asciiTheme="minorHAnsi" w:eastAsia="Times New Roman" w:hAnsiTheme="minorHAnsi" w:cstheme="minorBidi"/>
          <w:highlight w:val="white"/>
          <w:lang w:val="en-US" w:eastAsia="en-GB"/>
        </w:rPr>
        <w:t xml:space="preserve">Article </w:t>
      </w:r>
      <w:r w:rsidRPr="00D33C9F">
        <w:rPr>
          <w:rFonts w:asciiTheme="minorHAnsi" w:eastAsia="Times New Roman" w:hAnsiTheme="minorHAnsi" w:cstheme="minorBidi"/>
          <w:highlight w:val="white"/>
          <w:lang w:val="en-US" w:eastAsia="en-GB"/>
        </w:rPr>
        <w:t>100607.</w:t>
      </w:r>
    </w:p>
    <w:p w14:paraId="2C74F2CE" w14:textId="335F47A1" w:rsidR="000C4844" w:rsidRPr="00D33C9F" w:rsidRDefault="000C4844"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eastAsia="en-GB"/>
        </w:rPr>
        <w:t>Shelley, M., Thrane, L., Shulman, S., Lang, E., Beisser, S., Larson, T., &amp; Mutiti, J.</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(2004). Digital citizenship: Parameters of the digital divide. </w:t>
      </w:r>
      <w:r w:rsidRPr="00D33C9F">
        <w:rPr>
          <w:rFonts w:asciiTheme="minorHAnsi" w:eastAsia="Times New Roman" w:hAnsiTheme="minorHAnsi" w:cstheme="minorBidi"/>
          <w:i/>
          <w:iCs/>
          <w:highlight w:val="white"/>
          <w:lang w:eastAsia="en-GB"/>
        </w:rPr>
        <w:t>Social Science Computer</w:t>
      </w:r>
      <w:r w:rsidRPr="00D33C9F">
        <w:rPr>
          <w:rFonts w:asciiTheme="minorHAnsi" w:eastAsia="Times New Roman" w:hAnsiTheme="minorHAnsi" w:cstheme="minorBidi"/>
          <w:i/>
          <w:iCs/>
          <w:lang w:eastAsia="en-GB"/>
        </w:rPr>
        <w:t xml:space="preserve"> </w:t>
      </w:r>
      <w:r w:rsidRPr="00D33C9F">
        <w:rPr>
          <w:rFonts w:asciiTheme="minorHAnsi" w:eastAsia="Times New Roman" w:hAnsiTheme="minorHAnsi" w:cstheme="minorBidi"/>
          <w:i/>
          <w:iCs/>
          <w:highlight w:val="white"/>
          <w:lang w:eastAsia="en-GB"/>
        </w:rPr>
        <w:t>Review</w:t>
      </w:r>
      <w:r w:rsidRPr="00D33C9F">
        <w:rPr>
          <w:rFonts w:asciiTheme="minorHAnsi" w:eastAsia="Times New Roman" w:hAnsiTheme="minorHAnsi" w:cstheme="minorBidi"/>
          <w:highlight w:val="white"/>
          <w:lang w:eastAsia="en-GB"/>
        </w:rPr>
        <w:t>, </w:t>
      </w:r>
      <w:r w:rsidRPr="00D33C9F">
        <w:rPr>
          <w:rFonts w:asciiTheme="minorHAnsi" w:eastAsia="Times New Roman" w:hAnsiTheme="minorHAnsi" w:cstheme="minorBidi"/>
          <w:i/>
          <w:iCs/>
          <w:highlight w:val="white"/>
          <w:lang w:eastAsia="en-GB"/>
        </w:rPr>
        <w:t>22</w:t>
      </w:r>
      <w:r w:rsidRPr="00D33C9F">
        <w:rPr>
          <w:rFonts w:asciiTheme="minorHAnsi" w:eastAsia="Times New Roman" w:hAnsiTheme="minorHAnsi" w:cstheme="minorBidi"/>
          <w:highlight w:val="white"/>
          <w:lang w:eastAsia="en-GB"/>
        </w:rPr>
        <w:t>(2), 256-269</w:t>
      </w:r>
      <w:r w:rsidRPr="00D33C9F">
        <w:rPr>
          <w:rFonts w:asciiTheme="minorHAnsi" w:eastAsia="Times New Roman" w:hAnsiTheme="minorHAnsi" w:cstheme="minorBidi"/>
          <w:lang w:eastAsia="en-GB"/>
        </w:rPr>
        <w:t>.</w:t>
      </w:r>
    </w:p>
    <w:p w14:paraId="42372EA8" w14:textId="5C334A1E" w:rsidR="00A31269" w:rsidRPr="00D33C9F" w:rsidRDefault="00A3126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val="en-US" w:eastAsia="en-GB"/>
        </w:rPr>
        <w:t>Sherman, C. B., Said, A., Kriss, M., Potluri, V. S., Levitsky, J., Reese, P. P., Shea, J.</w:t>
      </w:r>
      <w:r w:rsidRPr="00D33C9F">
        <w:rPr>
          <w:rFonts w:asciiTheme="minorHAnsi" w:eastAsia="Times New Roman" w:hAnsiTheme="minorHAnsi" w:cstheme="minorBidi"/>
          <w:lang w:val="en-US" w:eastAsia="en-GB"/>
        </w:rPr>
        <w:t xml:space="preserve"> A., &amp; </w:t>
      </w:r>
      <w:proofErr w:type="spellStart"/>
      <w:r w:rsidRPr="00D33C9F">
        <w:rPr>
          <w:rFonts w:asciiTheme="minorHAnsi" w:eastAsia="Times New Roman" w:hAnsiTheme="minorHAnsi" w:cstheme="minorBidi"/>
          <w:lang w:val="en-US" w:eastAsia="en-GB"/>
        </w:rPr>
        <w:t>Serper</w:t>
      </w:r>
      <w:proofErr w:type="spellEnd"/>
      <w:r w:rsidRPr="00D33C9F">
        <w:rPr>
          <w:rFonts w:asciiTheme="minorHAnsi" w:eastAsia="Times New Roman" w:hAnsiTheme="minorHAnsi" w:cstheme="minorBidi"/>
          <w:lang w:val="en-US" w:eastAsia="en-GB"/>
        </w:rPr>
        <w:t xml:space="preserve">, M. (2020). In‐person outreach and telemedicine in liver and intestinal </w:t>
      </w:r>
      <w:r w:rsidRPr="00D33C9F">
        <w:rPr>
          <w:rFonts w:asciiTheme="minorHAnsi" w:eastAsia="Times New Roman" w:hAnsiTheme="minorHAnsi" w:cstheme="minorBidi"/>
          <w:highlight w:val="white"/>
          <w:lang w:val="en-US" w:eastAsia="en-GB"/>
        </w:rPr>
        <w:t>transplant: a survey of national practices, impact of coronavirus disease 2019, and</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areas of opportunity. </w:t>
      </w:r>
      <w:r w:rsidRPr="00D33C9F">
        <w:rPr>
          <w:rFonts w:asciiTheme="minorHAnsi" w:eastAsia="Times New Roman" w:hAnsiTheme="minorHAnsi" w:cstheme="minorBidi"/>
          <w:i/>
          <w:iCs/>
          <w:highlight w:val="white"/>
          <w:lang w:val="en-US" w:eastAsia="en-GB"/>
        </w:rPr>
        <w:t>Liver Transplantation</w:t>
      </w:r>
      <w:r w:rsidRPr="00D33C9F">
        <w:rPr>
          <w:rFonts w:asciiTheme="minorHAnsi" w:eastAsia="Times New Roman" w:hAnsiTheme="minorHAnsi" w:cstheme="minorBidi"/>
          <w:highlight w:val="white"/>
          <w:lang w:val="en-US" w:eastAsia="en-GB"/>
        </w:rPr>
        <w:t>, </w:t>
      </w:r>
      <w:r w:rsidRPr="00D33C9F">
        <w:rPr>
          <w:rFonts w:asciiTheme="minorHAnsi" w:eastAsia="Times New Roman" w:hAnsiTheme="minorHAnsi" w:cstheme="minorBidi"/>
          <w:i/>
          <w:iCs/>
          <w:highlight w:val="white"/>
          <w:lang w:val="en-US" w:eastAsia="en-GB"/>
        </w:rPr>
        <w:t>26</w:t>
      </w:r>
      <w:r w:rsidRPr="00D33C9F">
        <w:rPr>
          <w:rFonts w:asciiTheme="minorHAnsi" w:eastAsia="Times New Roman" w:hAnsiTheme="minorHAnsi" w:cstheme="minorBidi"/>
          <w:highlight w:val="white"/>
          <w:lang w:val="en-US" w:eastAsia="en-GB"/>
        </w:rPr>
        <w:t>(10), 1354</w:t>
      </w:r>
      <w:r w:rsidR="00DB42AA" w:rsidRPr="00D33C9F">
        <w:rPr>
          <w:rFonts w:asciiTheme="minorHAnsi" w:eastAsia="Times New Roman" w:hAnsiTheme="minorHAnsi" w:cstheme="minorBidi"/>
          <w:highlight w:val="white"/>
          <w:lang w:val="en-US" w:eastAsia="en-GB"/>
        </w:rPr>
        <w:t>-1358</w:t>
      </w:r>
      <w:r w:rsidRPr="00D33C9F">
        <w:rPr>
          <w:rFonts w:asciiTheme="minorHAnsi" w:eastAsia="Times New Roman" w:hAnsiTheme="minorHAnsi" w:cstheme="minorBidi"/>
          <w:lang w:val="en-US" w:eastAsia="en-GB"/>
        </w:rPr>
        <w:t>.</w:t>
      </w:r>
    </w:p>
    <w:p w14:paraId="6174B31E" w14:textId="644A926B" w:rsidR="00C47DDA" w:rsidRPr="00D33C9F" w:rsidRDefault="00C47DDA"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Sidhu, A., Chaparro, C., Chow, C. W., Davies, M., &amp; Singer, L. G. (2019). Outcomes of telehealth care for lung transplant recipients. </w:t>
      </w:r>
      <w:r w:rsidRPr="00D33C9F">
        <w:rPr>
          <w:rFonts w:asciiTheme="minorHAnsi" w:eastAsia="Times New Roman" w:hAnsiTheme="minorHAnsi" w:cstheme="minorBidi"/>
          <w:i/>
          <w:iCs/>
          <w:lang w:eastAsia="en-GB"/>
        </w:rPr>
        <w:t>Clinical Transplantation</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33</w:t>
      </w:r>
      <w:r w:rsidRPr="00D33C9F">
        <w:rPr>
          <w:rFonts w:asciiTheme="minorHAnsi" w:eastAsia="Times New Roman" w:hAnsiTheme="minorHAnsi" w:cstheme="minorBidi"/>
          <w:lang w:eastAsia="en-GB"/>
        </w:rPr>
        <w:t>(6), Article e13580.</w:t>
      </w:r>
    </w:p>
    <w:p w14:paraId="2995EC39" w14:textId="17415D1E" w:rsidR="005D54F2" w:rsidRPr="00D33C9F" w:rsidRDefault="005D54F2"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lang w:eastAsia="en-GB"/>
        </w:rPr>
        <w:t xml:space="preserve">Skeens, M., Sezgin, E., Stevens, J., </w:t>
      </w:r>
      <w:proofErr w:type="spellStart"/>
      <w:r w:rsidRPr="00D33C9F">
        <w:rPr>
          <w:rFonts w:asciiTheme="minorHAnsi" w:eastAsia="Times New Roman" w:hAnsiTheme="minorHAnsi" w:cstheme="minorBidi"/>
          <w:lang w:eastAsia="en-GB"/>
        </w:rPr>
        <w:t>Landier</w:t>
      </w:r>
      <w:proofErr w:type="spellEnd"/>
      <w:r w:rsidRPr="00D33C9F">
        <w:rPr>
          <w:rFonts w:asciiTheme="minorHAnsi" w:eastAsia="Times New Roman" w:hAnsiTheme="minorHAnsi" w:cstheme="minorBidi"/>
          <w:lang w:eastAsia="en-GB"/>
        </w:rPr>
        <w:t xml:space="preserve">, W., Pai, A., &amp; Gerhardt, C. (2022). An mHealth App to Promote Adherence to Immunosuppressant Medication and Track Symptoms in Children After </w:t>
      </w:r>
      <w:r w:rsidRPr="00D33C9F">
        <w:rPr>
          <w:rFonts w:asciiTheme="minorHAnsi" w:eastAsia="Times New Roman" w:hAnsiTheme="minorHAnsi" w:cstheme="minorBidi"/>
          <w:lang w:eastAsia="en-GB"/>
        </w:rPr>
        <w:lastRenderedPageBreak/>
        <w:t>Hematopoietic Stem Cell Transplant: Protocol for a Mixed Methods Usability Study. </w:t>
      </w:r>
      <w:r w:rsidRPr="00D33C9F">
        <w:rPr>
          <w:rFonts w:asciiTheme="minorHAnsi" w:eastAsia="Times New Roman" w:hAnsiTheme="minorHAnsi" w:cstheme="minorBidi"/>
          <w:i/>
          <w:iCs/>
          <w:lang w:eastAsia="en-GB"/>
        </w:rPr>
        <w:t xml:space="preserve">Journal of Medical Internet Research </w:t>
      </w:r>
      <w:proofErr w:type="spellStart"/>
      <w:r w:rsidRPr="00D33C9F">
        <w:rPr>
          <w:rFonts w:asciiTheme="minorHAnsi" w:eastAsia="Times New Roman" w:hAnsiTheme="minorHAnsi" w:cstheme="minorBidi"/>
          <w:i/>
          <w:iCs/>
          <w:lang w:eastAsia="en-GB"/>
        </w:rPr>
        <w:t>Research</w:t>
      </w:r>
      <w:proofErr w:type="spellEnd"/>
      <w:r w:rsidRPr="00D33C9F">
        <w:rPr>
          <w:rFonts w:asciiTheme="minorHAnsi" w:eastAsia="Times New Roman" w:hAnsiTheme="minorHAnsi" w:cstheme="minorBidi"/>
          <w:i/>
          <w:iCs/>
          <w:lang w:eastAsia="en-GB"/>
        </w:rPr>
        <w:t xml:space="preserve"> Protocols</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11</w:t>
      </w:r>
      <w:r w:rsidRPr="00D33C9F">
        <w:rPr>
          <w:rFonts w:asciiTheme="minorHAnsi" w:eastAsia="Times New Roman" w:hAnsiTheme="minorHAnsi" w:cstheme="minorBidi"/>
          <w:lang w:eastAsia="en-GB"/>
        </w:rPr>
        <w:t>(7), Article e39098.</w:t>
      </w:r>
    </w:p>
    <w:p w14:paraId="23D65802" w14:textId="6427A55A" w:rsidR="005E2BC2" w:rsidRPr="00D33C9F" w:rsidRDefault="005E2BC2"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lang w:val="en-US" w:eastAsia="en-GB"/>
        </w:rPr>
        <w:t>Statista</w:t>
      </w:r>
      <w:r w:rsidR="00DE24B2" w:rsidRPr="00D33C9F">
        <w:rPr>
          <w:rFonts w:asciiTheme="minorHAnsi" w:eastAsia="Times New Roman" w:hAnsiTheme="minorHAnsi" w:cstheme="minorBidi"/>
          <w:lang w:val="en-US" w:eastAsia="en-GB"/>
        </w:rPr>
        <w:t xml:space="preserve">. (2023). </w:t>
      </w:r>
      <w:r w:rsidR="00DE24B2" w:rsidRPr="00D33C9F">
        <w:rPr>
          <w:rFonts w:asciiTheme="minorHAnsi" w:eastAsia="Times New Roman" w:hAnsiTheme="minorHAnsi" w:cstheme="minorBidi"/>
          <w:i/>
          <w:iCs/>
          <w:highlight w:val="white"/>
          <w:lang w:val="en-US" w:eastAsia="en-GB"/>
        </w:rPr>
        <w:t>Rate of patients with transplanted organs in selected countries in</w:t>
      </w:r>
      <w:r w:rsidR="00DE24B2" w:rsidRPr="00D33C9F">
        <w:rPr>
          <w:rFonts w:asciiTheme="minorHAnsi" w:eastAsia="Times New Roman" w:hAnsiTheme="minorHAnsi" w:cstheme="minorBidi"/>
          <w:i/>
          <w:iCs/>
          <w:lang w:val="en-US" w:eastAsia="en-GB"/>
        </w:rPr>
        <w:t xml:space="preserve"> 2022.</w:t>
      </w:r>
      <w:r w:rsidR="00DE24B2" w:rsidRPr="00D33C9F">
        <w:rPr>
          <w:rFonts w:asciiTheme="minorHAnsi" w:eastAsia="Times New Roman" w:hAnsiTheme="minorHAnsi" w:cstheme="minorBidi"/>
          <w:lang w:val="en-US" w:eastAsia="en-GB"/>
        </w:rPr>
        <w:t xml:space="preserve"> </w:t>
      </w:r>
      <w:hyperlink r:id="rId23">
        <w:r w:rsidR="00265961" w:rsidRPr="00D33C9F">
          <w:rPr>
            <w:rStyle w:val="Hyperlink"/>
            <w:rFonts w:asciiTheme="minorHAnsi" w:eastAsia="Times New Roman" w:hAnsiTheme="minorHAnsi" w:cstheme="minorBidi"/>
            <w:color w:val="auto"/>
            <w:highlight w:val="white"/>
            <w:lang w:val="en-US" w:eastAsia="en-GB"/>
          </w:rPr>
          <w:t>https://www.statista.com/statistics/407644/global-rates-of-organ-transplanted-patients-in-select-countries</w:t>
        </w:r>
        <w:r w:rsidR="00265961" w:rsidRPr="00D33C9F">
          <w:rPr>
            <w:rStyle w:val="Hyperlink"/>
            <w:rFonts w:asciiTheme="minorHAnsi" w:eastAsia="Times New Roman" w:hAnsiTheme="minorHAnsi" w:cstheme="minorBidi"/>
            <w:color w:val="auto"/>
            <w:lang w:val="en-US" w:eastAsia="en-GB"/>
          </w:rPr>
          <w:t>/</w:t>
        </w:r>
      </w:hyperlink>
      <w:r w:rsidR="00265961" w:rsidRPr="00D33C9F">
        <w:rPr>
          <w:rFonts w:asciiTheme="minorHAnsi" w:eastAsia="Times New Roman" w:hAnsiTheme="minorHAnsi" w:cstheme="minorBidi"/>
          <w:lang w:val="en-US" w:eastAsia="en-GB"/>
        </w:rPr>
        <w:t xml:space="preserve"> </w:t>
      </w:r>
    </w:p>
    <w:p w14:paraId="5A05B5AD" w14:textId="5D7F8EBE" w:rsidR="00A31269" w:rsidRPr="00D33C9F" w:rsidRDefault="00A31269" w:rsidP="00413528">
      <w:pPr>
        <w:spacing w:line="240" w:lineRule="auto"/>
        <w:ind w:hanging="720"/>
        <w:rPr>
          <w:rFonts w:asciiTheme="minorHAnsi" w:eastAsia="Times New Roman" w:hAnsiTheme="minorHAnsi" w:cstheme="minorBidi"/>
          <w:lang w:val="en-US" w:eastAsia="en-GB"/>
        </w:rPr>
      </w:pPr>
      <w:proofErr w:type="spellStart"/>
      <w:r w:rsidRPr="00D33C9F">
        <w:rPr>
          <w:rFonts w:asciiTheme="minorHAnsi" w:eastAsia="Times New Roman" w:hAnsiTheme="minorHAnsi" w:cstheme="minorBidi"/>
          <w:highlight w:val="white"/>
          <w:lang w:val="en-US" w:eastAsia="en-GB"/>
        </w:rPr>
        <w:t>Stefanicka-Wojtas</w:t>
      </w:r>
      <w:proofErr w:type="spellEnd"/>
      <w:r w:rsidRPr="00D33C9F">
        <w:rPr>
          <w:rFonts w:asciiTheme="minorHAnsi" w:eastAsia="Times New Roman" w:hAnsiTheme="minorHAnsi" w:cstheme="minorBidi"/>
          <w:highlight w:val="white"/>
          <w:lang w:val="en-US" w:eastAsia="en-GB"/>
        </w:rPr>
        <w:t xml:space="preserve">, D., &amp; </w:t>
      </w:r>
      <w:proofErr w:type="spellStart"/>
      <w:r w:rsidRPr="00D33C9F">
        <w:rPr>
          <w:rFonts w:asciiTheme="minorHAnsi" w:eastAsia="Times New Roman" w:hAnsiTheme="minorHAnsi" w:cstheme="minorBidi"/>
          <w:highlight w:val="white"/>
          <w:lang w:val="en-US" w:eastAsia="en-GB"/>
        </w:rPr>
        <w:t>Kurpas</w:t>
      </w:r>
      <w:proofErr w:type="spellEnd"/>
      <w:r w:rsidRPr="00D33C9F">
        <w:rPr>
          <w:rFonts w:asciiTheme="minorHAnsi" w:eastAsia="Times New Roman" w:hAnsiTheme="minorHAnsi" w:cstheme="minorBidi"/>
          <w:highlight w:val="white"/>
          <w:lang w:val="en-US" w:eastAsia="en-GB"/>
        </w:rPr>
        <w:t>, D. (2022). eHealth and mHealth in Chronic</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Diseases—Identification of Barriers, Existing Solutions, and Promoters Based on a</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Survey of EU Stakeholders Involved in Regions4PerMed (H2020). </w:t>
      </w:r>
      <w:r w:rsidRPr="00D33C9F">
        <w:rPr>
          <w:rFonts w:asciiTheme="minorHAnsi" w:eastAsia="Times New Roman" w:hAnsiTheme="minorHAnsi" w:cstheme="minorBidi"/>
          <w:i/>
          <w:iCs/>
          <w:highlight w:val="white"/>
          <w:lang w:val="en-US" w:eastAsia="en-GB"/>
        </w:rPr>
        <w:t>Journal of</w:t>
      </w:r>
      <w:r w:rsidRPr="00D33C9F">
        <w:rPr>
          <w:rFonts w:asciiTheme="minorHAnsi" w:eastAsia="Times New Roman" w:hAnsiTheme="minorHAnsi" w:cstheme="minorBidi"/>
          <w:i/>
          <w:iCs/>
          <w:lang w:val="en-US" w:eastAsia="en-GB"/>
        </w:rPr>
        <w:t xml:space="preserve"> </w:t>
      </w:r>
      <w:r w:rsidRPr="00D33C9F">
        <w:rPr>
          <w:rFonts w:asciiTheme="minorHAnsi" w:eastAsia="Times New Roman" w:hAnsiTheme="minorHAnsi" w:cstheme="minorBidi"/>
          <w:i/>
          <w:iCs/>
          <w:highlight w:val="white"/>
          <w:lang w:val="en-US" w:eastAsia="en-GB"/>
        </w:rPr>
        <w:t>Personalized Medicine</w:t>
      </w:r>
      <w:r w:rsidRPr="00D33C9F">
        <w:rPr>
          <w:rFonts w:asciiTheme="minorHAnsi" w:eastAsia="Times New Roman" w:hAnsiTheme="minorHAnsi" w:cstheme="minorBidi"/>
          <w:highlight w:val="white"/>
          <w:lang w:val="en-US" w:eastAsia="en-GB"/>
        </w:rPr>
        <w:t>, </w:t>
      </w:r>
      <w:r w:rsidRPr="00D33C9F">
        <w:rPr>
          <w:rFonts w:asciiTheme="minorHAnsi" w:eastAsia="Times New Roman" w:hAnsiTheme="minorHAnsi" w:cstheme="minorBidi"/>
          <w:i/>
          <w:iCs/>
          <w:highlight w:val="white"/>
          <w:lang w:val="en-US" w:eastAsia="en-GB"/>
        </w:rPr>
        <w:t>12</w:t>
      </w:r>
      <w:r w:rsidRPr="00D33C9F">
        <w:rPr>
          <w:rFonts w:asciiTheme="minorHAnsi" w:eastAsia="Times New Roman" w:hAnsiTheme="minorHAnsi" w:cstheme="minorBidi"/>
          <w:lang w:val="en-US" w:eastAsia="en-GB"/>
        </w:rPr>
        <w:t xml:space="preserve">(3), </w:t>
      </w:r>
      <w:r w:rsidR="001F0D8F" w:rsidRPr="00D33C9F">
        <w:rPr>
          <w:rFonts w:asciiTheme="minorHAnsi" w:eastAsia="Times New Roman" w:hAnsiTheme="minorHAnsi" w:cstheme="minorBidi"/>
          <w:lang w:val="en-US" w:eastAsia="en-GB"/>
        </w:rPr>
        <w:t xml:space="preserve">Article </w:t>
      </w:r>
      <w:r w:rsidRPr="00D33C9F">
        <w:rPr>
          <w:rFonts w:asciiTheme="minorHAnsi" w:eastAsia="Times New Roman" w:hAnsiTheme="minorHAnsi" w:cstheme="minorBidi"/>
          <w:highlight w:val="white"/>
          <w:lang w:val="en-US" w:eastAsia="en-GB"/>
        </w:rPr>
        <w:t>467</w:t>
      </w:r>
      <w:r w:rsidRPr="00D33C9F">
        <w:rPr>
          <w:rFonts w:asciiTheme="minorHAnsi" w:eastAsia="Times New Roman" w:hAnsiTheme="minorHAnsi" w:cstheme="minorBidi"/>
          <w:lang w:val="en-US" w:eastAsia="en-GB"/>
        </w:rPr>
        <w:t>.</w:t>
      </w:r>
    </w:p>
    <w:p w14:paraId="2817951A" w14:textId="77777777" w:rsidR="00A31269" w:rsidRPr="00D33C9F" w:rsidRDefault="00A3126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lang w:val="en-US" w:eastAsia="en-GB"/>
        </w:rPr>
        <w:t xml:space="preserve">Tang, J., </w:t>
      </w:r>
      <w:r w:rsidRPr="00D33C9F">
        <w:rPr>
          <w:rFonts w:asciiTheme="minorHAnsi" w:eastAsia="Times New Roman" w:hAnsiTheme="minorHAnsi" w:cstheme="minorBidi"/>
          <w:highlight w:val="white"/>
          <w:lang w:val="en-US" w:eastAsia="en-GB"/>
        </w:rPr>
        <w:t>James, L., Howell, M., Tong, A., &amp; Wong, G. (2020). eHealth interventions for</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solid organ transplant recipients: a systematic review and meta-analysis of randomized</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controlled trials. </w:t>
      </w:r>
      <w:r w:rsidRPr="00D33C9F">
        <w:rPr>
          <w:rFonts w:asciiTheme="minorHAnsi" w:eastAsia="Times New Roman" w:hAnsiTheme="minorHAnsi" w:cstheme="minorBidi"/>
          <w:i/>
          <w:iCs/>
          <w:highlight w:val="white"/>
          <w:lang w:val="en-US" w:eastAsia="en-GB"/>
        </w:rPr>
        <w:t>Transplantation</w:t>
      </w:r>
      <w:r w:rsidRPr="00D33C9F">
        <w:rPr>
          <w:rFonts w:asciiTheme="minorHAnsi" w:eastAsia="Times New Roman" w:hAnsiTheme="minorHAnsi" w:cstheme="minorBidi"/>
          <w:highlight w:val="white"/>
          <w:lang w:val="en-US" w:eastAsia="en-GB"/>
        </w:rPr>
        <w:t>, </w:t>
      </w:r>
      <w:r w:rsidRPr="00D33C9F">
        <w:rPr>
          <w:rFonts w:asciiTheme="minorHAnsi" w:eastAsia="Times New Roman" w:hAnsiTheme="minorHAnsi" w:cstheme="minorBidi"/>
          <w:i/>
          <w:iCs/>
          <w:highlight w:val="white"/>
          <w:lang w:val="en-US" w:eastAsia="en-GB"/>
        </w:rPr>
        <w:t>104</w:t>
      </w:r>
      <w:r w:rsidRPr="00D33C9F">
        <w:rPr>
          <w:rFonts w:asciiTheme="minorHAnsi" w:eastAsia="Times New Roman" w:hAnsiTheme="minorHAnsi" w:cstheme="minorBidi"/>
          <w:highlight w:val="white"/>
          <w:lang w:val="en-US" w:eastAsia="en-GB"/>
        </w:rPr>
        <w:t>(8), e224-e235</w:t>
      </w:r>
      <w:r w:rsidRPr="00D33C9F">
        <w:rPr>
          <w:rFonts w:asciiTheme="minorHAnsi" w:eastAsia="Times New Roman" w:hAnsiTheme="minorHAnsi" w:cstheme="minorBidi"/>
          <w:lang w:val="en-US" w:eastAsia="en-GB"/>
        </w:rPr>
        <w:t xml:space="preserve">. </w:t>
      </w:r>
    </w:p>
    <w:p w14:paraId="2BBFC576" w14:textId="6729EA88" w:rsidR="00A31269" w:rsidRPr="00D33C9F" w:rsidRDefault="00A3126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lang w:val="en-US" w:eastAsia="en-GB"/>
        </w:rPr>
        <w:t>Tang, J. H. (</w:t>
      </w:r>
      <w:r w:rsidRPr="00D33C9F">
        <w:rPr>
          <w:rFonts w:asciiTheme="minorHAnsi" w:eastAsia="Times New Roman" w:hAnsiTheme="minorHAnsi" w:cstheme="minorBidi"/>
          <w:highlight w:val="white"/>
          <w:lang w:val="en-US" w:eastAsia="en-GB"/>
        </w:rPr>
        <w:t>2022). Perspectives of kidney transplant recipients on eHealth:</w:t>
      </w:r>
      <w:r w:rsidRPr="00D33C9F">
        <w:rPr>
          <w:rFonts w:asciiTheme="minorHAnsi" w:eastAsia="Times New Roman" w:hAnsiTheme="minorHAnsi" w:cstheme="minorBidi"/>
          <w:lang w:val="en-US" w:eastAsia="en-GB"/>
        </w:rPr>
        <w:t xml:space="preserve"> </w:t>
      </w:r>
      <w:proofErr w:type="spellStart"/>
      <w:r w:rsidRPr="00D33C9F">
        <w:rPr>
          <w:rFonts w:asciiTheme="minorHAnsi" w:eastAsia="Times New Roman" w:hAnsiTheme="minorHAnsi" w:cstheme="minorBidi"/>
          <w:highlight w:val="white"/>
          <w:lang w:val="en-US" w:eastAsia="en-GB"/>
        </w:rPr>
        <w:t>Semistructured</w:t>
      </w:r>
      <w:proofErr w:type="spellEnd"/>
      <w:r w:rsidRPr="00D33C9F">
        <w:rPr>
          <w:rFonts w:asciiTheme="minorHAnsi" w:eastAsia="Times New Roman" w:hAnsiTheme="minorHAnsi" w:cstheme="minorBidi"/>
          <w:highlight w:val="white"/>
          <w:lang w:val="en-US" w:eastAsia="en-GB"/>
        </w:rPr>
        <w:t xml:space="preserve"> interviews</w:t>
      </w:r>
      <w:r w:rsidRPr="00D33C9F">
        <w:rPr>
          <w:rFonts w:asciiTheme="minorHAnsi" w:eastAsia="Times New Roman" w:hAnsiTheme="minorHAnsi" w:cstheme="minorBidi"/>
          <w:lang w:val="en-US" w:eastAsia="en-GB"/>
        </w:rPr>
        <w:t xml:space="preserve">. </w:t>
      </w:r>
      <w:r w:rsidR="0026602F" w:rsidRPr="00D33C9F">
        <w:rPr>
          <w:rFonts w:asciiTheme="minorHAnsi" w:eastAsia="Times New Roman" w:hAnsiTheme="minorHAnsi" w:cstheme="minorBidi"/>
          <w:i/>
          <w:iCs/>
          <w:lang w:val="en-US" w:eastAsia="en-GB"/>
        </w:rPr>
        <w:t xml:space="preserve">Transplant </w:t>
      </w:r>
      <w:r w:rsidR="0026602F" w:rsidRPr="00D33C9F">
        <w:rPr>
          <w:rFonts w:asciiTheme="minorHAnsi" w:eastAsia="Times New Roman" w:hAnsiTheme="minorHAnsi" w:cstheme="minorBidi"/>
          <w:i/>
          <w:iCs/>
          <w:highlight w:val="white"/>
          <w:lang w:val="en-US" w:eastAsia="en-GB"/>
        </w:rPr>
        <w:t>Direct</w:t>
      </w:r>
      <w:r w:rsidR="003E588F" w:rsidRPr="00D33C9F">
        <w:rPr>
          <w:rFonts w:asciiTheme="minorHAnsi" w:eastAsia="Times New Roman" w:hAnsiTheme="minorHAnsi" w:cstheme="minorBidi"/>
          <w:i/>
          <w:iCs/>
          <w:highlight w:val="white"/>
          <w:lang w:val="en-US" w:eastAsia="en-GB"/>
        </w:rPr>
        <w:t>, 8</w:t>
      </w:r>
      <w:r w:rsidR="003E588F" w:rsidRPr="00D33C9F">
        <w:rPr>
          <w:rFonts w:asciiTheme="minorHAnsi" w:eastAsia="Times New Roman" w:hAnsiTheme="minorHAnsi" w:cstheme="minorBidi"/>
          <w:highlight w:val="white"/>
          <w:lang w:val="en-US" w:eastAsia="en-GB"/>
        </w:rPr>
        <w:t>(12</w:t>
      </w:r>
      <w:r w:rsidR="003E588F" w:rsidRPr="00D33C9F">
        <w:rPr>
          <w:rFonts w:asciiTheme="minorHAnsi" w:eastAsia="Times New Roman" w:hAnsiTheme="minorHAnsi" w:cstheme="minorBidi"/>
          <w:lang w:val="en-US" w:eastAsia="en-GB"/>
        </w:rPr>
        <w:t xml:space="preserve">), Article </w:t>
      </w:r>
      <w:r w:rsidR="003E588F" w:rsidRPr="00D33C9F">
        <w:rPr>
          <w:rFonts w:asciiTheme="minorHAnsi" w:eastAsia="Times New Roman" w:hAnsiTheme="minorHAnsi" w:cstheme="minorBidi"/>
          <w:highlight w:val="white"/>
          <w:lang w:val="en-US" w:eastAsia="en-GB"/>
        </w:rPr>
        <w:t>e1404</w:t>
      </w:r>
      <w:r w:rsidRPr="00D33C9F">
        <w:rPr>
          <w:rFonts w:asciiTheme="minorHAnsi" w:eastAsia="Times New Roman" w:hAnsiTheme="minorHAnsi" w:cstheme="minorBidi"/>
          <w:lang w:val="en-US" w:eastAsia="en-GB"/>
        </w:rPr>
        <w:t>.</w:t>
      </w:r>
    </w:p>
    <w:p w14:paraId="519E358D" w14:textId="53A921F2" w:rsidR="00BD5FC2" w:rsidRPr="00D33C9F" w:rsidRDefault="00BD5FC2"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highlight w:val="white"/>
          <w:lang w:eastAsia="en-GB"/>
        </w:rPr>
        <w:t xml:space="preserve">Tate, M., </w:t>
      </w:r>
      <w:proofErr w:type="spellStart"/>
      <w:r w:rsidRPr="00D33C9F">
        <w:rPr>
          <w:rFonts w:asciiTheme="minorHAnsi" w:eastAsia="Times New Roman" w:hAnsiTheme="minorHAnsi" w:cstheme="minorBidi"/>
          <w:highlight w:val="white"/>
          <w:lang w:eastAsia="en-GB"/>
        </w:rPr>
        <w:t>Furtmueller</w:t>
      </w:r>
      <w:proofErr w:type="spellEnd"/>
      <w:r w:rsidRPr="00D33C9F">
        <w:rPr>
          <w:rFonts w:asciiTheme="minorHAnsi" w:eastAsia="Times New Roman" w:hAnsiTheme="minorHAnsi" w:cstheme="minorBidi"/>
          <w:highlight w:val="white"/>
          <w:lang w:eastAsia="en-GB"/>
        </w:rPr>
        <w:t>, E., Evermann, J., &amp; Bandara, W. (2015). Introduction to the</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special issue: The literature review in information systems. </w:t>
      </w:r>
      <w:r w:rsidRPr="00D33C9F">
        <w:rPr>
          <w:rFonts w:asciiTheme="minorHAnsi" w:eastAsia="Times New Roman" w:hAnsiTheme="minorHAnsi" w:cstheme="minorBidi"/>
          <w:i/>
          <w:iCs/>
          <w:highlight w:val="white"/>
          <w:lang w:eastAsia="en-GB"/>
        </w:rPr>
        <w:t>Communications of the</w:t>
      </w:r>
      <w:r w:rsidRPr="00D33C9F">
        <w:rPr>
          <w:rFonts w:asciiTheme="minorHAnsi" w:eastAsia="Times New Roman" w:hAnsiTheme="minorHAnsi" w:cstheme="minorBidi"/>
          <w:i/>
          <w:iCs/>
          <w:lang w:eastAsia="en-GB"/>
        </w:rPr>
        <w:t xml:space="preserve"> </w:t>
      </w:r>
      <w:r w:rsidRPr="00D33C9F">
        <w:rPr>
          <w:rFonts w:asciiTheme="minorHAnsi" w:eastAsia="Times New Roman" w:hAnsiTheme="minorHAnsi" w:cstheme="minorBidi"/>
          <w:i/>
          <w:iCs/>
          <w:highlight w:val="white"/>
          <w:lang w:eastAsia="en-GB"/>
        </w:rPr>
        <w:t>Association for Information Systems</w:t>
      </w:r>
      <w:r w:rsidRPr="00D33C9F">
        <w:rPr>
          <w:rFonts w:asciiTheme="minorHAnsi" w:eastAsia="Times New Roman" w:hAnsiTheme="minorHAnsi" w:cstheme="minorBidi"/>
          <w:highlight w:val="white"/>
          <w:lang w:eastAsia="en-GB"/>
        </w:rPr>
        <w:t>, </w:t>
      </w:r>
      <w:r w:rsidRPr="00D33C9F">
        <w:rPr>
          <w:rFonts w:asciiTheme="minorHAnsi" w:eastAsia="Times New Roman" w:hAnsiTheme="minorHAnsi" w:cstheme="minorBidi"/>
          <w:i/>
          <w:iCs/>
          <w:highlight w:val="white"/>
          <w:lang w:eastAsia="en-GB"/>
        </w:rPr>
        <w:t>37</w:t>
      </w:r>
      <w:r w:rsidRPr="00D33C9F">
        <w:rPr>
          <w:rFonts w:asciiTheme="minorHAnsi" w:eastAsia="Times New Roman" w:hAnsiTheme="minorHAnsi" w:cstheme="minorBidi"/>
          <w:lang w:eastAsia="en-GB"/>
        </w:rPr>
        <w:t xml:space="preserve">(1), </w:t>
      </w:r>
      <w:r w:rsidR="00081783" w:rsidRPr="00D33C9F">
        <w:rPr>
          <w:rFonts w:asciiTheme="minorHAnsi" w:eastAsia="Times New Roman" w:hAnsiTheme="minorHAnsi" w:cstheme="minorBidi"/>
          <w:lang w:eastAsia="en-GB"/>
        </w:rPr>
        <w:t xml:space="preserve">Article </w:t>
      </w:r>
      <w:r w:rsidRPr="00D33C9F">
        <w:rPr>
          <w:rFonts w:asciiTheme="minorHAnsi" w:eastAsia="Times New Roman" w:hAnsiTheme="minorHAnsi" w:cstheme="minorBidi"/>
          <w:lang w:eastAsia="en-GB"/>
        </w:rPr>
        <w:t>5.</w:t>
      </w:r>
    </w:p>
    <w:p w14:paraId="735D6FBA" w14:textId="5ADE1874" w:rsidR="009B2ACB" w:rsidRPr="00D33C9F" w:rsidRDefault="009B2ACB"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 xml:space="preserve">Thiessen, C., Wisel, S. A., Yamaguchi, S., Dietch, Z. C., Feng, S., &amp; Freise, C. E. (2020, November). Rapid modification of workflows and fellow staffing at a single transplant </w:t>
      </w:r>
      <w:proofErr w:type="spellStart"/>
      <w:r w:rsidRPr="00D33C9F">
        <w:rPr>
          <w:rFonts w:asciiTheme="minorHAnsi" w:eastAsia="Times New Roman" w:hAnsiTheme="minorHAnsi" w:cstheme="minorBidi"/>
          <w:lang w:eastAsia="en-GB"/>
        </w:rPr>
        <w:t>center</w:t>
      </w:r>
      <w:proofErr w:type="spellEnd"/>
      <w:r w:rsidRPr="00D33C9F">
        <w:rPr>
          <w:rFonts w:asciiTheme="minorHAnsi" w:eastAsia="Times New Roman" w:hAnsiTheme="minorHAnsi" w:cstheme="minorBidi"/>
          <w:lang w:eastAsia="en-GB"/>
        </w:rPr>
        <w:t xml:space="preserve"> to address the COVID-19 crisis. </w:t>
      </w:r>
      <w:r w:rsidRPr="00D33C9F">
        <w:rPr>
          <w:rFonts w:asciiTheme="minorHAnsi" w:eastAsia="Times New Roman" w:hAnsiTheme="minorHAnsi" w:cstheme="minorBidi"/>
          <w:i/>
          <w:iCs/>
          <w:lang w:eastAsia="en-GB"/>
        </w:rPr>
        <w:t>Transplantation Proceedings</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i/>
          <w:iCs/>
          <w:lang w:eastAsia="en-GB"/>
        </w:rPr>
        <w:t>52</w:t>
      </w:r>
      <w:r w:rsidRPr="00D33C9F">
        <w:rPr>
          <w:rFonts w:asciiTheme="minorHAnsi" w:eastAsia="Times New Roman" w:hAnsiTheme="minorHAnsi" w:cstheme="minorBidi"/>
          <w:lang w:eastAsia="en-GB"/>
        </w:rPr>
        <w:t>(9), 2596-2600.</w:t>
      </w:r>
    </w:p>
    <w:p w14:paraId="59C8B0FC" w14:textId="36EAF7FF" w:rsidR="00B16693" w:rsidRPr="00D33C9F" w:rsidRDefault="00B16693"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eastAsia="en-GB"/>
        </w:rPr>
        <w:t xml:space="preserve">Thomas, E. E., Haydon, H. M., Mehrotra, A., Caffery, L. J., </w:t>
      </w:r>
      <w:proofErr w:type="spellStart"/>
      <w:r w:rsidRPr="00D33C9F">
        <w:rPr>
          <w:rFonts w:asciiTheme="minorHAnsi" w:eastAsia="Times New Roman" w:hAnsiTheme="minorHAnsi" w:cstheme="minorBidi"/>
          <w:highlight w:val="white"/>
          <w:lang w:eastAsia="en-GB"/>
        </w:rPr>
        <w:t>Snoswell</w:t>
      </w:r>
      <w:proofErr w:type="spellEnd"/>
      <w:r w:rsidRPr="00D33C9F">
        <w:rPr>
          <w:rFonts w:asciiTheme="minorHAnsi" w:eastAsia="Times New Roman" w:hAnsiTheme="minorHAnsi" w:cstheme="minorBidi"/>
          <w:highlight w:val="white"/>
          <w:lang w:eastAsia="en-GB"/>
        </w:rPr>
        <w:t>, C. L., Banbury,</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A., &amp; Smith, A. C. (2022). Building on the momentum: sustaining telehealth beyond</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COVID-19. </w:t>
      </w:r>
      <w:r w:rsidRPr="00D33C9F">
        <w:rPr>
          <w:rFonts w:asciiTheme="minorHAnsi" w:eastAsia="Times New Roman" w:hAnsiTheme="minorHAnsi" w:cstheme="minorBidi"/>
          <w:i/>
          <w:iCs/>
          <w:highlight w:val="white"/>
          <w:lang w:eastAsia="en-GB"/>
        </w:rPr>
        <w:t xml:space="preserve">Journal </w:t>
      </w:r>
      <w:r w:rsidR="00152920" w:rsidRPr="00D33C9F">
        <w:rPr>
          <w:rFonts w:asciiTheme="minorHAnsi" w:eastAsia="Times New Roman" w:hAnsiTheme="minorHAnsi" w:cstheme="minorBidi"/>
          <w:i/>
          <w:iCs/>
          <w:highlight w:val="white"/>
          <w:lang w:eastAsia="en-GB"/>
        </w:rPr>
        <w:t>of Telemedicine And Telecare</w:t>
      </w:r>
      <w:r w:rsidRPr="00D33C9F">
        <w:rPr>
          <w:rFonts w:asciiTheme="minorHAnsi" w:eastAsia="Times New Roman" w:hAnsiTheme="minorHAnsi" w:cstheme="minorBidi"/>
          <w:highlight w:val="white"/>
          <w:lang w:eastAsia="en-GB"/>
        </w:rPr>
        <w:t>, </w:t>
      </w:r>
      <w:r w:rsidRPr="00D33C9F">
        <w:rPr>
          <w:rFonts w:asciiTheme="minorHAnsi" w:eastAsia="Times New Roman" w:hAnsiTheme="minorHAnsi" w:cstheme="minorBidi"/>
          <w:i/>
          <w:iCs/>
          <w:highlight w:val="white"/>
          <w:lang w:eastAsia="en-GB"/>
        </w:rPr>
        <w:t>28</w:t>
      </w:r>
      <w:r w:rsidRPr="00D33C9F">
        <w:rPr>
          <w:rFonts w:asciiTheme="minorHAnsi" w:eastAsia="Times New Roman" w:hAnsiTheme="minorHAnsi" w:cstheme="minorBidi"/>
          <w:highlight w:val="white"/>
          <w:lang w:eastAsia="en-GB"/>
        </w:rPr>
        <w:t>(4), 301-308</w:t>
      </w:r>
      <w:r w:rsidRPr="00D33C9F">
        <w:rPr>
          <w:rFonts w:asciiTheme="minorHAnsi" w:eastAsia="Times New Roman" w:hAnsiTheme="minorHAnsi" w:cstheme="minorBidi"/>
          <w:lang w:eastAsia="en-GB"/>
        </w:rPr>
        <w:t>.</w:t>
      </w:r>
    </w:p>
    <w:p w14:paraId="7707107D" w14:textId="1AE0890D" w:rsidR="00A31269" w:rsidRPr="00D33C9F" w:rsidRDefault="00A31269" w:rsidP="00413528">
      <w:pPr>
        <w:spacing w:line="240" w:lineRule="auto"/>
        <w:ind w:hanging="720"/>
        <w:rPr>
          <w:rFonts w:asciiTheme="minorHAnsi" w:eastAsia="Times New Roman" w:hAnsiTheme="minorHAnsi" w:cstheme="minorBidi"/>
          <w:lang w:val="en-US" w:eastAsia="en-GB"/>
        </w:rPr>
      </w:pPr>
      <w:proofErr w:type="spellStart"/>
      <w:r w:rsidRPr="00D33C9F">
        <w:rPr>
          <w:rFonts w:asciiTheme="minorHAnsi" w:eastAsia="Times New Roman" w:hAnsiTheme="minorHAnsi" w:cstheme="minorBidi"/>
          <w:highlight w:val="white"/>
          <w:lang w:val="en-US" w:eastAsia="en-GB"/>
        </w:rPr>
        <w:t>Triberti</w:t>
      </w:r>
      <w:proofErr w:type="spellEnd"/>
      <w:r w:rsidRPr="00D33C9F">
        <w:rPr>
          <w:rFonts w:asciiTheme="minorHAnsi" w:eastAsia="Times New Roman" w:hAnsiTheme="minorHAnsi" w:cstheme="minorBidi"/>
          <w:highlight w:val="white"/>
          <w:lang w:val="en-US" w:eastAsia="en-GB"/>
        </w:rPr>
        <w:t xml:space="preserve">, S., </w:t>
      </w:r>
      <w:proofErr w:type="spellStart"/>
      <w:r w:rsidRPr="00D33C9F">
        <w:rPr>
          <w:rFonts w:asciiTheme="minorHAnsi" w:eastAsia="Times New Roman" w:hAnsiTheme="minorHAnsi" w:cstheme="minorBidi"/>
          <w:highlight w:val="white"/>
          <w:lang w:val="en-US" w:eastAsia="en-GB"/>
        </w:rPr>
        <w:t>Savioni</w:t>
      </w:r>
      <w:proofErr w:type="spellEnd"/>
      <w:r w:rsidRPr="00D33C9F">
        <w:rPr>
          <w:rFonts w:asciiTheme="minorHAnsi" w:eastAsia="Times New Roman" w:hAnsiTheme="minorHAnsi" w:cstheme="minorBidi"/>
          <w:highlight w:val="white"/>
          <w:lang w:val="en-US" w:eastAsia="en-GB"/>
        </w:rPr>
        <w:t xml:space="preserve">, L., </w:t>
      </w:r>
      <w:proofErr w:type="spellStart"/>
      <w:r w:rsidRPr="00D33C9F">
        <w:rPr>
          <w:rFonts w:asciiTheme="minorHAnsi" w:eastAsia="Times New Roman" w:hAnsiTheme="minorHAnsi" w:cstheme="minorBidi"/>
          <w:highlight w:val="white"/>
          <w:lang w:val="en-US" w:eastAsia="en-GB"/>
        </w:rPr>
        <w:t>Sebri</w:t>
      </w:r>
      <w:proofErr w:type="spellEnd"/>
      <w:r w:rsidRPr="00D33C9F">
        <w:rPr>
          <w:rFonts w:asciiTheme="minorHAnsi" w:eastAsia="Times New Roman" w:hAnsiTheme="minorHAnsi" w:cstheme="minorBidi"/>
          <w:highlight w:val="white"/>
          <w:lang w:val="en-US" w:eastAsia="en-GB"/>
        </w:rPr>
        <w:t xml:space="preserve">, V., &amp; </w:t>
      </w:r>
      <w:proofErr w:type="spellStart"/>
      <w:r w:rsidRPr="00D33C9F">
        <w:rPr>
          <w:rFonts w:asciiTheme="minorHAnsi" w:eastAsia="Times New Roman" w:hAnsiTheme="minorHAnsi" w:cstheme="minorBidi"/>
          <w:highlight w:val="white"/>
          <w:lang w:val="en-US" w:eastAsia="en-GB"/>
        </w:rPr>
        <w:t>Pravettoni</w:t>
      </w:r>
      <w:proofErr w:type="spellEnd"/>
      <w:r w:rsidRPr="00D33C9F">
        <w:rPr>
          <w:rFonts w:asciiTheme="minorHAnsi" w:eastAsia="Times New Roman" w:hAnsiTheme="minorHAnsi" w:cstheme="minorBidi"/>
          <w:highlight w:val="white"/>
          <w:lang w:val="en-US" w:eastAsia="en-GB"/>
        </w:rPr>
        <w:t>, G. (2019). eHealth for improving quality of life in breast cancer patients: a systematic review. </w:t>
      </w:r>
      <w:r w:rsidRPr="00D33C9F">
        <w:rPr>
          <w:rFonts w:asciiTheme="minorHAnsi" w:eastAsia="Times New Roman" w:hAnsiTheme="minorHAnsi" w:cstheme="minorBidi"/>
          <w:i/>
          <w:highlight w:val="white"/>
          <w:lang w:val="en-US" w:eastAsia="en-GB"/>
        </w:rPr>
        <w:t>Cancer</w:t>
      </w:r>
      <w:r w:rsidRPr="00D33C9F">
        <w:rPr>
          <w:rFonts w:asciiTheme="minorHAnsi" w:eastAsia="Times New Roman" w:hAnsiTheme="minorHAnsi" w:cstheme="minorBidi"/>
          <w:i/>
          <w:iCs/>
          <w:highlight w:val="white"/>
          <w:lang w:val="en-US" w:eastAsia="en-GB"/>
        </w:rPr>
        <w:t xml:space="preserve"> </w:t>
      </w:r>
      <w:r w:rsidR="00152920" w:rsidRPr="00D33C9F">
        <w:rPr>
          <w:rFonts w:asciiTheme="minorHAnsi" w:eastAsia="Times New Roman" w:hAnsiTheme="minorHAnsi" w:cstheme="minorBidi"/>
          <w:i/>
          <w:highlight w:val="white"/>
          <w:lang w:val="en-US" w:eastAsia="en-GB"/>
        </w:rPr>
        <w:t>Treatment Reviews</w:t>
      </w:r>
      <w:r w:rsidRPr="00D33C9F">
        <w:rPr>
          <w:rFonts w:asciiTheme="minorHAnsi" w:eastAsia="Times New Roman" w:hAnsiTheme="minorHAnsi" w:cstheme="minorBidi"/>
          <w:highlight w:val="white"/>
          <w:lang w:val="en-US" w:eastAsia="en-GB"/>
        </w:rPr>
        <w:t>, </w:t>
      </w:r>
      <w:r w:rsidRPr="00D33C9F">
        <w:rPr>
          <w:rFonts w:asciiTheme="minorHAnsi" w:eastAsia="Times New Roman" w:hAnsiTheme="minorHAnsi" w:cstheme="minorBidi"/>
          <w:i/>
          <w:highlight w:val="white"/>
          <w:lang w:val="en-US" w:eastAsia="en-GB"/>
        </w:rPr>
        <w:t>74</w:t>
      </w:r>
      <w:r w:rsidRPr="00D33C9F">
        <w:rPr>
          <w:rFonts w:asciiTheme="minorHAnsi" w:eastAsia="Times New Roman" w:hAnsiTheme="minorHAnsi" w:cstheme="minorBidi"/>
          <w:highlight w:val="white"/>
          <w:lang w:val="en-US" w:eastAsia="en-GB"/>
        </w:rPr>
        <w:t>, 1-14.</w:t>
      </w:r>
    </w:p>
    <w:p w14:paraId="574CBC93" w14:textId="19796B54" w:rsidR="000F5B1B" w:rsidRPr="00D33C9F" w:rsidRDefault="000F5B1B" w:rsidP="00413528">
      <w:pPr>
        <w:spacing w:line="240" w:lineRule="auto"/>
        <w:ind w:hanging="720"/>
        <w:rPr>
          <w:rFonts w:asciiTheme="minorHAnsi" w:eastAsia="Times New Roman" w:hAnsiTheme="minorHAnsi" w:cstheme="minorBidi"/>
          <w:highlight w:val="white"/>
          <w:lang w:val="en-US" w:eastAsia="en-GB"/>
        </w:rPr>
      </w:pPr>
      <w:r w:rsidRPr="00D33C9F">
        <w:rPr>
          <w:rFonts w:asciiTheme="minorHAnsi" w:eastAsia="Times New Roman" w:hAnsiTheme="minorHAnsi" w:cstheme="minorBidi"/>
          <w:highlight w:val="white"/>
          <w:lang w:val="en-US" w:eastAsia="en-GB"/>
        </w:rPr>
        <w:t xml:space="preserve">U.S Department of Health and Human Services. (2022). </w:t>
      </w:r>
      <w:r w:rsidRPr="00D33C9F">
        <w:rPr>
          <w:rFonts w:asciiTheme="minorHAnsi" w:eastAsia="Times New Roman" w:hAnsiTheme="minorHAnsi" w:cstheme="minorBidi"/>
          <w:i/>
          <w:iCs/>
          <w:highlight w:val="white"/>
          <w:lang w:val="en-US" w:eastAsia="en-GB"/>
        </w:rPr>
        <w:t xml:space="preserve">Summary of the HIPAA privacy rule. </w:t>
      </w:r>
      <w:hyperlink r:id="rId24" w:history="1">
        <w:r w:rsidRPr="00D33C9F">
          <w:rPr>
            <w:rStyle w:val="Hyperlink"/>
            <w:rFonts w:asciiTheme="minorHAnsi" w:eastAsia="Times New Roman" w:hAnsiTheme="minorHAnsi" w:cstheme="minorBidi"/>
            <w:color w:val="auto"/>
            <w:lang w:val="en-US" w:eastAsia="en-GB"/>
          </w:rPr>
          <w:t>https://www.hhs.gov/hipaa/for-professionals/privacy/laws-regulations/index.html</w:t>
        </w:r>
      </w:hyperlink>
      <w:r w:rsidRPr="00D33C9F">
        <w:rPr>
          <w:rFonts w:asciiTheme="minorHAnsi" w:eastAsia="Times New Roman" w:hAnsiTheme="minorHAnsi" w:cstheme="minorBidi"/>
          <w:lang w:val="en-US" w:eastAsia="en-GB"/>
        </w:rPr>
        <w:t xml:space="preserve"> </w:t>
      </w:r>
    </w:p>
    <w:p w14:paraId="65107655" w14:textId="29EF2AE1" w:rsidR="00A31269" w:rsidRPr="00D33C9F" w:rsidRDefault="00A31269" w:rsidP="00413528">
      <w:pPr>
        <w:spacing w:line="240" w:lineRule="auto"/>
        <w:ind w:hanging="720"/>
        <w:rPr>
          <w:rFonts w:asciiTheme="minorHAnsi" w:eastAsia="Times New Roman" w:hAnsiTheme="minorHAnsi" w:cstheme="minorBidi"/>
          <w:lang w:val="en-US" w:eastAsia="en-GB"/>
        </w:rPr>
      </w:pPr>
      <w:proofErr w:type="spellStart"/>
      <w:r w:rsidRPr="00D33C9F">
        <w:rPr>
          <w:rFonts w:asciiTheme="minorHAnsi" w:eastAsia="Times New Roman" w:hAnsiTheme="minorHAnsi" w:cstheme="minorBidi"/>
          <w:highlight w:val="white"/>
          <w:lang w:val="en-US" w:eastAsia="en-GB"/>
        </w:rPr>
        <w:t>Vaismoradi</w:t>
      </w:r>
      <w:proofErr w:type="spellEnd"/>
      <w:r w:rsidRPr="00D33C9F">
        <w:rPr>
          <w:rFonts w:asciiTheme="minorHAnsi" w:eastAsia="Times New Roman" w:hAnsiTheme="minorHAnsi" w:cstheme="minorBidi"/>
          <w:highlight w:val="white"/>
          <w:lang w:val="en-US" w:eastAsia="en-GB"/>
        </w:rPr>
        <w:t xml:space="preserve">, M., Turunen, H., &amp; </w:t>
      </w:r>
      <w:proofErr w:type="spellStart"/>
      <w:r w:rsidRPr="00D33C9F">
        <w:rPr>
          <w:rFonts w:asciiTheme="minorHAnsi" w:eastAsia="Times New Roman" w:hAnsiTheme="minorHAnsi" w:cstheme="minorBidi"/>
          <w:highlight w:val="white"/>
          <w:lang w:val="en-US" w:eastAsia="en-GB"/>
        </w:rPr>
        <w:t>Bondas</w:t>
      </w:r>
      <w:proofErr w:type="spellEnd"/>
      <w:r w:rsidRPr="00D33C9F">
        <w:rPr>
          <w:rFonts w:asciiTheme="minorHAnsi" w:eastAsia="Times New Roman" w:hAnsiTheme="minorHAnsi" w:cstheme="minorBidi"/>
          <w:highlight w:val="white"/>
          <w:lang w:val="en-US" w:eastAsia="en-GB"/>
        </w:rPr>
        <w:t>, T. (2013). Content analysis and thematic</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 xml:space="preserve">analysis: Implications for conducting a qualitative descriptive study. </w:t>
      </w:r>
      <w:r w:rsidRPr="00D33C9F">
        <w:rPr>
          <w:rFonts w:asciiTheme="minorHAnsi" w:eastAsia="Times New Roman" w:hAnsiTheme="minorHAnsi" w:cstheme="minorBidi"/>
          <w:i/>
          <w:iCs/>
          <w:highlight w:val="white"/>
          <w:lang w:val="en-US" w:eastAsia="en-GB"/>
        </w:rPr>
        <w:t>Nursing and Health</w:t>
      </w:r>
      <w:r w:rsidRPr="00D33C9F">
        <w:rPr>
          <w:rFonts w:asciiTheme="minorHAnsi" w:eastAsia="Times New Roman" w:hAnsiTheme="minorHAnsi" w:cstheme="minorBidi"/>
          <w:i/>
          <w:iCs/>
          <w:lang w:val="en-US" w:eastAsia="en-GB"/>
        </w:rPr>
        <w:t xml:space="preserve"> </w:t>
      </w:r>
      <w:r w:rsidRPr="00D33C9F">
        <w:rPr>
          <w:rFonts w:asciiTheme="minorHAnsi" w:eastAsia="Times New Roman" w:hAnsiTheme="minorHAnsi" w:cstheme="minorBidi"/>
          <w:i/>
          <w:iCs/>
          <w:highlight w:val="white"/>
          <w:lang w:val="en-US" w:eastAsia="en-GB"/>
        </w:rPr>
        <w:t>Sciences</w:t>
      </w:r>
      <w:r w:rsidR="00DB6DF0" w:rsidRPr="00D33C9F">
        <w:rPr>
          <w:rFonts w:asciiTheme="minorHAnsi" w:eastAsia="Times New Roman" w:hAnsiTheme="minorHAnsi" w:cstheme="minorBidi"/>
          <w:highlight w:val="white"/>
          <w:lang w:val="en-US" w:eastAsia="en-GB"/>
        </w:rPr>
        <w:t xml:space="preserve">, </w:t>
      </w:r>
      <w:r w:rsidR="00DB6DF0" w:rsidRPr="00D33C9F">
        <w:rPr>
          <w:rFonts w:asciiTheme="minorHAnsi" w:eastAsia="Times New Roman" w:hAnsiTheme="minorHAnsi" w:cstheme="minorBidi"/>
          <w:i/>
          <w:iCs/>
          <w:highlight w:val="white"/>
          <w:lang w:val="en-US" w:eastAsia="en-GB"/>
        </w:rPr>
        <w:t>15</w:t>
      </w:r>
      <w:r w:rsidR="00DB6DF0" w:rsidRPr="00D33C9F">
        <w:rPr>
          <w:rFonts w:asciiTheme="minorHAnsi" w:eastAsia="Times New Roman" w:hAnsiTheme="minorHAnsi" w:cstheme="minorBidi"/>
          <w:highlight w:val="white"/>
          <w:lang w:val="en-US" w:eastAsia="en-GB"/>
        </w:rPr>
        <w:t>(3)</w:t>
      </w:r>
      <w:r w:rsidR="00465964" w:rsidRPr="00D33C9F">
        <w:rPr>
          <w:rFonts w:asciiTheme="minorHAnsi" w:eastAsia="Times New Roman" w:hAnsiTheme="minorHAnsi" w:cstheme="minorBidi"/>
          <w:highlight w:val="white"/>
          <w:lang w:val="en-US" w:eastAsia="en-GB"/>
        </w:rPr>
        <w:t>,</w:t>
      </w:r>
      <w:r w:rsidRPr="00D33C9F">
        <w:rPr>
          <w:rFonts w:asciiTheme="minorHAnsi" w:eastAsia="Times New Roman" w:hAnsiTheme="minorHAnsi" w:cstheme="minorBidi"/>
          <w:highlight w:val="white"/>
          <w:lang w:val="en-US" w:eastAsia="en-GB"/>
        </w:rPr>
        <w:t xml:space="preserve"> 398-405</w:t>
      </w:r>
      <w:r w:rsidRPr="00D33C9F">
        <w:rPr>
          <w:rFonts w:asciiTheme="minorHAnsi" w:eastAsia="Times New Roman" w:hAnsiTheme="minorHAnsi" w:cstheme="minorBidi"/>
          <w:lang w:val="en-US" w:eastAsia="en-GB"/>
        </w:rPr>
        <w:t>.</w:t>
      </w:r>
    </w:p>
    <w:p w14:paraId="02526E8D" w14:textId="2ED4B8AD" w:rsidR="000335D6" w:rsidRPr="00D33C9F" w:rsidRDefault="000335D6" w:rsidP="00413528">
      <w:pPr>
        <w:spacing w:line="240" w:lineRule="auto"/>
        <w:ind w:hanging="720"/>
        <w:rPr>
          <w:rFonts w:asciiTheme="minorHAnsi" w:eastAsia="Times New Roman" w:hAnsiTheme="minorHAnsi" w:cstheme="minorBidi"/>
          <w:lang w:val="en-US" w:eastAsia="en-GB"/>
        </w:rPr>
      </w:pPr>
      <w:proofErr w:type="spellStart"/>
      <w:r w:rsidRPr="00D33C9F">
        <w:rPr>
          <w:rFonts w:asciiTheme="minorHAnsi" w:eastAsia="Times New Roman" w:hAnsiTheme="minorHAnsi" w:cstheme="minorBidi"/>
          <w:highlight w:val="white"/>
          <w:lang w:eastAsia="en-GB"/>
        </w:rPr>
        <w:t>Vanholder</w:t>
      </w:r>
      <w:proofErr w:type="spellEnd"/>
      <w:r w:rsidRPr="00D33C9F">
        <w:rPr>
          <w:rFonts w:asciiTheme="minorHAnsi" w:eastAsia="Times New Roman" w:hAnsiTheme="minorHAnsi" w:cstheme="minorBidi"/>
          <w:highlight w:val="white"/>
          <w:lang w:eastAsia="en-GB"/>
        </w:rPr>
        <w:t>, R., Domínguez-Gil, B., Busic, M., Cortez-Pinto, H., Craig, J. C., Jager, K.</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 xml:space="preserve">J., </w:t>
      </w:r>
      <w:proofErr w:type="spellStart"/>
      <w:r w:rsidR="00F20B0A" w:rsidRPr="00D33C9F">
        <w:rPr>
          <w:rFonts w:asciiTheme="minorHAnsi" w:eastAsia="Times New Roman" w:hAnsiTheme="minorHAnsi" w:cstheme="minorBidi"/>
          <w:highlight w:val="white"/>
          <w:lang w:eastAsia="en-GB"/>
        </w:rPr>
        <w:t>Mahillo</w:t>
      </w:r>
      <w:proofErr w:type="spellEnd"/>
      <w:r w:rsidR="00F20B0A" w:rsidRPr="00D33C9F">
        <w:rPr>
          <w:rFonts w:asciiTheme="minorHAnsi" w:eastAsia="Times New Roman" w:hAnsiTheme="minorHAnsi" w:cstheme="minorBidi"/>
          <w:highlight w:val="white"/>
          <w:lang w:eastAsia="en-GB"/>
        </w:rPr>
        <w:t>, B., Stel, V. S., Valentin</w:t>
      </w:r>
      <w:r w:rsidR="00BD2F3B" w:rsidRPr="00D33C9F">
        <w:rPr>
          <w:rFonts w:asciiTheme="minorHAnsi" w:eastAsia="Times New Roman" w:hAnsiTheme="minorHAnsi" w:cstheme="minorBidi"/>
          <w:highlight w:val="white"/>
          <w:lang w:eastAsia="en-GB"/>
        </w:rPr>
        <w:t xml:space="preserve">, M. O., Zoccali, C., </w:t>
      </w:r>
      <w:r w:rsidRPr="00D33C9F">
        <w:rPr>
          <w:rFonts w:asciiTheme="minorHAnsi" w:eastAsia="Times New Roman" w:hAnsiTheme="minorHAnsi" w:cstheme="minorBidi"/>
          <w:highlight w:val="white"/>
          <w:lang w:eastAsia="en-GB"/>
        </w:rPr>
        <w:t xml:space="preserve">&amp; </w:t>
      </w:r>
      <w:proofErr w:type="spellStart"/>
      <w:r w:rsidRPr="00D33C9F">
        <w:rPr>
          <w:rFonts w:asciiTheme="minorHAnsi" w:eastAsia="Times New Roman" w:hAnsiTheme="minorHAnsi" w:cstheme="minorBidi"/>
          <w:highlight w:val="white"/>
          <w:lang w:eastAsia="en-GB"/>
        </w:rPr>
        <w:t>Oniscu</w:t>
      </w:r>
      <w:proofErr w:type="spellEnd"/>
      <w:r w:rsidRPr="00D33C9F">
        <w:rPr>
          <w:rFonts w:asciiTheme="minorHAnsi" w:eastAsia="Times New Roman" w:hAnsiTheme="minorHAnsi" w:cstheme="minorBidi"/>
          <w:highlight w:val="white"/>
          <w:lang w:eastAsia="en-GB"/>
        </w:rPr>
        <w:t>, G. C. (2021). Organ</w:t>
      </w:r>
      <w:r w:rsidRPr="00D33C9F">
        <w:rPr>
          <w:rFonts w:asciiTheme="minorHAnsi" w:eastAsia="Times New Roman" w:hAnsiTheme="minorHAnsi" w:cstheme="minorBidi"/>
          <w:lang w:eastAsia="en-GB"/>
        </w:rPr>
        <w:t xml:space="preserve"> </w:t>
      </w:r>
      <w:r w:rsidRPr="00D33C9F">
        <w:rPr>
          <w:rFonts w:asciiTheme="minorHAnsi" w:eastAsia="Times New Roman" w:hAnsiTheme="minorHAnsi" w:cstheme="minorBidi"/>
          <w:highlight w:val="white"/>
          <w:lang w:eastAsia="en-GB"/>
        </w:rPr>
        <w:t>donation and transplantation: a multi-stakeholder call to action. </w:t>
      </w:r>
      <w:r w:rsidRPr="00D33C9F">
        <w:rPr>
          <w:rFonts w:asciiTheme="minorHAnsi" w:eastAsia="Times New Roman" w:hAnsiTheme="minorHAnsi" w:cstheme="minorBidi"/>
          <w:i/>
          <w:iCs/>
          <w:highlight w:val="white"/>
          <w:lang w:eastAsia="en-GB"/>
        </w:rPr>
        <w:t>Nature Reviews</w:t>
      </w:r>
      <w:r w:rsidRPr="00D33C9F">
        <w:rPr>
          <w:rFonts w:asciiTheme="minorHAnsi" w:eastAsia="Times New Roman" w:hAnsiTheme="minorHAnsi" w:cstheme="minorBidi"/>
          <w:i/>
          <w:iCs/>
          <w:lang w:eastAsia="en-GB"/>
        </w:rPr>
        <w:t xml:space="preserve"> </w:t>
      </w:r>
      <w:r w:rsidRPr="00D33C9F">
        <w:rPr>
          <w:rFonts w:asciiTheme="minorHAnsi" w:eastAsia="Times New Roman" w:hAnsiTheme="minorHAnsi" w:cstheme="minorBidi"/>
          <w:i/>
          <w:iCs/>
          <w:highlight w:val="white"/>
          <w:lang w:eastAsia="en-GB"/>
        </w:rPr>
        <w:t>Nephrology</w:t>
      </w:r>
      <w:r w:rsidRPr="00D33C9F">
        <w:rPr>
          <w:rFonts w:asciiTheme="minorHAnsi" w:eastAsia="Times New Roman" w:hAnsiTheme="minorHAnsi" w:cstheme="minorBidi"/>
          <w:highlight w:val="white"/>
          <w:lang w:eastAsia="en-GB"/>
        </w:rPr>
        <w:t>, </w:t>
      </w:r>
      <w:r w:rsidRPr="00D33C9F">
        <w:rPr>
          <w:rFonts w:asciiTheme="minorHAnsi" w:eastAsia="Times New Roman" w:hAnsiTheme="minorHAnsi" w:cstheme="minorBidi"/>
          <w:i/>
          <w:iCs/>
          <w:highlight w:val="white"/>
          <w:lang w:eastAsia="en-GB"/>
        </w:rPr>
        <w:t>17</w:t>
      </w:r>
      <w:r w:rsidRPr="00D33C9F">
        <w:rPr>
          <w:rFonts w:asciiTheme="minorHAnsi" w:eastAsia="Times New Roman" w:hAnsiTheme="minorHAnsi" w:cstheme="minorBidi"/>
          <w:highlight w:val="white"/>
          <w:lang w:eastAsia="en-GB"/>
        </w:rPr>
        <w:t>(8), 554-568</w:t>
      </w:r>
      <w:r w:rsidRPr="00D33C9F">
        <w:rPr>
          <w:rFonts w:asciiTheme="minorHAnsi" w:eastAsia="Times New Roman" w:hAnsiTheme="minorHAnsi" w:cstheme="minorBidi"/>
          <w:lang w:eastAsia="en-GB"/>
        </w:rPr>
        <w:t>.</w:t>
      </w:r>
    </w:p>
    <w:p w14:paraId="43987C83" w14:textId="6A05E47D" w:rsidR="00A31269" w:rsidRPr="00D33C9F" w:rsidRDefault="00A3126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val="en-US" w:eastAsia="en-GB"/>
        </w:rPr>
        <w:t xml:space="preserve">Vanhoof, J., Vandenberghe, B., Geerts, D., </w:t>
      </w:r>
      <w:proofErr w:type="spellStart"/>
      <w:r w:rsidRPr="00D33C9F">
        <w:rPr>
          <w:rFonts w:asciiTheme="minorHAnsi" w:eastAsia="Times New Roman" w:hAnsiTheme="minorHAnsi" w:cstheme="minorBidi"/>
          <w:highlight w:val="white"/>
          <w:lang w:val="en-US" w:eastAsia="en-GB"/>
        </w:rPr>
        <w:t>Philippaerts</w:t>
      </w:r>
      <w:proofErr w:type="spellEnd"/>
      <w:r w:rsidRPr="00D33C9F">
        <w:rPr>
          <w:rFonts w:asciiTheme="minorHAnsi" w:eastAsia="Times New Roman" w:hAnsiTheme="minorHAnsi" w:cstheme="minorBidi"/>
          <w:highlight w:val="white"/>
          <w:lang w:val="en-US" w:eastAsia="en-GB"/>
        </w:rPr>
        <w:t>, P., De</w:t>
      </w:r>
      <w:r w:rsidRPr="00D33C9F">
        <w:rPr>
          <w:rFonts w:asciiTheme="minorHAnsi" w:eastAsia="Times New Roman" w:hAnsiTheme="minorHAnsi" w:cstheme="minorBidi"/>
          <w:lang w:val="en-US" w:eastAsia="en-GB"/>
        </w:rPr>
        <w:t xml:space="preserve"> </w:t>
      </w:r>
      <w:proofErr w:type="spellStart"/>
      <w:r w:rsidRPr="00D33C9F">
        <w:rPr>
          <w:rFonts w:asciiTheme="minorHAnsi" w:eastAsia="Times New Roman" w:hAnsiTheme="minorHAnsi" w:cstheme="minorBidi"/>
          <w:lang w:val="en-US" w:eastAsia="en-GB"/>
        </w:rPr>
        <w:t>Maziere</w:t>
      </w:r>
      <w:proofErr w:type="spellEnd"/>
      <w:r w:rsidRPr="00D33C9F">
        <w:rPr>
          <w:rFonts w:asciiTheme="minorHAnsi" w:eastAsia="Times New Roman" w:hAnsiTheme="minorHAnsi" w:cstheme="minorBidi"/>
          <w:lang w:val="en-US" w:eastAsia="en-GB"/>
        </w:rPr>
        <w:t xml:space="preserve">, P., Dabs, D. </w:t>
      </w:r>
      <w:r w:rsidRPr="00D33C9F">
        <w:rPr>
          <w:rFonts w:asciiTheme="minorHAnsi" w:eastAsia="Times New Roman" w:hAnsiTheme="minorHAnsi" w:cstheme="minorBidi"/>
          <w:highlight w:val="white"/>
          <w:lang w:val="en-US" w:eastAsia="en-GB"/>
        </w:rPr>
        <w:t xml:space="preserve">A., De </w:t>
      </w:r>
      <w:proofErr w:type="spellStart"/>
      <w:r w:rsidRPr="00D33C9F">
        <w:rPr>
          <w:rFonts w:asciiTheme="minorHAnsi" w:eastAsia="Times New Roman" w:hAnsiTheme="minorHAnsi" w:cstheme="minorBidi"/>
          <w:highlight w:val="white"/>
          <w:lang w:val="en-US" w:eastAsia="en-GB"/>
        </w:rPr>
        <w:t>Geest</w:t>
      </w:r>
      <w:proofErr w:type="spellEnd"/>
      <w:r w:rsidRPr="00D33C9F">
        <w:rPr>
          <w:rFonts w:asciiTheme="minorHAnsi" w:eastAsia="Times New Roman" w:hAnsiTheme="minorHAnsi" w:cstheme="minorBidi"/>
          <w:highlight w:val="white"/>
          <w:lang w:val="en-US" w:eastAsia="en-GB"/>
        </w:rPr>
        <w:t>, S., &amp;Dobbels, F. (2018). Technology experience of solid organ</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transplant patients and their overall willingness to use interactive health technology.</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i/>
          <w:iCs/>
          <w:highlight w:val="white"/>
          <w:lang w:val="en-US" w:eastAsia="en-GB"/>
        </w:rPr>
        <w:t xml:space="preserve">Journal of </w:t>
      </w:r>
      <w:r w:rsidR="00152920" w:rsidRPr="00D33C9F">
        <w:rPr>
          <w:rFonts w:asciiTheme="minorHAnsi" w:eastAsia="Times New Roman" w:hAnsiTheme="minorHAnsi" w:cstheme="minorBidi"/>
          <w:i/>
          <w:iCs/>
          <w:highlight w:val="white"/>
          <w:lang w:val="en-US" w:eastAsia="en-GB"/>
        </w:rPr>
        <w:t>Nursing Scholarship</w:t>
      </w:r>
      <w:r w:rsidR="00465964" w:rsidRPr="00D33C9F">
        <w:rPr>
          <w:rFonts w:asciiTheme="minorHAnsi" w:eastAsia="Times New Roman" w:hAnsiTheme="minorHAnsi" w:cstheme="minorBidi"/>
          <w:i/>
          <w:iCs/>
          <w:highlight w:val="white"/>
          <w:lang w:val="en-US" w:eastAsia="en-GB"/>
        </w:rPr>
        <w:t xml:space="preserve">, </w:t>
      </w:r>
      <w:r w:rsidR="007B46D3" w:rsidRPr="00D33C9F">
        <w:rPr>
          <w:rFonts w:asciiTheme="minorHAnsi" w:eastAsia="Times New Roman" w:hAnsiTheme="minorHAnsi" w:cstheme="minorBidi"/>
          <w:i/>
          <w:iCs/>
          <w:highlight w:val="white"/>
          <w:lang w:val="en-US" w:eastAsia="en-GB"/>
        </w:rPr>
        <w:t>50</w:t>
      </w:r>
      <w:r w:rsidR="007B46D3" w:rsidRPr="00D33C9F">
        <w:rPr>
          <w:rFonts w:asciiTheme="minorHAnsi" w:eastAsia="Times New Roman" w:hAnsiTheme="minorHAnsi" w:cstheme="minorBidi"/>
          <w:highlight w:val="white"/>
          <w:lang w:val="en-US" w:eastAsia="en-GB"/>
        </w:rPr>
        <w:t>(2), 151-162</w:t>
      </w:r>
      <w:r w:rsidR="007B46D3" w:rsidRPr="00D33C9F">
        <w:rPr>
          <w:rFonts w:asciiTheme="minorHAnsi" w:eastAsia="Times New Roman" w:hAnsiTheme="minorHAnsi" w:cstheme="minorBidi"/>
          <w:lang w:val="en-US" w:eastAsia="en-GB"/>
        </w:rPr>
        <w:t xml:space="preserve">. </w:t>
      </w:r>
    </w:p>
    <w:p w14:paraId="0F960228" w14:textId="282E5E76" w:rsidR="004F7D50" w:rsidRPr="00D33C9F" w:rsidRDefault="004F7D50"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 xml:space="preserve">Vaughn, J., </w:t>
      </w:r>
      <w:proofErr w:type="spellStart"/>
      <w:r w:rsidRPr="00D33C9F">
        <w:rPr>
          <w:rFonts w:asciiTheme="minorHAnsi" w:eastAsia="Times New Roman" w:hAnsiTheme="minorHAnsi" w:cstheme="minorBidi"/>
          <w:lang w:eastAsia="en-GB"/>
        </w:rPr>
        <w:t>Gollarahalli</w:t>
      </w:r>
      <w:proofErr w:type="spellEnd"/>
      <w:r w:rsidRPr="00D33C9F">
        <w:rPr>
          <w:rFonts w:asciiTheme="minorHAnsi" w:eastAsia="Times New Roman" w:hAnsiTheme="minorHAnsi" w:cstheme="minorBidi"/>
          <w:lang w:eastAsia="en-GB"/>
        </w:rPr>
        <w:t>, S., Shaw, R. J., Docherty, S., Yang, Q., Malhotra, C., Summers-</w:t>
      </w:r>
      <w:proofErr w:type="spellStart"/>
      <w:r w:rsidRPr="00D33C9F">
        <w:rPr>
          <w:rFonts w:asciiTheme="minorHAnsi" w:eastAsia="Times New Roman" w:hAnsiTheme="minorHAnsi" w:cstheme="minorBidi"/>
          <w:lang w:eastAsia="en-GB"/>
        </w:rPr>
        <w:t>Gockerman</w:t>
      </w:r>
      <w:proofErr w:type="spellEnd"/>
      <w:r w:rsidRPr="00D33C9F">
        <w:rPr>
          <w:rFonts w:asciiTheme="minorHAnsi" w:eastAsia="Times New Roman" w:hAnsiTheme="minorHAnsi" w:cstheme="minorBidi"/>
          <w:lang w:eastAsia="en-GB"/>
        </w:rPr>
        <w:t xml:space="preserve">, E., &amp; Shah, N. (2020). </w:t>
      </w:r>
      <w:r w:rsidR="001F7EDE" w:rsidRPr="00D33C9F">
        <w:rPr>
          <w:rFonts w:asciiTheme="minorHAnsi" w:eastAsia="Times New Roman" w:hAnsiTheme="minorHAnsi" w:cstheme="minorBidi"/>
          <w:lang w:eastAsia="en-GB"/>
        </w:rPr>
        <w:t xml:space="preserve">Mobile health technology for </w:t>
      </w:r>
      <w:proofErr w:type="spellStart"/>
      <w:r w:rsidR="001F7EDE" w:rsidRPr="00D33C9F">
        <w:rPr>
          <w:rFonts w:asciiTheme="minorHAnsi" w:eastAsia="Times New Roman" w:hAnsiTheme="minorHAnsi" w:cstheme="minorBidi"/>
          <w:lang w:eastAsia="en-GB"/>
        </w:rPr>
        <w:t>pediatric</w:t>
      </w:r>
      <w:proofErr w:type="spellEnd"/>
      <w:r w:rsidR="001F7EDE" w:rsidRPr="00D33C9F">
        <w:rPr>
          <w:rFonts w:asciiTheme="minorHAnsi" w:eastAsia="Times New Roman" w:hAnsiTheme="minorHAnsi" w:cstheme="minorBidi"/>
          <w:lang w:eastAsia="en-GB"/>
        </w:rPr>
        <w:t xml:space="preserve"> symptom monitoring: a feasibility study. </w:t>
      </w:r>
      <w:r w:rsidR="001F7EDE" w:rsidRPr="00D33C9F">
        <w:rPr>
          <w:rFonts w:asciiTheme="minorHAnsi" w:eastAsia="Times New Roman" w:hAnsiTheme="minorHAnsi" w:cstheme="minorBidi"/>
          <w:i/>
          <w:iCs/>
          <w:lang w:eastAsia="en-GB"/>
        </w:rPr>
        <w:t>Nursing Research</w:t>
      </w:r>
      <w:r w:rsidR="001F7EDE" w:rsidRPr="00D33C9F">
        <w:rPr>
          <w:rFonts w:asciiTheme="minorHAnsi" w:eastAsia="Times New Roman" w:hAnsiTheme="minorHAnsi" w:cstheme="minorBidi"/>
          <w:lang w:eastAsia="en-GB"/>
        </w:rPr>
        <w:t>, </w:t>
      </w:r>
      <w:r w:rsidR="001F7EDE" w:rsidRPr="00D33C9F">
        <w:rPr>
          <w:rFonts w:asciiTheme="minorHAnsi" w:eastAsia="Times New Roman" w:hAnsiTheme="minorHAnsi" w:cstheme="minorBidi"/>
          <w:i/>
          <w:iCs/>
          <w:lang w:eastAsia="en-GB"/>
        </w:rPr>
        <w:t>69</w:t>
      </w:r>
      <w:r w:rsidR="001F7EDE" w:rsidRPr="00D33C9F">
        <w:rPr>
          <w:rFonts w:asciiTheme="minorHAnsi" w:eastAsia="Times New Roman" w:hAnsiTheme="minorHAnsi" w:cstheme="minorBidi"/>
          <w:lang w:eastAsia="en-GB"/>
        </w:rPr>
        <w:t>(2), 142</w:t>
      </w:r>
      <w:r w:rsidR="00AB13DA" w:rsidRPr="00D33C9F">
        <w:rPr>
          <w:rFonts w:asciiTheme="minorHAnsi" w:eastAsia="Times New Roman" w:hAnsiTheme="minorHAnsi" w:cstheme="minorBidi"/>
          <w:lang w:eastAsia="en-GB"/>
        </w:rPr>
        <w:t>-148.</w:t>
      </w:r>
    </w:p>
    <w:p w14:paraId="2C87307B" w14:textId="3D455A2A" w:rsidR="00D97516" w:rsidRPr="00D33C9F" w:rsidRDefault="00C71803"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lang w:eastAsia="en-GB"/>
        </w:rPr>
        <w:t xml:space="preserve">Wang, W., van Lint, C. L., Brinkman, W. P., </w:t>
      </w:r>
      <w:proofErr w:type="spellStart"/>
      <w:r w:rsidRPr="00D33C9F">
        <w:rPr>
          <w:rFonts w:asciiTheme="minorHAnsi" w:eastAsia="Times New Roman" w:hAnsiTheme="minorHAnsi" w:cstheme="minorBidi"/>
          <w:lang w:eastAsia="en-GB"/>
        </w:rPr>
        <w:t>Rövekamp</w:t>
      </w:r>
      <w:proofErr w:type="spellEnd"/>
      <w:r w:rsidRPr="00D33C9F">
        <w:rPr>
          <w:rFonts w:asciiTheme="minorHAnsi" w:eastAsia="Times New Roman" w:hAnsiTheme="minorHAnsi" w:cstheme="minorBidi"/>
          <w:lang w:eastAsia="en-GB"/>
        </w:rPr>
        <w:t xml:space="preserve">, T. J., van Dijk, S., van der Boog, P., &amp; </w:t>
      </w:r>
      <w:proofErr w:type="spellStart"/>
      <w:r w:rsidRPr="00D33C9F">
        <w:rPr>
          <w:rFonts w:asciiTheme="minorHAnsi" w:eastAsia="Times New Roman" w:hAnsiTheme="minorHAnsi" w:cstheme="minorBidi"/>
          <w:lang w:eastAsia="en-GB"/>
        </w:rPr>
        <w:t>Neerincx</w:t>
      </w:r>
      <w:proofErr w:type="spellEnd"/>
      <w:r w:rsidRPr="00D33C9F">
        <w:rPr>
          <w:rFonts w:asciiTheme="minorHAnsi" w:eastAsia="Times New Roman" w:hAnsiTheme="minorHAnsi" w:cstheme="minorBidi"/>
          <w:lang w:eastAsia="en-GB"/>
        </w:rPr>
        <w:t>, M. A. (2019). Guided or factual computer support for kidney patients with different experience levels and medical health situations: preferences and usage. </w:t>
      </w:r>
      <w:r w:rsidRPr="00D33C9F">
        <w:rPr>
          <w:rFonts w:asciiTheme="minorHAnsi" w:eastAsia="Times New Roman" w:hAnsiTheme="minorHAnsi" w:cstheme="minorBidi"/>
          <w:i/>
          <w:iCs/>
          <w:lang w:eastAsia="en-GB"/>
        </w:rPr>
        <w:t>Health and Technology</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9</w:t>
      </w:r>
      <w:r w:rsidRPr="00D33C9F">
        <w:rPr>
          <w:rFonts w:asciiTheme="minorHAnsi" w:eastAsia="Times New Roman" w:hAnsiTheme="minorHAnsi" w:cstheme="minorBidi"/>
          <w:lang w:eastAsia="en-GB"/>
        </w:rPr>
        <w:t>, 329-342.</w:t>
      </w:r>
    </w:p>
    <w:p w14:paraId="401CE787" w14:textId="0A97E53A" w:rsidR="00656A72" w:rsidRPr="00D33C9F" w:rsidRDefault="00656A72" w:rsidP="00413528">
      <w:pPr>
        <w:spacing w:line="240" w:lineRule="auto"/>
        <w:ind w:hanging="720"/>
        <w:rPr>
          <w:rFonts w:asciiTheme="minorHAnsi" w:eastAsia="Times New Roman" w:hAnsiTheme="minorHAnsi" w:cstheme="minorBidi"/>
          <w:lang w:eastAsia="en-GB"/>
        </w:rPr>
      </w:pPr>
      <w:r w:rsidRPr="00D33C9F">
        <w:rPr>
          <w:rFonts w:asciiTheme="minorHAnsi" w:eastAsia="Times New Roman" w:hAnsiTheme="minorHAnsi" w:cstheme="minorBidi"/>
          <w:highlight w:val="white"/>
          <w:lang w:eastAsia="en-GB"/>
        </w:rPr>
        <w:lastRenderedPageBreak/>
        <w:t xml:space="preserve">Ward, S. A., &amp; Reed, L. J. (1983). </w:t>
      </w:r>
      <w:r w:rsidRPr="00D33C9F">
        <w:rPr>
          <w:rFonts w:asciiTheme="minorHAnsi" w:eastAsia="Times New Roman" w:hAnsiTheme="minorHAnsi" w:cstheme="minorBidi"/>
          <w:i/>
          <w:iCs/>
          <w:highlight w:val="white"/>
          <w:lang w:eastAsia="en-GB"/>
        </w:rPr>
        <w:t>Knowledge structure and use: Implications for</w:t>
      </w:r>
      <w:r w:rsidRPr="00D33C9F">
        <w:rPr>
          <w:rFonts w:asciiTheme="minorHAnsi" w:eastAsia="Times New Roman" w:hAnsiTheme="minorHAnsi" w:cstheme="minorBidi"/>
          <w:i/>
          <w:iCs/>
          <w:lang w:eastAsia="en-GB"/>
        </w:rPr>
        <w:t xml:space="preserve"> </w:t>
      </w:r>
      <w:r w:rsidRPr="00D33C9F">
        <w:rPr>
          <w:rFonts w:asciiTheme="minorHAnsi" w:eastAsia="Times New Roman" w:hAnsiTheme="minorHAnsi" w:cstheme="minorBidi"/>
          <w:i/>
          <w:iCs/>
          <w:highlight w:val="white"/>
          <w:lang w:eastAsia="en-GB"/>
        </w:rPr>
        <w:t>synthesis and interpretation.</w:t>
      </w:r>
      <w:r w:rsidR="006C75A6" w:rsidRPr="00D33C9F">
        <w:rPr>
          <w:rFonts w:asciiTheme="minorHAnsi" w:eastAsia="Times New Roman" w:hAnsiTheme="minorHAnsi" w:cstheme="minorBidi"/>
          <w:i/>
          <w:iCs/>
          <w:highlight w:val="white"/>
          <w:lang w:eastAsia="en-GB"/>
        </w:rPr>
        <w:t xml:space="preserve"> </w:t>
      </w:r>
      <w:r w:rsidR="006C75A6" w:rsidRPr="00D33C9F">
        <w:rPr>
          <w:rFonts w:asciiTheme="minorHAnsi" w:eastAsia="Times New Roman" w:hAnsiTheme="minorHAnsi" w:cstheme="minorBidi"/>
          <w:highlight w:val="white"/>
          <w:lang w:eastAsia="en-GB"/>
        </w:rPr>
        <w:t>Temple</w:t>
      </w:r>
      <w:r w:rsidR="00EE4CDE" w:rsidRPr="00D33C9F">
        <w:rPr>
          <w:rFonts w:asciiTheme="minorHAnsi" w:eastAsia="Times New Roman" w:hAnsiTheme="minorHAnsi" w:cstheme="minorBidi"/>
          <w:highlight w:val="white"/>
          <w:lang w:eastAsia="en-GB"/>
        </w:rPr>
        <w:t xml:space="preserve"> University Press</w:t>
      </w:r>
      <w:r w:rsidR="00EE4CDE" w:rsidRPr="00D33C9F">
        <w:rPr>
          <w:rFonts w:asciiTheme="minorHAnsi" w:eastAsia="Times New Roman" w:hAnsiTheme="minorHAnsi" w:cstheme="minorBidi"/>
          <w:lang w:eastAsia="en-GB"/>
        </w:rPr>
        <w:t xml:space="preserve">. </w:t>
      </w:r>
    </w:p>
    <w:p w14:paraId="10B0A438" w14:textId="003711AD" w:rsidR="00A33F6E" w:rsidRPr="00D33C9F" w:rsidRDefault="00A33F6E"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eastAsia="en-GB"/>
        </w:rPr>
        <w:t>Webster, P. (2020). Virtual health care in the era of COVID-19. </w:t>
      </w:r>
      <w:r w:rsidRPr="00D33C9F">
        <w:rPr>
          <w:rFonts w:asciiTheme="minorHAnsi" w:eastAsia="Times New Roman" w:hAnsiTheme="minorHAnsi" w:cstheme="minorBidi"/>
          <w:i/>
          <w:highlight w:val="white"/>
          <w:lang w:eastAsia="en-GB"/>
        </w:rPr>
        <w:t xml:space="preserve">The </w:t>
      </w:r>
      <w:r w:rsidR="007B46D3" w:rsidRPr="00D33C9F">
        <w:rPr>
          <w:rFonts w:asciiTheme="minorHAnsi" w:eastAsia="Times New Roman" w:hAnsiTheme="minorHAnsi" w:cstheme="minorBidi"/>
          <w:i/>
          <w:highlight w:val="white"/>
          <w:lang w:eastAsia="en-GB"/>
        </w:rPr>
        <w:t>Lancet</w:t>
      </w:r>
      <w:r w:rsidR="007B46D3" w:rsidRPr="00D33C9F">
        <w:rPr>
          <w:rFonts w:asciiTheme="minorHAnsi" w:eastAsia="Times New Roman" w:hAnsiTheme="minorHAnsi" w:cstheme="minorBidi"/>
          <w:highlight w:val="white"/>
          <w:lang w:eastAsia="en-GB"/>
        </w:rPr>
        <w:t>, </w:t>
      </w:r>
      <w:r w:rsidRPr="00D33C9F">
        <w:rPr>
          <w:rFonts w:asciiTheme="minorHAnsi" w:eastAsia="Times New Roman" w:hAnsiTheme="minorHAnsi" w:cstheme="minorBidi"/>
          <w:i/>
          <w:highlight w:val="white"/>
          <w:lang w:eastAsia="en-GB"/>
        </w:rPr>
        <w:t>395</w:t>
      </w:r>
      <w:r w:rsidRPr="00D33C9F">
        <w:rPr>
          <w:rFonts w:asciiTheme="minorHAnsi" w:eastAsia="Times New Roman" w:hAnsiTheme="minorHAnsi" w:cstheme="minorBidi"/>
          <w:highlight w:val="white"/>
          <w:lang w:eastAsia="en-GB"/>
        </w:rPr>
        <w:t>(10231), 1180-1181.</w:t>
      </w:r>
    </w:p>
    <w:p w14:paraId="57ADEA59" w14:textId="654C93C1" w:rsidR="001E24F9" w:rsidRPr="00D33C9F" w:rsidRDefault="001E24F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val="en-US" w:eastAsia="en-GB"/>
        </w:rPr>
        <w:t xml:space="preserve">Wilson, </w:t>
      </w:r>
      <w:r w:rsidR="00C40ACE" w:rsidRPr="00D33C9F">
        <w:rPr>
          <w:rFonts w:asciiTheme="minorHAnsi" w:eastAsia="Times New Roman" w:hAnsiTheme="minorHAnsi" w:cstheme="minorBidi"/>
          <w:highlight w:val="white"/>
          <w:lang w:val="en-US" w:eastAsia="en-GB"/>
        </w:rPr>
        <w:t xml:space="preserve">G., Currie, O., </w:t>
      </w:r>
      <w:r w:rsidR="005A082E" w:rsidRPr="00D33C9F">
        <w:rPr>
          <w:rFonts w:asciiTheme="minorHAnsi" w:eastAsia="Times New Roman" w:hAnsiTheme="minorHAnsi" w:cstheme="minorBidi"/>
          <w:highlight w:val="white"/>
          <w:lang w:val="en-US" w:eastAsia="en-GB"/>
        </w:rPr>
        <w:t>Bidwell, S., Saeed, B., Dowell, A., Halim, A</w:t>
      </w:r>
      <w:r w:rsidR="005A082E" w:rsidRPr="00D33C9F">
        <w:rPr>
          <w:rFonts w:asciiTheme="minorHAnsi" w:eastAsia="Times New Roman" w:hAnsiTheme="minorHAnsi" w:cstheme="minorBidi"/>
          <w:lang w:val="en-US" w:eastAsia="en-GB"/>
        </w:rPr>
        <w:t xml:space="preserve">. A., </w:t>
      </w:r>
      <w:r w:rsidR="005A082E" w:rsidRPr="00D33C9F">
        <w:rPr>
          <w:rFonts w:asciiTheme="minorHAnsi" w:eastAsia="Times New Roman" w:hAnsiTheme="minorHAnsi" w:cstheme="minorBidi"/>
          <w:highlight w:val="white"/>
          <w:lang w:val="en-US" w:eastAsia="en-GB"/>
        </w:rPr>
        <w:t>Toop, L.,</w:t>
      </w:r>
      <w:r w:rsidR="005A082E" w:rsidRPr="00D33C9F">
        <w:rPr>
          <w:rFonts w:asciiTheme="minorHAnsi" w:eastAsia="Times New Roman" w:hAnsiTheme="minorHAnsi" w:cstheme="minorBidi"/>
          <w:lang w:val="en-US" w:eastAsia="en-GB"/>
        </w:rPr>
        <w:t xml:space="preserve"> </w:t>
      </w:r>
      <w:r w:rsidR="005A082E" w:rsidRPr="00D33C9F">
        <w:rPr>
          <w:rFonts w:asciiTheme="minorHAnsi" w:eastAsia="Times New Roman" w:hAnsiTheme="minorHAnsi" w:cstheme="minorBidi"/>
          <w:highlight w:val="white"/>
          <w:lang w:val="en-US" w:eastAsia="en-GB"/>
        </w:rPr>
        <w:t>Richardson, A., Savage, R., &amp; Hudson, B. (</w:t>
      </w:r>
      <w:r w:rsidR="002D5FCA" w:rsidRPr="00D33C9F">
        <w:rPr>
          <w:rFonts w:asciiTheme="minorHAnsi" w:eastAsia="Times New Roman" w:hAnsiTheme="minorHAnsi" w:cstheme="minorBidi"/>
          <w:highlight w:val="white"/>
          <w:lang w:val="en-US" w:eastAsia="en-GB"/>
        </w:rPr>
        <w:t xml:space="preserve">2021). </w:t>
      </w:r>
      <w:r w:rsidR="002D5FCA" w:rsidRPr="00D33C9F">
        <w:rPr>
          <w:rFonts w:asciiTheme="minorHAnsi" w:eastAsia="Times New Roman" w:hAnsiTheme="minorHAnsi" w:cstheme="minorBidi"/>
          <w:highlight w:val="white"/>
          <w:lang w:eastAsia="en-GB"/>
        </w:rPr>
        <w:t>Empty waiting rooms: the New</w:t>
      </w:r>
      <w:r w:rsidR="002D5FCA" w:rsidRPr="00D33C9F">
        <w:rPr>
          <w:rFonts w:asciiTheme="minorHAnsi" w:eastAsia="Times New Roman" w:hAnsiTheme="minorHAnsi" w:cstheme="minorBidi"/>
          <w:lang w:eastAsia="en-GB"/>
        </w:rPr>
        <w:t xml:space="preserve"> </w:t>
      </w:r>
      <w:r w:rsidR="002D5FCA" w:rsidRPr="00D33C9F">
        <w:rPr>
          <w:rFonts w:asciiTheme="minorHAnsi" w:eastAsia="Times New Roman" w:hAnsiTheme="minorHAnsi" w:cstheme="minorBidi"/>
          <w:highlight w:val="white"/>
          <w:lang w:eastAsia="en-GB"/>
        </w:rPr>
        <w:t>Zealand general practice experience with telehealth during the COVID-19</w:t>
      </w:r>
      <w:r w:rsidR="002D5FCA" w:rsidRPr="00D33C9F">
        <w:rPr>
          <w:rFonts w:asciiTheme="minorHAnsi" w:eastAsia="Times New Roman" w:hAnsiTheme="minorHAnsi" w:cstheme="minorBidi"/>
          <w:lang w:eastAsia="en-GB"/>
        </w:rPr>
        <w:t xml:space="preserve"> pandemic. </w:t>
      </w:r>
      <w:r w:rsidR="002D5FCA" w:rsidRPr="00D33C9F">
        <w:rPr>
          <w:rFonts w:asciiTheme="minorHAnsi" w:eastAsia="Times New Roman" w:hAnsiTheme="minorHAnsi" w:cstheme="minorBidi"/>
          <w:i/>
          <w:iCs/>
          <w:lang w:eastAsia="en-GB"/>
        </w:rPr>
        <w:t xml:space="preserve">NZ </w:t>
      </w:r>
      <w:r w:rsidR="002D5FCA" w:rsidRPr="00D33C9F">
        <w:rPr>
          <w:rFonts w:asciiTheme="minorHAnsi" w:eastAsia="Times New Roman" w:hAnsiTheme="minorHAnsi" w:cstheme="minorBidi"/>
          <w:i/>
          <w:iCs/>
          <w:highlight w:val="white"/>
          <w:lang w:eastAsia="en-GB"/>
        </w:rPr>
        <w:t>Med</w:t>
      </w:r>
      <w:r w:rsidR="00AA5DEB" w:rsidRPr="00D33C9F">
        <w:rPr>
          <w:rFonts w:asciiTheme="minorHAnsi" w:eastAsia="Times New Roman" w:hAnsiTheme="minorHAnsi" w:cstheme="minorBidi"/>
          <w:i/>
          <w:iCs/>
          <w:highlight w:val="white"/>
          <w:lang w:eastAsia="en-GB"/>
        </w:rPr>
        <w:t>ical</w:t>
      </w:r>
      <w:r w:rsidR="002D5FCA" w:rsidRPr="00D33C9F">
        <w:rPr>
          <w:rFonts w:asciiTheme="minorHAnsi" w:eastAsia="Times New Roman" w:hAnsiTheme="minorHAnsi" w:cstheme="minorBidi"/>
          <w:i/>
          <w:iCs/>
          <w:highlight w:val="white"/>
          <w:lang w:eastAsia="en-GB"/>
        </w:rPr>
        <w:t xml:space="preserve"> J</w:t>
      </w:r>
      <w:r w:rsidR="00AA5DEB" w:rsidRPr="00D33C9F">
        <w:rPr>
          <w:rFonts w:asciiTheme="minorHAnsi" w:eastAsia="Times New Roman" w:hAnsiTheme="minorHAnsi" w:cstheme="minorBidi"/>
          <w:i/>
          <w:iCs/>
          <w:highlight w:val="white"/>
          <w:lang w:eastAsia="en-GB"/>
        </w:rPr>
        <w:t>ournal</w:t>
      </w:r>
      <w:r w:rsidR="002D5FCA" w:rsidRPr="00D33C9F">
        <w:rPr>
          <w:rFonts w:asciiTheme="minorHAnsi" w:eastAsia="Times New Roman" w:hAnsiTheme="minorHAnsi" w:cstheme="minorBidi"/>
          <w:highlight w:val="white"/>
          <w:lang w:eastAsia="en-GB"/>
        </w:rPr>
        <w:t>, </w:t>
      </w:r>
      <w:r w:rsidR="002D5FCA" w:rsidRPr="00D33C9F">
        <w:rPr>
          <w:rFonts w:asciiTheme="minorHAnsi" w:eastAsia="Times New Roman" w:hAnsiTheme="minorHAnsi" w:cstheme="minorBidi"/>
          <w:i/>
          <w:iCs/>
          <w:highlight w:val="white"/>
          <w:lang w:eastAsia="en-GB"/>
        </w:rPr>
        <w:t>134</w:t>
      </w:r>
      <w:r w:rsidR="002D5FCA" w:rsidRPr="00D33C9F">
        <w:rPr>
          <w:rFonts w:asciiTheme="minorHAnsi" w:eastAsia="Times New Roman" w:hAnsiTheme="minorHAnsi" w:cstheme="minorBidi"/>
          <w:highlight w:val="white"/>
          <w:lang w:eastAsia="en-GB"/>
        </w:rPr>
        <w:t>(1538), 89-101.</w:t>
      </w:r>
    </w:p>
    <w:p w14:paraId="22FF7793" w14:textId="43BB7084" w:rsidR="00251AE1" w:rsidRPr="00D33C9F" w:rsidRDefault="00251AE1" w:rsidP="00413528">
      <w:pPr>
        <w:spacing w:line="240" w:lineRule="auto"/>
        <w:ind w:hanging="720"/>
        <w:rPr>
          <w:rFonts w:asciiTheme="minorHAnsi" w:hAnsiTheme="minorHAnsi" w:cstheme="minorBidi"/>
        </w:rPr>
      </w:pPr>
      <w:r w:rsidRPr="00D33C9F">
        <w:rPr>
          <w:rFonts w:asciiTheme="minorHAnsi" w:eastAsia="Times New Roman" w:hAnsiTheme="minorHAnsi" w:cstheme="minorBidi"/>
          <w:lang w:val="en-US" w:eastAsia="en-GB"/>
        </w:rPr>
        <w:t>World Health Organisation. (</w:t>
      </w:r>
      <w:r w:rsidR="00EB541C" w:rsidRPr="00D33C9F">
        <w:rPr>
          <w:rFonts w:asciiTheme="minorHAnsi" w:eastAsia="Times New Roman" w:hAnsiTheme="minorHAnsi" w:cstheme="minorBidi"/>
          <w:highlight w:val="white"/>
          <w:lang w:val="en-US" w:eastAsia="en-GB"/>
        </w:rPr>
        <w:t>2016</w:t>
      </w:r>
      <w:r w:rsidRPr="00D33C9F">
        <w:rPr>
          <w:rFonts w:asciiTheme="minorHAnsi" w:eastAsia="Times New Roman" w:hAnsiTheme="minorHAnsi" w:cstheme="minorBidi"/>
          <w:highlight w:val="white"/>
          <w:lang w:val="en-US" w:eastAsia="en-GB"/>
        </w:rPr>
        <w:t xml:space="preserve">).  </w:t>
      </w:r>
      <w:r w:rsidR="004E3170" w:rsidRPr="00D33C9F">
        <w:rPr>
          <w:rFonts w:asciiTheme="minorHAnsi" w:eastAsia="Times New Roman" w:hAnsiTheme="minorHAnsi" w:cstheme="minorBidi"/>
          <w:i/>
          <w:iCs/>
          <w:highlight w:val="white"/>
          <w:lang w:val="en-US" w:eastAsia="en-GB"/>
        </w:rPr>
        <w:t>Global diffusion of eHealth: making universal</w:t>
      </w:r>
      <w:r w:rsidR="004E3170" w:rsidRPr="00D33C9F">
        <w:rPr>
          <w:rFonts w:asciiTheme="minorHAnsi" w:eastAsia="Times New Roman" w:hAnsiTheme="minorHAnsi" w:cstheme="minorBidi"/>
          <w:i/>
          <w:iCs/>
          <w:lang w:val="en-US" w:eastAsia="en-GB"/>
        </w:rPr>
        <w:t xml:space="preserve"> </w:t>
      </w:r>
      <w:r w:rsidR="004E3170" w:rsidRPr="00D33C9F">
        <w:rPr>
          <w:rFonts w:asciiTheme="minorHAnsi" w:eastAsia="Times New Roman" w:hAnsiTheme="minorHAnsi" w:cstheme="minorBidi"/>
          <w:i/>
          <w:iCs/>
          <w:highlight w:val="white"/>
          <w:lang w:val="en-US" w:eastAsia="en-GB"/>
        </w:rPr>
        <w:t>health coverage achievable: report of the third global survey on eHealth.</w:t>
      </w:r>
      <w:r w:rsidR="004E3170" w:rsidRPr="00D33C9F">
        <w:rPr>
          <w:rFonts w:asciiTheme="minorHAnsi" w:eastAsia="Times New Roman" w:hAnsiTheme="minorHAnsi" w:cstheme="minorBidi"/>
          <w:i/>
          <w:iCs/>
          <w:lang w:val="en-US" w:eastAsia="en-GB"/>
        </w:rPr>
        <w:t xml:space="preserve"> </w:t>
      </w:r>
      <w:hyperlink r:id="rId25">
        <w:r w:rsidR="007614BB" w:rsidRPr="00D33C9F">
          <w:rPr>
            <w:rStyle w:val="Hyperlink"/>
            <w:rFonts w:asciiTheme="minorHAnsi" w:hAnsiTheme="minorHAnsi" w:cstheme="minorBidi"/>
            <w:color w:val="auto"/>
          </w:rPr>
          <w:t>https://iris.</w:t>
        </w:r>
        <w:r w:rsidR="007614BB" w:rsidRPr="00D33C9F">
          <w:rPr>
            <w:rStyle w:val="Hyperlink"/>
            <w:rFonts w:asciiTheme="minorHAnsi" w:hAnsiTheme="minorHAnsi" w:cstheme="minorBidi"/>
            <w:color w:val="auto"/>
            <w:highlight w:val="white"/>
          </w:rPr>
          <w:t>who.int/bitstream/handle/10665/252529/9789241511780-eng.pdf?sequence=1</w:t>
        </w:r>
      </w:hyperlink>
      <w:r w:rsidR="007614BB" w:rsidRPr="00D33C9F">
        <w:rPr>
          <w:rFonts w:asciiTheme="minorHAnsi" w:hAnsiTheme="minorHAnsi" w:cstheme="minorBidi"/>
        </w:rPr>
        <w:t xml:space="preserve"> </w:t>
      </w:r>
    </w:p>
    <w:p w14:paraId="59AD3445" w14:textId="021B2DA1" w:rsidR="008855E9" w:rsidRPr="00D33C9F" w:rsidRDefault="008855E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lang w:eastAsia="en-GB"/>
        </w:rPr>
        <w:t>Xu-Stettner, J., Thompson, A. N., Fitzgerald, L. J., Licari, T., McMurry, K. A., &amp; Tischer, S. (2023). Comparison of Transplant Pharmacist Treatment Decisions Between Telehealth and Clinic Visits. </w:t>
      </w:r>
      <w:r w:rsidRPr="00D33C9F">
        <w:rPr>
          <w:rFonts w:asciiTheme="minorHAnsi" w:eastAsia="Times New Roman" w:hAnsiTheme="minorHAnsi" w:cstheme="minorBidi"/>
          <w:i/>
          <w:iCs/>
          <w:lang w:eastAsia="en-GB"/>
        </w:rPr>
        <w:t>Progress in Transplantation</w:t>
      </w:r>
      <w:r w:rsidRPr="00D33C9F">
        <w:rPr>
          <w:rFonts w:asciiTheme="minorHAnsi" w:eastAsia="Times New Roman" w:hAnsiTheme="minorHAnsi" w:cstheme="minorBidi"/>
          <w:lang w:eastAsia="en-GB"/>
        </w:rPr>
        <w:t>, </w:t>
      </w:r>
      <w:r w:rsidRPr="00D33C9F">
        <w:rPr>
          <w:rFonts w:asciiTheme="minorHAnsi" w:eastAsia="Times New Roman" w:hAnsiTheme="minorHAnsi" w:cstheme="minorBidi"/>
          <w:i/>
          <w:iCs/>
          <w:lang w:eastAsia="en-GB"/>
        </w:rPr>
        <w:t>33</w:t>
      </w:r>
      <w:r w:rsidRPr="00D33C9F">
        <w:rPr>
          <w:rFonts w:asciiTheme="minorHAnsi" w:eastAsia="Times New Roman" w:hAnsiTheme="minorHAnsi" w:cstheme="minorBidi"/>
          <w:lang w:eastAsia="en-GB"/>
        </w:rPr>
        <w:t>(2), 156-161.</w:t>
      </w:r>
    </w:p>
    <w:p w14:paraId="4BED7B11" w14:textId="534258B9" w:rsidR="00A31269" w:rsidRPr="00D33C9F" w:rsidRDefault="00A31269" w:rsidP="00413528">
      <w:pPr>
        <w:spacing w:line="240" w:lineRule="auto"/>
        <w:ind w:hanging="720"/>
        <w:rPr>
          <w:rFonts w:asciiTheme="minorHAnsi" w:eastAsia="Times New Roman" w:hAnsiTheme="minorHAnsi" w:cstheme="minorBidi"/>
          <w:lang w:val="en-US" w:eastAsia="en-GB"/>
        </w:rPr>
      </w:pPr>
      <w:r w:rsidRPr="00D33C9F">
        <w:rPr>
          <w:rFonts w:asciiTheme="minorHAnsi" w:eastAsia="Times New Roman" w:hAnsiTheme="minorHAnsi" w:cstheme="minorBidi"/>
          <w:highlight w:val="white"/>
          <w:lang w:val="en-US" w:eastAsia="en-GB"/>
        </w:rPr>
        <w:t>Yadav, A., &amp; Singh, P. (2021). Telehealth use by living kidney donor transplant</w:t>
      </w:r>
      <w:r w:rsidRPr="00D33C9F">
        <w:rPr>
          <w:rFonts w:asciiTheme="minorHAnsi" w:eastAsia="Times New Roman" w:hAnsiTheme="minorHAnsi" w:cstheme="minorBidi"/>
          <w:lang w:val="en-US" w:eastAsia="en-GB"/>
        </w:rPr>
        <w:t xml:space="preserve"> </w:t>
      </w:r>
      <w:r w:rsidRPr="00D33C9F">
        <w:rPr>
          <w:rFonts w:asciiTheme="minorHAnsi" w:eastAsia="Times New Roman" w:hAnsiTheme="minorHAnsi" w:cstheme="minorBidi"/>
          <w:highlight w:val="white"/>
          <w:lang w:val="en-US" w:eastAsia="en-GB"/>
        </w:rPr>
        <w:t xml:space="preserve">programs during the COVID-19 pandemic and beyond: a practical approach. </w:t>
      </w:r>
      <w:r w:rsidRPr="00D33C9F">
        <w:rPr>
          <w:rFonts w:asciiTheme="minorHAnsi" w:eastAsia="Times New Roman" w:hAnsiTheme="minorHAnsi" w:cstheme="minorBidi"/>
          <w:i/>
          <w:iCs/>
          <w:highlight w:val="white"/>
          <w:lang w:val="en-US" w:eastAsia="en-GB"/>
        </w:rPr>
        <w:t>Current</w:t>
      </w:r>
      <w:r w:rsidRPr="00D33C9F">
        <w:rPr>
          <w:rFonts w:asciiTheme="minorHAnsi" w:eastAsia="Times New Roman" w:hAnsiTheme="minorHAnsi" w:cstheme="minorBidi"/>
          <w:i/>
          <w:iCs/>
          <w:lang w:val="en-US" w:eastAsia="en-GB"/>
        </w:rPr>
        <w:t xml:space="preserve"> </w:t>
      </w:r>
      <w:r w:rsidR="00571A8E" w:rsidRPr="00D33C9F">
        <w:rPr>
          <w:rFonts w:asciiTheme="minorHAnsi" w:eastAsia="Times New Roman" w:hAnsiTheme="minorHAnsi" w:cstheme="minorBidi"/>
          <w:i/>
          <w:iCs/>
          <w:highlight w:val="white"/>
          <w:lang w:val="en-US" w:eastAsia="en-GB"/>
        </w:rPr>
        <w:t>Transplantation Reports</w:t>
      </w:r>
      <w:r w:rsidRPr="00D33C9F">
        <w:rPr>
          <w:rFonts w:asciiTheme="minorHAnsi" w:eastAsia="Times New Roman" w:hAnsiTheme="minorHAnsi" w:cstheme="minorBidi"/>
          <w:i/>
          <w:iCs/>
          <w:highlight w:val="white"/>
          <w:lang w:val="en-US" w:eastAsia="en-GB"/>
        </w:rPr>
        <w:t xml:space="preserve">, </w:t>
      </w:r>
      <w:r w:rsidR="00CB46D7" w:rsidRPr="00D33C9F">
        <w:rPr>
          <w:rFonts w:asciiTheme="minorHAnsi" w:eastAsia="Times New Roman" w:hAnsiTheme="minorHAnsi" w:cstheme="minorBidi"/>
          <w:i/>
          <w:iCs/>
          <w:highlight w:val="white"/>
          <w:lang w:val="en-US" w:eastAsia="en-GB"/>
        </w:rPr>
        <w:t>8,</w:t>
      </w:r>
      <w:r w:rsidR="00CB46D7" w:rsidRPr="00D33C9F">
        <w:rPr>
          <w:rFonts w:asciiTheme="minorHAnsi" w:eastAsia="Times New Roman" w:hAnsiTheme="minorHAnsi" w:cstheme="minorBidi"/>
          <w:highlight w:val="white"/>
          <w:lang w:val="en-US" w:eastAsia="en-GB"/>
        </w:rPr>
        <w:t xml:space="preserve"> 257-262</w:t>
      </w:r>
      <w:r w:rsidR="00CB46D7" w:rsidRPr="00D33C9F">
        <w:rPr>
          <w:rFonts w:asciiTheme="minorHAnsi" w:eastAsia="Times New Roman" w:hAnsiTheme="minorHAnsi" w:cstheme="minorBidi"/>
          <w:lang w:val="en-US" w:eastAsia="en-GB"/>
        </w:rPr>
        <w:t xml:space="preserve">. </w:t>
      </w:r>
    </w:p>
    <w:p w14:paraId="01A11C00" w14:textId="77777777" w:rsidR="00C124A2" w:rsidRPr="00D33C9F" w:rsidRDefault="00C124A2" w:rsidP="00596A18">
      <w:pPr>
        <w:rPr>
          <w:rFonts w:ascii="Calibri" w:eastAsia="Times New Roman" w:hAnsi="Calibri" w:cs="Calibri"/>
          <w:lang w:eastAsia="en-GB"/>
        </w:rPr>
      </w:pPr>
    </w:p>
    <w:p w14:paraId="6CA49212" w14:textId="77777777" w:rsidR="00C124A2" w:rsidRPr="00D33C9F" w:rsidRDefault="00C124A2" w:rsidP="00596A18">
      <w:pPr>
        <w:rPr>
          <w:rFonts w:ascii="Calibri" w:eastAsia="Times New Roman" w:hAnsi="Calibri" w:cs="Calibri"/>
          <w:lang w:eastAsia="en-GB"/>
        </w:rPr>
      </w:pPr>
    </w:p>
    <w:p w14:paraId="7E20141D" w14:textId="77777777" w:rsidR="00C124A2" w:rsidRPr="00D33C9F" w:rsidRDefault="00C124A2" w:rsidP="00596A18">
      <w:pPr>
        <w:rPr>
          <w:rFonts w:ascii="Calibri" w:eastAsia="Times New Roman" w:hAnsi="Calibri" w:cs="Calibri"/>
          <w:lang w:eastAsia="en-GB"/>
        </w:rPr>
      </w:pPr>
    </w:p>
    <w:p w14:paraId="365F8178" w14:textId="77777777" w:rsidR="00CE2646" w:rsidRDefault="00CE2646" w:rsidP="00596A18">
      <w:pPr>
        <w:rPr>
          <w:rFonts w:ascii="Calibri" w:eastAsia="Times New Roman" w:hAnsi="Calibri" w:cs="Calibri"/>
          <w:color w:val="212121"/>
          <w:lang w:eastAsia="en-GB"/>
        </w:rPr>
      </w:pPr>
    </w:p>
    <w:p w14:paraId="221FDE25" w14:textId="2161DBC5" w:rsidR="00193014" w:rsidRPr="00352A1A" w:rsidRDefault="00193014" w:rsidP="00352A1A">
      <w:pPr>
        <w:sectPr w:rsidR="00193014" w:rsidRPr="00352A1A" w:rsidSect="001124D5">
          <w:pgSz w:w="11906" w:h="16838"/>
          <w:pgMar w:top="1134" w:right="1134" w:bottom="1134" w:left="2268" w:header="709" w:footer="709" w:gutter="0"/>
          <w:cols w:space="708"/>
          <w:titlePg/>
          <w:docGrid w:linePitch="360"/>
        </w:sectPr>
      </w:pPr>
    </w:p>
    <w:p w14:paraId="6F182E3D" w14:textId="602A9591" w:rsidR="00347CD7" w:rsidRPr="00347CD7" w:rsidRDefault="00347CD7" w:rsidP="00347CD7">
      <w:pPr>
        <w:pStyle w:val="Heading2"/>
        <w:rPr>
          <w:rFonts w:eastAsia="Times New Roman"/>
          <w:lang w:eastAsia="en-GB"/>
        </w:rPr>
      </w:pPr>
      <w:bookmarkStart w:id="54" w:name="_Toc166854018"/>
      <w:r w:rsidRPr="00596A18">
        <w:rPr>
          <w:rFonts w:eastAsia="Times New Roman"/>
          <w:lang w:eastAsia="en-GB"/>
        </w:rPr>
        <w:lastRenderedPageBreak/>
        <w:t>Appendix</w:t>
      </w:r>
      <w:bookmarkEnd w:id="54"/>
      <w:r w:rsidRPr="00596A18">
        <w:rPr>
          <w:rFonts w:eastAsia="Times New Roman"/>
          <w:lang w:eastAsia="en-GB"/>
        </w:rPr>
        <w:t> </w:t>
      </w:r>
    </w:p>
    <w:p w14:paraId="291FE6A4" w14:textId="0DC2392D" w:rsidR="00EF1485" w:rsidRDefault="00EF1485" w:rsidP="00EF1485">
      <w:pPr>
        <w:pStyle w:val="Caption"/>
        <w:keepNext/>
      </w:pPr>
      <w:r>
        <w:t xml:space="preserve">Appendix a Systematic literature review Selected </w:t>
      </w:r>
      <w:r w:rsidR="00493977">
        <w:t>studies</w:t>
      </w:r>
    </w:p>
    <w:tbl>
      <w:tblPr>
        <w:tblStyle w:val="GridTable4-Accent2"/>
        <w:tblW w:w="15168" w:type="dxa"/>
        <w:tblInd w:w="-5" w:type="dxa"/>
        <w:tblLayout w:type="fixed"/>
        <w:tblLook w:val="04A0" w:firstRow="1" w:lastRow="0" w:firstColumn="1" w:lastColumn="0" w:noHBand="0" w:noVBand="1"/>
      </w:tblPr>
      <w:tblGrid>
        <w:gridCol w:w="567"/>
        <w:gridCol w:w="993"/>
        <w:gridCol w:w="1984"/>
        <w:gridCol w:w="1418"/>
        <w:gridCol w:w="1134"/>
        <w:gridCol w:w="1275"/>
        <w:gridCol w:w="1276"/>
        <w:gridCol w:w="1134"/>
        <w:gridCol w:w="992"/>
        <w:gridCol w:w="4395"/>
      </w:tblGrid>
      <w:tr w:rsidR="00800415" w:rsidRPr="00AC5EC7" w14:paraId="6E988F31" w14:textId="77777777" w:rsidTr="26F64964">
        <w:trPr>
          <w:cnfStyle w:val="100000000000" w:firstRow="1" w:lastRow="0" w:firstColumn="0" w:lastColumn="0" w:oddVBand="0" w:evenVBand="0" w:oddHBand="0"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36060376"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No #</w:t>
            </w:r>
          </w:p>
        </w:tc>
        <w:tc>
          <w:tcPr>
            <w:tcW w:w="993" w:type="dxa"/>
            <w:hideMark/>
          </w:tcPr>
          <w:p w14:paraId="1FBFA374"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Author(s)/year</w:t>
            </w:r>
          </w:p>
        </w:tc>
        <w:tc>
          <w:tcPr>
            <w:tcW w:w="1984" w:type="dxa"/>
            <w:hideMark/>
          </w:tcPr>
          <w:p w14:paraId="15EE6DF6"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Objective of Study</w:t>
            </w:r>
          </w:p>
        </w:tc>
        <w:tc>
          <w:tcPr>
            <w:tcW w:w="1418" w:type="dxa"/>
            <w:hideMark/>
          </w:tcPr>
          <w:p w14:paraId="76FD4184"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Study Design/Methodology</w:t>
            </w:r>
          </w:p>
        </w:tc>
        <w:tc>
          <w:tcPr>
            <w:tcW w:w="1134" w:type="dxa"/>
            <w:hideMark/>
          </w:tcPr>
          <w:p w14:paraId="6CC76C45"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Type of Transplant</w:t>
            </w:r>
          </w:p>
        </w:tc>
        <w:tc>
          <w:tcPr>
            <w:tcW w:w="1275" w:type="dxa"/>
            <w:hideMark/>
          </w:tcPr>
          <w:p w14:paraId="399194EB"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Health Technology</w:t>
            </w:r>
          </w:p>
        </w:tc>
        <w:tc>
          <w:tcPr>
            <w:tcW w:w="1276" w:type="dxa"/>
            <w:hideMark/>
          </w:tcPr>
          <w:p w14:paraId="210ACCF8"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Participants</w:t>
            </w:r>
          </w:p>
        </w:tc>
        <w:tc>
          <w:tcPr>
            <w:tcW w:w="1134" w:type="dxa"/>
            <w:hideMark/>
          </w:tcPr>
          <w:p w14:paraId="36661884"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Number of Participants</w:t>
            </w:r>
          </w:p>
        </w:tc>
        <w:tc>
          <w:tcPr>
            <w:tcW w:w="992" w:type="dxa"/>
            <w:hideMark/>
          </w:tcPr>
          <w:p w14:paraId="05C7524E"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Country</w:t>
            </w:r>
          </w:p>
        </w:tc>
        <w:tc>
          <w:tcPr>
            <w:tcW w:w="4395" w:type="dxa"/>
            <w:hideMark/>
          </w:tcPr>
          <w:p w14:paraId="4AAD1F5A" w14:textId="77777777" w:rsidR="00ED3A7E" w:rsidRPr="00AC5EC7" w:rsidRDefault="00ED3A7E" w:rsidP="00ED3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Main Findings</w:t>
            </w:r>
          </w:p>
        </w:tc>
      </w:tr>
      <w:tr w:rsidR="00800415" w:rsidRPr="00AC5EC7" w14:paraId="25842F2B" w14:textId="77777777" w:rsidTr="005520CA">
        <w:trPr>
          <w:cnfStyle w:val="000000100000" w:firstRow="0" w:lastRow="0" w:firstColumn="0" w:lastColumn="0" w:oddVBand="0" w:evenVBand="0" w:oddHBand="1" w:evenHBand="0" w:firstRowFirstColumn="0" w:firstRowLastColumn="0" w:lastRowFirstColumn="0" w:lastRowLastColumn="0"/>
          <w:trHeight w:val="1946"/>
        </w:trPr>
        <w:tc>
          <w:tcPr>
            <w:cnfStyle w:val="001000000000" w:firstRow="0" w:lastRow="0" w:firstColumn="1" w:lastColumn="0" w:oddVBand="0" w:evenVBand="0" w:oddHBand="0" w:evenHBand="0" w:firstRowFirstColumn="0" w:firstRowLastColumn="0" w:lastRowFirstColumn="0" w:lastRowLastColumn="0"/>
            <w:tcW w:w="567" w:type="dxa"/>
            <w:noWrap/>
            <w:hideMark/>
          </w:tcPr>
          <w:p w14:paraId="6DBA4049"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w:t>
            </w:r>
          </w:p>
        </w:tc>
        <w:tc>
          <w:tcPr>
            <w:tcW w:w="993" w:type="dxa"/>
            <w:hideMark/>
          </w:tcPr>
          <w:p w14:paraId="1D412988" w14:textId="77777777" w:rsidR="00ED3A7E" w:rsidRPr="00AC5EC7" w:rsidRDefault="00ED3A7E"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Adib et al., 2022</w:t>
            </w:r>
          </w:p>
        </w:tc>
        <w:tc>
          <w:tcPr>
            <w:tcW w:w="1984" w:type="dxa"/>
            <w:hideMark/>
          </w:tcPr>
          <w:p w14:paraId="67E3075E" w14:textId="16B61CCB" w:rsidR="00ED3A7E" w:rsidRPr="00AC5EC7" w:rsidRDefault="00AC5EC7"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Creat</w:t>
            </w:r>
            <w:r>
              <w:rPr>
                <w:rFonts w:asciiTheme="minorHAnsi" w:hAnsiTheme="minorHAnsi" w:cstheme="minorBidi"/>
                <w:sz w:val="18"/>
                <w:szCs w:val="18"/>
              </w:rPr>
              <w:t>e</w:t>
            </w:r>
            <w:r w:rsidRPr="00AC5EC7">
              <w:rPr>
                <w:rFonts w:asciiTheme="minorHAnsi" w:hAnsiTheme="minorHAnsi" w:cstheme="minorBidi"/>
                <w:sz w:val="18"/>
                <w:szCs w:val="18"/>
              </w:rPr>
              <w:t xml:space="preserve"> a smartphone-driven app framework aimed at offering connected health management solutions and assist</w:t>
            </w:r>
            <w:r w:rsidR="00355716">
              <w:rPr>
                <w:rFonts w:asciiTheme="minorHAnsi" w:hAnsiTheme="minorHAnsi" w:cstheme="minorBidi"/>
                <w:sz w:val="18"/>
                <w:szCs w:val="18"/>
              </w:rPr>
              <w:t>ing</w:t>
            </w:r>
            <w:r w:rsidR="00C44A6B">
              <w:rPr>
                <w:rFonts w:asciiTheme="minorHAnsi" w:hAnsiTheme="minorHAnsi" w:cstheme="minorBidi"/>
                <w:sz w:val="18"/>
                <w:szCs w:val="18"/>
              </w:rPr>
              <w:t xml:space="preserve"> f</w:t>
            </w:r>
            <w:r w:rsidRPr="00AC5EC7">
              <w:rPr>
                <w:rFonts w:asciiTheme="minorHAnsi" w:hAnsiTheme="minorHAnsi" w:cstheme="minorBidi"/>
                <w:sz w:val="18"/>
                <w:szCs w:val="18"/>
              </w:rPr>
              <w:t xml:space="preserve">amily members of </w:t>
            </w:r>
            <w:r w:rsidR="001A3549" w:rsidRPr="00AC5EC7">
              <w:rPr>
                <w:rFonts w:asciiTheme="minorHAnsi" w:hAnsiTheme="minorHAnsi" w:cstheme="minorBidi"/>
                <w:sz w:val="18"/>
                <w:szCs w:val="18"/>
              </w:rPr>
              <w:t>paediatric</w:t>
            </w:r>
            <w:r w:rsidRPr="00AC5EC7">
              <w:rPr>
                <w:rFonts w:asciiTheme="minorHAnsi" w:hAnsiTheme="minorHAnsi" w:cstheme="minorBidi"/>
                <w:sz w:val="18"/>
                <w:szCs w:val="18"/>
              </w:rPr>
              <w:t xml:space="preserve"> transplant recipients.</w:t>
            </w:r>
          </w:p>
        </w:tc>
        <w:tc>
          <w:tcPr>
            <w:tcW w:w="1418" w:type="dxa"/>
            <w:hideMark/>
          </w:tcPr>
          <w:p w14:paraId="0B9E8D80"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 - action research methodology</w:t>
            </w:r>
          </w:p>
        </w:tc>
        <w:tc>
          <w:tcPr>
            <w:tcW w:w="1134" w:type="dxa"/>
            <w:hideMark/>
          </w:tcPr>
          <w:p w14:paraId="5CA70DA3" w14:textId="637B5569" w:rsidR="00ED3A7E" w:rsidRPr="00AC5EC7" w:rsidRDefault="001A3549"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Paediatric</w:t>
            </w:r>
            <w:r w:rsidR="00ED3A7E" w:rsidRPr="00AC5EC7">
              <w:rPr>
                <w:rFonts w:asciiTheme="minorHAnsi" w:hAnsiTheme="minorHAnsi" w:cstheme="minorHAnsi"/>
                <w:sz w:val="18"/>
                <w:szCs w:val="18"/>
              </w:rPr>
              <w:t xml:space="preserve"> - organ</w:t>
            </w:r>
          </w:p>
        </w:tc>
        <w:tc>
          <w:tcPr>
            <w:tcW w:w="1275" w:type="dxa"/>
            <w:hideMark/>
          </w:tcPr>
          <w:p w14:paraId="0FC31184"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4983ACA0" w14:textId="0D8889CB"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Family members of </w:t>
            </w:r>
            <w:r w:rsidR="006B490A" w:rsidRPr="00AC5EC7">
              <w:rPr>
                <w:rFonts w:asciiTheme="minorHAnsi" w:hAnsiTheme="minorHAnsi" w:cstheme="minorHAnsi"/>
                <w:sz w:val="18"/>
                <w:szCs w:val="18"/>
              </w:rPr>
              <w:t>patients</w:t>
            </w:r>
          </w:p>
        </w:tc>
        <w:tc>
          <w:tcPr>
            <w:tcW w:w="1134" w:type="dxa"/>
            <w:hideMark/>
          </w:tcPr>
          <w:p w14:paraId="5B824E64"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w:t>
            </w:r>
          </w:p>
        </w:tc>
        <w:tc>
          <w:tcPr>
            <w:tcW w:w="992" w:type="dxa"/>
            <w:hideMark/>
          </w:tcPr>
          <w:p w14:paraId="31062B1F"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54B1011A" w14:textId="5DEA523E" w:rsidR="00ED3A7E" w:rsidRPr="00AC5EC7" w:rsidRDefault="002D43B4"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Outlines a successful mHealth app development process by combining theory-based nursing interventions with AR methodology in computer science. Emphasizing efficiency-enhancing factors facilitated seamless app navigation and data collection.</w:t>
            </w:r>
            <w:r w:rsidR="00D40AC5" w:rsidRPr="00AC5EC7">
              <w:rPr>
                <w:rFonts w:asciiTheme="minorHAnsi" w:hAnsiTheme="minorHAnsi" w:cstheme="minorBidi"/>
                <w:sz w:val="18"/>
                <w:szCs w:val="18"/>
              </w:rPr>
              <w:t xml:space="preserve"> Enables the evaluation of acceptability, usefulness, and usability for similar future studies.</w:t>
            </w:r>
          </w:p>
        </w:tc>
      </w:tr>
      <w:tr w:rsidR="00800415" w:rsidRPr="00AC5EC7" w14:paraId="110B3ABF" w14:textId="77777777" w:rsidTr="26F64964">
        <w:trPr>
          <w:trHeight w:val="1401"/>
        </w:trPr>
        <w:tc>
          <w:tcPr>
            <w:cnfStyle w:val="001000000000" w:firstRow="0" w:lastRow="0" w:firstColumn="1" w:lastColumn="0" w:oddVBand="0" w:evenVBand="0" w:oddHBand="0" w:evenHBand="0" w:firstRowFirstColumn="0" w:firstRowLastColumn="0" w:lastRowFirstColumn="0" w:lastRowLastColumn="0"/>
            <w:tcW w:w="567" w:type="dxa"/>
            <w:noWrap/>
            <w:hideMark/>
          </w:tcPr>
          <w:p w14:paraId="5B124D9A"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2</w:t>
            </w:r>
          </w:p>
        </w:tc>
        <w:tc>
          <w:tcPr>
            <w:tcW w:w="993" w:type="dxa"/>
            <w:hideMark/>
          </w:tcPr>
          <w:p w14:paraId="6837E3A3" w14:textId="77777777" w:rsidR="00ED3A7E" w:rsidRPr="00AC5EC7" w:rsidRDefault="00ED3A7E"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Anton et al., 2021</w:t>
            </w:r>
          </w:p>
        </w:tc>
        <w:tc>
          <w:tcPr>
            <w:tcW w:w="1984" w:type="dxa"/>
            <w:hideMark/>
          </w:tcPr>
          <w:p w14:paraId="4324C420" w14:textId="4A1AF2C2" w:rsidR="00ED3A7E" w:rsidRPr="00AC5EC7" w:rsidRDefault="00417436"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417436">
              <w:rPr>
                <w:rFonts w:asciiTheme="minorHAnsi" w:hAnsiTheme="minorHAnsi" w:cstheme="minorBidi"/>
                <w:sz w:val="18"/>
                <w:szCs w:val="18"/>
              </w:rPr>
              <w:t xml:space="preserve">Assess the viability of employing electronic mental health screenings in </w:t>
            </w:r>
            <w:r w:rsidR="001A3549" w:rsidRPr="00417436">
              <w:rPr>
                <w:rFonts w:asciiTheme="minorHAnsi" w:hAnsiTheme="minorHAnsi" w:cstheme="minorBidi"/>
                <w:sz w:val="18"/>
                <w:szCs w:val="18"/>
              </w:rPr>
              <w:t>paediatric</w:t>
            </w:r>
            <w:r w:rsidRPr="00417436">
              <w:rPr>
                <w:rFonts w:asciiTheme="minorHAnsi" w:hAnsiTheme="minorHAnsi" w:cstheme="minorBidi"/>
                <w:sz w:val="18"/>
                <w:szCs w:val="18"/>
              </w:rPr>
              <w:t xml:space="preserve"> heart failure and transplant clinics</w:t>
            </w:r>
            <w:r w:rsidR="00355716">
              <w:rPr>
                <w:rFonts w:asciiTheme="minorHAnsi" w:hAnsiTheme="minorHAnsi" w:cstheme="minorBidi"/>
                <w:sz w:val="18"/>
                <w:szCs w:val="18"/>
              </w:rPr>
              <w:t>.</w:t>
            </w:r>
          </w:p>
        </w:tc>
        <w:tc>
          <w:tcPr>
            <w:tcW w:w="1418" w:type="dxa"/>
            <w:hideMark/>
          </w:tcPr>
          <w:p w14:paraId="7484C648"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Surveys</w:t>
            </w:r>
          </w:p>
        </w:tc>
        <w:tc>
          <w:tcPr>
            <w:tcW w:w="1134" w:type="dxa"/>
            <w:hideMark/>
          </w:tcPr>
          <w:p w14:paraId="24B79D03"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w:t>
            </w:r>
          </w:p>
        </w:tc>
        <w:tc>
          <w:tcPr>
            <w:tcW w:w="1275" w:type="dxa"/>
            <w:hideMark/>
          </w:tcPr>
          <w:p w14:paraId="330F424C"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(Electronic Mental Health Screening)</w:t>
            </w:r>
          </w:p>
        </w:tc>
        <w:tc>
          <w:tcPr>
            <w:tcW w:w="1276" w:type="dxa"/>
            <w:hideMark/>
          </w:tcPr>
          <w:p w14:paraId="6B6F3F04"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5D15B64"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119</w:t>
            </w:r>
          </w:p>
        </w:tc>
        <w:tc>
          <w:tcPr>
            <w:tcW w:w="992" w:type="dxa"/>
            <w:hideMark/>
          </w:tcPr>
          <w:p w14:paraId="6BABC432"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3792AD32" w14:textId="1208DC70" w:rsidR="00ED3A7E" w:rsidRPr="00AC5EC7" w:rsidRDefault="00534408"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534408">
              <w:rPr>
                <w:rFonts w:asciiTheme="minorHAnsi" w:hAnsiTheme="minorHAnsi" w:cstheme="minorBidi"/>
                <w:sz w:val="18"/>
                <w:szCs w:val="18"/>
              </w:rPr>
              <w:t>Findings indicate the viability of electronic mental health screening during cardiology clinic visits, offering valuable mental health insights.</w:t>
            </w:r>
          </w:p>
        </w:tc>
      </w:tr>
      <w:tr w:rsidR="00800415" w:rsidRPr="00AC5EC7" w14:paraId="54B114E9" w14:textId="77777777" w:rsidTr="26F64964">
        <w:trPr>
          <w:cnfStyle w:val="000000100000" w:firstRow="0" w:lastRow="0" w:firstColumn="0" w:lastColumn="0" w:oddVBand="0" w:evenVBand="0" w:oddHBand="1" w:evenHBand="0" w:firstRowFirstColumn="0" w:firstRowLastColumn="0" w:lastRowFirstColumn="0" w:lastRowLastColumn="0"/>
          <w:trHeight w:val="25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0E3AD46" w14:textId="77777777" w:rsidR="00ED3A7E" w:rsidRDefault="00ED3A7E" w:rsidP="00ED3A7E">
            <w:pPr>
              <w:rPr>
                <w:rFonts w:asciiTheme="minorHAnsi" w:hAnsiTheme="minorHAnsi" w:cstheme="minorHAnsi"/>
                <w:b w:val="0"/>
                <w:bCs w:val="0"/>
                <w:sz w:val="18"/>
                <w:szCs w:val="18"/>
              </w:rPr>
            </w:pPr>
            <w:r w:rsidRPr="00AC5EC7">
              <w:rPr>
                <w:rFonts w:asciiTheme="minorHAnsi" w:hAnsiTheme="minorHAnsi" w:cstheme="minorHAnsi"/>
                <w:sz w:val="18"/>
                <w:szCs w:val="18"/>
              </w:rPr>
              <w:t>3</w:t>
            </w:r>
          </w:p>
          <w:p w14:paraId="5109B183" w14:textId="77777777" w:rsidR="001F1E50" w:rsidRPr="001F1E50" w:rsidRDefault="001F1E50" w:rsidP="001F1E50">
            <w:pPr>
              <w:rPr>
                <w:rFonts w:asciiTheme="minorHAnsi" w:hAnsiTheme="minorHAnsi" w:cstheme="minorHAnsi"/>
                <w:sz w:val="18"/>
                <w:szCs w:val="18"/>
              </w:rPr>
            </w:pPr>
          </w:p>
          <w:p w14:paraId="204C8BF0" w14:textId="77777777" w:rsidR="001F1E50" w:rsidRPr="001F1E50" w:rsidRDefault="001F1E50" w:rsidP="001F1E50">
            <w:pPr>
              <w:rPr>
                <w:rFonts w:asciiTheme="minorHAnsi" w:hAnsiTheme="minorHAnsi" w:cstheme="minorHAnsi"/>
                <w:sz w:val="18"/>
                <w:szCs w:val="18"/>
              </w:rPr>
            </w:pPr>
          </w:p>
          <w:p w14:paraId="486674D4" w14:textId="77777777" w:rsidR="001F1E50" w:rsidRPr="001F1E50" w:rsidRDefault="001F1E50" w:rsidP="001F1E50">
            <w:pPr>
              <w:rPr>
                <w:rFonts w:asciiTheme="minorHAnsi" w:hAnsiTheme="minorHAnsi" w:cstheme="minorHAnsi"/>
                <w:sz w:val="18"/>
                <w:szCs w:val="18"/>
              </w:rPr>
            </w:pPr>
          </w:p>
          <w:p w14:paraId="1FDB3507" w14:textId="77777777" w:rsidR="001F1E50" w:rsidRDefault="001F1E50" w:rsidP="001F1E50">
            <w:pPr>
              <w:rPr>
                <w:rFonts w:asciiTheme="minorHAnsi" w:hAnsiTheme="minorHAnsi" w:cstheme="minorHAnsi"/>
                <w:b w:val="0"/>
                <w:bCs w:val="0"/>
                <w:sz w:val="18"/>
                <w:szCs w:val="18"/>
              </w:rPr>
            </w:pPr>
          </w:p>
          <w:p w14:paraId="621F7C91" w14:textId="77777777" w:rsidR="001F1E50" w:rsidRPr="001F1E50" w:rsidRDefault="001F1E50" w:rsidP="001F1E50">
            <w:pPr>
              <w:rPr>
                <w:rFonts w:asciiTheme="minorHAnsi" w:hAnsiTheme="minorHAnsi" w:cstheme="minorHAnsi"/>
                <w:sz w:val="18"/>
                <w:szCs w:val="18"/>
              </w:rPr>
            </w:pPr>
          </w:p>
          <w:p w14:paraId="68EF16F7" w14:textId="77777777" w:rsidR="001F1E50" w:rsidRPr="001F1E50" w:rsidRDefault="001F1E50" w:rsidP="001F1E50">
            <w:pPr>
              <w:rPr>
                <w:rFonts w:asciiTheme="minorHAnsi" w:hAnsiTheme="minorHAnsi" w:cstheme="minorHAnsi"/>
                <w:sz w:val="18"/>
                <w:szCs w:val="18"/>
              </w:rPr>
            </w:pPr>
          </w:p>
          <w:p w14:paraId="1C711BA1" w14:textId="77777777" w:rsidR="001F1E50" w:rsidRDefault="001F1E50" w:rsidP="001F1E50">
            <w:pPr>
              <w:rPr>
                <w:rFonts w:asciiTheme="minorHAnsi" w:hAnsiTheme="minorHAnsi" w:cstheme="minorHAnsi"/>
                <w:b w:val="0"/>
                <w:bCs w:val="0"/>
                <w:sz w:val="18"/>
                <w:szCs w:val="18"/>
              </w:rPr>
            </w:pPr>
          </w:p>
          <w:p w14:paraId="76D97438" w14:textId="2EBDFD80" w:rsidR="001F1E50" w:rsidRPr="001F1E50" w:rsidRDefault="001F1E50" w:rsidP="001F1E50">
            <w:pPr>
              <w:rPr>
                <w:rFonts w:asciiTheme="minorHAnsi" w:hAnsiTheme="minorHAnsi" w:cstheme="minorHAnsi"/>
                <w:sz w:val="18"/>
                <w:szCs w:val="18"/>
              </w:rPr>
            </w:pPr>
          </w:p>
        </w:tc>
        <w:tc>
          <w:tcPr>
            <w:tcW w:w="993" w:type="dxa"/>
            <w:hideMark/>
          </w:tcPr>
          <w:p w14:paraId="48892BD0" w14:textId="77777777" w:rsidR="00ED3A7E" w:rsidRDefault="00ED3A7E"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Bangerter et al., 2022</w:t>
            </w:r>
          </w:p>
          <w:p w14:paraId="51ED8235" w14:textId="77777777" w:rsidR="001F1E50" w:rsidRPr="001F1E50" w:rsidRDefault="001F1E50" w:rsidP="001F1E5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33F5A738" w14:textId="77777777" w:rsidR="001F1E50" w:rsidRPr="001F1E50" w:rsidRDefault="001F1E50" w:rsidP="001F1E5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0F4C8973" w14:textId="49B2DC6F" w:rsidR="001F1E50" w:rsidRPr="001F1E50" w:rsidRDefault="001F1E50" w:rsidP="001F1E5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tc>
        <w:tc>
          <w:tcPr>
            <w:tcW w:w="1984" w:type="dxa"/>
            <w:hideMark/>
          </w:tcPr>
          <w:p w14:paraId="787BF224" w14:textId="5453116A" w:rsidR="00ED3A7E" w:rsidRDefault="006F2463"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6F2463">
              <w:rPr>
                <w:rFonts w:asciiTheme="minorHAnsi" w:hAnsiTheme="minorHAnsi" w:cstheme="minorBidi"/>
                <w:sz w:val="18"/>
                <w:szCs w:val="18"/>
              </w:rPr>
              <w:t>Utilize human-</w:t>
            </w:r>
            <w:r w:rsidR="001A3549" w:rsidRPr="006F2463">
              <w:rPr>
                <w:rFonts w:asciiTheme="minorHAnsi" w:hAnsiTheme="minorHAnsi" w:cstheme="minorBidi"/>
                <w:sz w:val="18"/>
                <w:szCs w:val="18"/>
              </w:rPr>
              <w:t>centred</w:t>
            </w:r>
            <w:r w:rsidRPr="006F2463">
              <w:rPr>
                <w:rFonts w:asciiTheme="minorHAnsi" w:hAnsiTheme="minorHAnsi" w:cstheme="minorBidi"/>
                <w:sz w:val="18"/>
                <w:szCs w:val="18"/>
              </w:rPr>
              <w:t xml:space="preserve"> design to create a high-fidelity prototype of a HIT-enabled psychoeducational tool for HSCT caregivers.</w:t>
            </w:r>
          </w:p>
          <w:p w14:paraId="1F006B64" w14:textId="77777777" w:rsid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0641B30F" w14:textId="73BD0B46"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tc>
        <w:tc>
          <w:tcPr>
            <w:tcW w:w="1418" w:type="dxa"/>
            <w:hideMark/>
          </w:tcPr>
          <w:p w14:paraId="79770342" w14:textId="77777777" w:rsidR="00ED3A7E"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Mixed methods - Literature Review, Visualisation, design evaluation</w:t>
            </w:r>
          </w:p>
          <w:p w14:paraId="581E8E07" w14:textId="77777777" w:rsid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217EF55B"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1134" w:type="dxa"/>
            <w:hideMark/>
          </w:tcPr>
          <w:p w14:paraId="1E9772A9"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hematopoietic stem cell transplant </w:t>
            </w:r>
          </w:p>
        </w:tc>
        <w:tc>
          <w:tcPr>
            <w:tcW w:w="1275" w:type="dxa"/>
            <w:hideMark/>
          </w:tcPr>
          <w:p w14:paraId="0FBE24CF" w14:textId="77777777" w:rsidR="00ED3A7E"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Others (Health Information Technology)</w:t>
            </w:r>
          </w:p>
          <w:p w14:paraId="1078F78C"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2BDE7DA7" w14:textId="77777777" w:rsid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331685A0"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1276" w:type="dxa"/>
            <w:hideMark/>
          </w:tcPr>
          <w:p w14:paraId="230466C4" w14:textId="77777777" w:rsidR="00ED3A7E"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Caregivers</w:t>
            </w:r>
          </w:p>
          <w:p w14:paraId="111566DB"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0B795D11"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334A3157"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62ED3662" w14:textId="77777777" w:rsid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021128DD"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1134" w:type="dxa"/>
            <w:hideMark/>
          </w:tcPr>
          <w:p w14:paraId="047EB80F" w14:textId="77777777" w:rsidR="00ED3A7E"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63</w:t>
            </w:r>
          </w:p>
          <w:p w14:paraId="040081DC"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06D3EA6B"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1D667BB7"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72CC45D8" w14:textId="77777777" w:rsid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1F3FD565"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675962AD"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992" w:type="dxa"/>
            <w:hideMark/>
          </w:tcPr>
          <w:p w14:paraId="6855078D" w14:textId="77777777" w:rsidR="00ED3A7E"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US </w:t>
            </w:r>
          </w:p>
          <w:p w14:paraId="6E658526"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13EDACAF"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30329252"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4684D2DD"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68B6B97E" w14:textId="77777777" w:rsid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552B12A6" w14:textId="77777777"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14:paraId="6B2B701F" w14:textId="168FB19C" w:rsidR="006D49DF" w:rsidRPr="006D49DF" w:rsidRDefault="006D49DF" w:rsidP="006D49D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4395" w:type="dxa"/>
            <w:hideMark/>
          </w:tcPr>
          <w:p w14:paraId="2A93C2C9" w14:textId="739EC5D1" w:rsidR="00ED3A7E" w:rsidRDefault="00BD6032"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BD6032">
              <w:rPr>
                <w:rFonts w:asciiTheme="minorHAnsi" w:hAnsiTheme="minorHAnsi" w:cstheme="minorBidi"/>
                <w:sz w:val="18"/>
                <w:szCs w:val="18"/>
              </w:rPr>
              <w:t>This study combines healthcare delivery research and human-</w:t>
            </w:r>
            <w:r w:rsidR="006B490A" w:rsidRPr="00BD6032">
              <w:rPr>
                <w:rFonts w:asciiTheme="minorHAnsi" w:hAnsiTheme="minorHAnsi" w:cstheme="minorBidi"/>
                <w:sz w:val="18"/>
                <w:szCs w:val="18"/>
              </w:rPr>
              <w:t>centred</w:t>
            </w:r>
            <w:r w:rsidRPr="00BD6032">
              <w:rPr>
                <w:rFonts w:asciiTheme="minorHAnsi" w:hAnsiTheme="minorHAnsi" w:cstheme="minorBidi"/>
                <w:sz w:val="18"/>
                <w:szCs w:val="18"/>
              </w:rPr>
              <w:t xml:space="preserve"> design to create tech-supported aid for HSCT caregivers. It presents a design approach for a HIT-enabled psychoeducational prototype, aiding the development of future eHealth innovations for HSCT optimization.</w:t>
            </w:r>
          </w:p>
          <w:p w14:paraId="7C794DF8" w14:textId="72E7CD8D" w:rsidR="001F1E50" w:rsidRPr="001F1E50" w:rsidRDefault="001F1E50" w:rsidP="001F1E50">
            <w:pPr>
              <w:tabs>
                <w:tab w:val="left" w:pos="1156"/>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tc>
      </w:tr>
      <w:tr w:rsidR="00800415" w:rsidRPr="00AC5EC7" w14:paraId="245D2D6D" w14:textId="77777777" w:rsidTr="26F64964">
        <w:trPr>
          <w:trHeight w:val="19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287C0530"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lastRenderedPageBreak/>
              <w:t>4</w:t>
            </w:r>
          </w:p>
        </w:tc>
        <w:tc>
          <w:tcPr>
            <w:tcW w:w="993" w:type="dxa"/>
            <w:hideMark/>
          </w:tcPr>
          <w:p w14:paraId="38DFD469" w14:textId="77777777" w:rsidR="00ED3A7E" w:rsidRPr="00AC5EC7" w:rsidRDefault="00ED3A7E"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Barnett et al., 2021</w:t>
            </w:r>
          </w:p>
        </w:tc>
        <w:tc>
          <w:tcPr>
            <w:tcW w:w="1984" w:type="dxa"/>
            <w:hideMark/>
          </w:tcPr>
          <w:p w14:paraId="7DE48F0A" w14:textId="418F1C6F" w:rsidR="00ED3A7E" w:rsidRPr="00AC5EC7" w:rsidRDefault="008633D6"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8633D6">
              <w:rPr>
                <w:rFonts w:asciiTheme="minorHAnsi" w:hAnsiTheme="minorHAnsi" w:cstheme="minorBidi"/>
                <w:sz w:val="18"/>
                <w:szCs w:val="18"/>
              </w:rPr>
              <w:t>Investigate liver transplant recipients' experiences with a 12-week telehealth lifestyle program and evaluate the feasibility of this innovative service.</w:t>
            </w:r>
          </w:p>
        </w:tc>
        <w:tc>
          <w:tcPr>
            <w:tcW w:w="1418" w:type="dxa"/>
            <w:hideMark/>
          </w:tcPr>
          <w:p w14:paraId="44507D1A"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5EDC1BB2"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3D1F5FEB"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77AF958E"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6096AF7"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19</w:t>
            </w:r>
          </w:p>
        </w:tc>
        <w:tc>
          <w:tcPr>
            <w:tcW w:w="992" w:type="dxa"/>
            <w:hideMark/>
          </w:tcPr>
          <w:p w14:paraId="52593B4E"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Australia</w:t>
            </w:r>
          </w:p>
        </w:tc>
        <w:tc>
          <w:tcPr>
            <w:tcW w:w="4395" w:type="dxa"/>
            <w:hideMark/>
          </w:tcPr>
          <w:p w14:paraId="4444F44E" w14:textId="2D17CDA0" w:rsidR="00ED3A7E" w:rsidRPr="00AC5EC7" w:rsidRDefault="007B6D40"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7B6D40">
              <w:rPr>
                <w:rFonts w:asciiTheme="minorHAnsi" w:hAnsiTheme="minorHAnsi" w:cstheme="minorBidi"/>
                <w:sz w:val="18"/>
                <w:szCs w:val="18"/>
              </w:rPr>
              <w:t>A telehealth lifestyle program administered by dietitians and exercise physiologists, is a viable alternative to in-person care for liver transplant recipients. There's a necessity to expand and innovate routine service delivery beyond face-to-face consultations.</w:t>
            </w:r>
          </w:p>
        </w:tc>
      </w:tr>
      <w:tr w:rsidR="00800415" w:rsidRPr="00AC5EC7" w14:paraId="3955CB17" w14:textId="77777777" w:rsidTr="001F1E50">
        <w:trPr>
          <w:cnfStyle w:val="000000100000" w:firstRow="0" w:lastRow="0" w:firstColumn="0" w:lastColumn="0" w:oddVBand="0" w:evenVBand="0" w:oddHBand="1" w:evenHBand="0" w:firstRowFirstColumn="0" w:firstRowLastColumn="0" w:lastRowFirstColumn="0" w:lastRowLastColumn="0"/>
          <w:trHeight w:val="1136"/>
        </w:trPr>
        <w:tc>
          <w:tcPr>
            <w:cnfStyle w:val="001000000000" w:firstRow="0" w:lastRow="0" w:firstColumn="1" w:lastColumn="0" w:oddVBand="0" w:evenVBand="0" w:oddHBand="0" w:evenHBand="0" w:firstRowFirstColumn="0" w:firstRowLastColumn="0" w:lastRowFirstColumn="0" w:lastRowLastColumn="0"/>
            <w:tcW w:w="567" w:type="dxa"/>
            <w:noWrap/>
            <w:hideMark/>
          </w:tcPr>
          <w:p w14:paraId="25A48751"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5</w:t>
            </w:r>
          </w:p>
        </w:tc>
        <w:tc>
          <w:tcPr>
            <w:tcW w:w="993" w:type="dxa"/>
            <w:hideMark/>
          </w:tcPr>
          <w:p w14:paraId="33E7E44D" w14:textId="77777777" w:rsidR="00ED3A7E" w:rsidRPr="00AC5EC7" w:rsidRDefault="00ED3A7E"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Chang et al., 2021</w:t>
            </w:r>
          </w:p>
        </w:tc>
        <w:tc>
          <w:tcPr>
            <w:tcW w:w="1984" w:type="dxa"/>
            <w:hideMark/>
          </w:tcPr>
          <w:p w14:paraId="622E2873" w14:textId="619BFDF0" w:rsidR="00ED3A7E" w:rsidRPr="00AC5EC7" w:rsidRDefault="00D17843"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D17843">
              <w:rPr>
                <w:rFonts w:asciiTheme="minorHAnsi" w:hAnsiTheme="minorHAnsi" w:cstheme="minorHAnsi"/>
                <w:sz w:val="18"/>
                <w:szCs w:val="18"/>
              </w:rPr>
              <w:t>Assessing the viability and efficiency of remotely monitoring kidney transplant patients.</w:t>
            </w:r>
          </w:p>
        </w:tc>
        <w:tc>
          <w:tcPr>
            <w:tcW w:w="1418" w:type="dxa"/>
            <w:hideMark/>
          </w:tcPr>
          <w:p w14:paraId="1FD2B2C0"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71202399"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79029918"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73B818F0"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8A1ACB0"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w:t>
            </w:r>
          </w:p>
        </w:tc>
        <w:tc>
          <w:tcPr>
            <w:tcW w:w="992" w:type="dxa"/>
            <w:hideMark/>
          </w:tcPr>
          <w:p w14:paraId="6D6AE5BA"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38FC1246" w14:textId="490DCF1F" w:rsidR="00ED3A7E" w:rsidRPr="00AC5EC7" w:rsidRDefault="001F1E50"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1F1E50">
              <w:rPr>
                <w:rFonts w:asciiTheme="minorHAnsi" w:hAnsiTheme="minorHAnsi" w:cstheme="minorBidi"/>
                <w:sz w:val="18"/>
                <w:szCs w:val="18"/>
              </w:rPr>
              <w:t>Our early findings show RPM's feasibility and effectiveness post-transplant, broadening care through remote models. This is particularly crucial now, enabling close monitoring of COVID-19-positive transplant patients in home isolation.</w:t>
            </w:r>
          </w:p>
        </w:tc>
      </w:tr>
      <w:tr w:rsidR="00800415" w:rsidRPr="00AC5EC7" w14:paraId="10F5E2A8" w14:textId="77777777" w:rsidTr="00B04EA2">
        <w:trPr>
          <w:trHeight w:val="1833"/>
        </w:trPr>
        <w:tc>
          <w:tcPr>
            <w:cnfStyle w:val="001000000000" w:firstRow="0" w:lastRow="0" w:firstColumn="1" w:lastColumn="0" w:oddVBand="0" w:evenVBand="0" w:oddHBand="0" w:evenHBand="0" w:firstRowFirstColumn="0" w:firstRowLastColumn="0" w:lastRowFirstColumn="0" w:lastRowLastColumn="0"/>
            <w:tcW w:w="567" w:type="dxa"/>
            <w:noWrap/>
            <w:hideMark/>
          </w:tcPr>
          <w:p w14:paraId="2B5D0C05"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6</w:t>
            </w:r>
          </w:p>
        </w:tc>
        <w:tc>
          <w:tcPr>
            <w:tcW w:w="993" w:type="dxa"/>
            <w:hideMark/>
          </w:tcPr>
          <w:p w14:paraId="2BA2ED6A" w14:textId="77777777" w:rsidR="00ED3A7E" w:rsidRPr="00AC5EC7" w:rsidRDefault="00ED3A7E"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Deboni</w:t>
            </w:r>
            <w:proofErr w:type="spellEnd"/>
            <w:r w:rsidRPr="00AC5EC7">
              <w:rPr>
                <w:rFonts w:asciiTheme="minorHAnsi" w:hAnsiTheme="minorHAnsi" w:cstheme="minorBidi"/>
                <w:sz w:val="18"/>
                <w:szCs w:val="18"/>
              </w:rPr>
              <w:t xml:space="preserve"> et al., 2020</w:t>
            </w:r>
          </w:p>
        </w:tc>
        <w:tc>
          <w:tcPr>
            <w:tcW w:w="1984" w:type="dxa"/>
            <w:hideMark/>
          </w:tcPr>
          <w:p w14:paraId="4D76EEBB" w14:textId="77777777" w:rsidR="00B04EA2" w:rsidRPr="00B04EA2" w:rsidRDefault="00B04EA2" w:rsidP="00B04EA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B04EA2">
              <w:rPr>
                <w:rFonts w:asciiTheme="minorHAnsi" w:hAnsiTheme="minorHAnsi" w:cstheme="minorHAnsi"/>
                <w:sz w:val="18"/>
                <w:szCs w:val="18"/>
              </w:rPr>
              <w:t>Detail the creation and execution of telehealth for monitoring renal transplant and peritoneal dialysis patients amid the COVID-19 pandemic.</w:t>
            </w:r>
          </w:p>
          <w:p w14:paraId="66B156E5" w14:textId="77777777" w:rsidR="00B04EA2" w:rsidRPr="00B04EA2" w:rsidRDefault="00B04EA2" w:rsidP="00B04EA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3C5F7CAA" w14:textId="77777777" w:rsidR="00B04EA2" w:rsidRPr="00B04EA2" w:rsidRDefault="00B04EA2" w:rsidP="00B04EA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363E47B2" w14:textId="77777777" w:rsidR="00B04EA2" w:rsidRPr="00B04EA2" w:rsidRDefault="00B04EA2" w:rsidP="00B04EA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0E514B83" w14:textId="77777777" w:rsidR="00B04EA2" w:rsidRPr="00B04EA2" w:rsidRDefault="00B04EA2" w:rsidP="00B04EA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247ACDEE" w14:textId="244385F6"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1418" w:type="dxa"/>
            <w:hideMark/>
          </w:tcPr>
          <w:p w14:paraId="163AF5CF"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Descriptive study</w:t>
            </w:r>
          </w:p>
        </w:tc>
        <w:tc>
          <w:tcPr>
            <w:tcW w:w="1134" w:type="dxa"/>
            <w:hideMark/>
          </w:tcPr>
          <w:p w14:paraId="6EF4D193"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w:t>
            </w:r>
          </w:p>
        </w:tc>
        <w:tc>
          <w:tcPr>
            <w:tcW w:w="1275" w:type="dxa"/>
            <w:hideMark/>
          </w:tcPr>
          <w:p w14:paraId="4118EA44"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73E001E6"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3B5D488"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960</w:t>
            </w:r>
          </w:p>
        </w:tc>
        <w:tc>
          <w:tcPr>
            <w:tcW w:w="992" w:type="dxa"/>
            <w:hideMark/>
          </w:tcPr>
          <w:p w14:paraId="21A7488A"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Brazil</w:t>
            </w:r>
          </w:p>
        </w:tc>
        <w:tc>
          <w:tcPr>
            <w:tcW w:w="4395" w:type="dxa"/>
            <w:hideMark/>
          </w:tcPr>
          <w:p w14:paraId="29969599" w14:textId="11F00765" w:rsidR="00ED3A7E" w:rsidRPr="00AC5EC7" w:rsidRDefault="003D506C"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3D506C">
              <w:rPr>
                <w:rFonts w:asciiTheme="minorHAnsi" w:hAnsiTheme="minorHAnsi" w:cstheme="minorBidi"/>
                <w:sz w:val="18"/>
                <w:szCs w:val="18"/>
              </w:rPr>
              <w:t>outline</w:t>
            </w:r>
            <w:r w:rsidR="005431F4">
              <w:rPr>
                <w:rFonts w:asciiTheme="minorHAnsi" w:hAnsiTheme="minorHAnsi" w:cstheme="minorBidi"/>
                <w:sz w:val="18"/>
                <w:szCs w:val="18"/>
              </w:rPr>
              <w:t>s</w:t>
            </w:r>
            <w:r w:rsidRPr="003D506C">
              <w:rPr>
                <w:rFonts w:asciiTheme="minorHAnsi" w:hAnsiTheme="minorHAnsi" w:cstheme="minorBidi"/>
                <w:sz w:val="18"/>
                <w:szCs w:val="18"/>
              </w:rPr>
              <w:t xml:space="preserve"> the creation and use of telehealth in monitoring renal transplant and peritoneal dialysis patients amid the COVID-19 pandemic.</w:t>
            </w:r>
          </w:p>
        </w:tc>
      </w:tr>
      <w:tr w:rsidR="00800415" w:rsidRPr="00AC5EC7" w14:paraId="0C7E49BD" w14:textId="77777777" w:rsidTr="26F64964">
        <w:trPr>
          <w:cnfStyle w:val="000000100000" w:firstRow="0" w:lastRow="0" w:firstColumn="0" w:lastColumn="0" w:oddVBand="0" w:evenVBand="0" w:oddHBand="1" w:evenHBand="0" w:firstRowFirstColumn="0" w:firstRowLastColumn="0" w:lastRowFirstColumn="0" w:lastRowLastColumn="0"/>
          <w:trHeight w:val="17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4404F2DD"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7</w:t>
            </w:r>
          </w:p>
        </w:tc>
        <w:tc>
          <w:tcPr>
            <w:tcW w:w="993" w:type="dxa"/>
            <w:hideMark/>
          </w:tcPr>
          <w:p w14:paraId="0CE5EC18" w14:textId="77777777" w:rsidR="00ED3A7E" w:rsidRPr="00AC5EC7" w:rsidRDefault="00ED3A7E"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Delman et al., 2021</w:t>
            </w:r>
          </w:p>
        </w:tc>
        <w:tc>
          <w:tcPr>
            <w:tcW w:w="1984" w:type="dxa"/>
            <w:hideMark/>
          </w:tcPr>
          <w:p w14:paraId="6B9F0618" w14:textId="59F3882A" w:rsidR="00ED3A7E" w:rsidRPr="00AC5EC7" w:rsidRDefault="005431F4"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Pr>
                <w:rFonts w:asciiTheme="minorHAnsi" w:hAnsiTheme="minorHAnsi" w:cstheme="minorBidi"/>
                <w:sz w:val="18"/>
                <w:szCs w:val="18"/>
              </w:rPr>
              <w:t>Reporting the</w:t>
            </w:r>
            <w:r w:rsidR="00ED3A7E" w:rsidRPr="00AC5EC7">
              <w:rPr>
                <w:rFonts w:asciiTheme="minorHAnsi" w:hAnsiTheme="minorHAnsi" w:cstheme="minorBidi"/>
                <w:sz w:val="18"/>
                <w:szCs w:val="18"/>
              </w:rPr>
              <w:t xml:space="preserve"> University of Cincinnati Medical </w:t>
            </w:r>
            <w:r w:rsidR="001A3549" w:rsidRPr="00AC5EC7">
              <w:rPr>
                <w:rFonts w:asciiTheme="minorHAnsi" w:hAnsiTheme="minorHAnsi" w:cstheme="minorBidi"/>
                <w:sz w:val="18"/>
                <w:szCs w:val="18"/>
              </w:rPr>
              <w:t>Centr</w:t>
            </w:r>
            <w:r w:rsidR="001A3549">
              <w:rPr>
                <w:rFonts w:asciiTheme="minorHAnsi" w:hAnsiTheme="minorHAnsi" w:cstheme="minorBidi"/>
                <w:sz w:val="18"/>
                <w:szCs w:val="18"/>
              </w:rPr>
              <w:t>e</w:t>
            </w:r>
            <w:r>
              <w:rPr>
                <w:rFonts w:asciiTheme="minorHAnsi" w:hAnsiTheme="minorHAnsi" w:cstheme="minorBidi"/>
                <w:sz w:val="18"/>
                <w:szCs w:val="18"/>
              </w:rPr>
              <w:t xml:space="preserve"> </w:t>
            </w:r>
            <w:r w:rsidR="00ED3A7E" w:rsidRPr="00AC5EC7">
              <w:rPr>
                <w:rFonts w:asciiTheme="minorHAnsi" w:hAnsiTheme="minorHAnsi" w:cstheme="minorBidi"/>
                <w:sz w:val="18"/>
                <w:szCs w:val="18"/>
              </w:rPr>
              <w:t>response to the COVID-19 pandemic</w:t>
            </w:r>
          </w:p>
        </w:tc>
        <w:tc>
          <w:tcPr>
            <w:tcW w:w="1418" w:type="dxa"/>
            <w:hideMark/>
          </w:tcPr>
          <w:p w14:paraId="4EB9BB75"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46595131"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6B8CAEE6"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0F1E8F31"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267F1FE"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344</w:t>
            </w:r>
          </w:p>
        </w:tc>
        <w:tc>
          <w:tcPr>
            <w:tcW w:w="992" w:type="dxa"/>
            <w:hideMark/>
          </w:tcPr>
          <w:p w14:paraId="08BB50AE"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1512C78E" w14:textId="16DFB35A" w:rsidR="00ED3A7E" w:rsidRPr="00AC5EC7" w:rsidRDefault="008C0CFB" w:rsidP="008C0CF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8C0CFB">
              <w:rPr>
                <w:rFonts w:asciiTheme="minorHAnsi" w:hAnsiTheme="minorHAnsi" w:cstheme="minorBidi"/>
                <w:sz w:val="18"/>
                <w:szCs w:val="18"/>
              </w:rPr>
              <w:t>During the COVID-19 period, performing orthotopic liver transplants safely and successfully is achievable without jeopardizing results. This is achieved by enhancing telehealth usage, conducting rapid COVID-19 tests, and implementing comprehensive protocols for handling immunosuppressed patients.</w:t>
            </w:r>
          </w:p>
        </w:tc>
      </w:tr>
      <w:tr w:rsidR="00800415" w:rsidRPr="00AC5EC7" w14:paraId="2615F436" w14:textId="77777777" w:rsidTr="26F64964">
        <w:trPr>
          <w:trHeight w:val="2040"/>
        </w:trPr>
        <w:tc>
          <w:tcPr>
            <w:cnfStyle w:val="001000000000" w:firstRow="0" w:lastRow="0" w:firstColumn="1" w:lastColumn="0" w:oddVBand="0" w:evenVBand="0" w:oddHBand="0" w:evenHBand="0" w:firstRowFirstColumn="0" w:firstRowLastColumn="0" w:lastRowFirstColumn="0" w:lastRowLastColumn="0"/>
            <w:tcW w:w="567" w:type="dxa"/>
            <w:noWrap/>
            <w:hideMark/>
          </w:tcPr>
          <w:p w14:paraId="63DF7F25"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lastRenderedPageBreak/>
              <w:t>8</w:t>
            </w:r>
          </w:p>
        </w:tc>
        <w:tc>
          <w:tcPr>
            <w:tcW w:w="993" w:type="dxa"/>
            <w:hideMark/>
          </w:tcPr>
          <w:p w14:paraId="101DA415" w14:textId="77777777" w:rsidR="00ED3A7E" w:rsidRPr="00AC5EC7" w:rsidRDefault="00ED3A7E"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Divard</w:t>
            </w:r>
            <w:proofErr w:type="spellEnd"/>
            <w:r w:rsidRPr="00AC5EC7">
              <w:rPr>
                <w:rFonts w:asciiTheme="minorHAnsi" w:hAnsiTheme="minorHAnsi" w:cstheme="minorBidi"/>
                <w:sz w:val="18"/>
                <w:szCs w:val="18"/>
              </w:rPr>
              <w:t xml:space="preserve"> et al., 2022</w:t>
            </w:r>
          </w:p>
        </w:tc>
        <w:tc>
          <w:tcPr>
            <w:tcW w:w="1984" w:type="dxa"/>
            <w:hideMark/>
          </w:tcPr>
          <w:p w14:paraId="5C2C73D9" w14:textId="061FD416" w:rsidR="00ED3A7E" w:rsidRPr="00AC5EC7" w:rsidRDefault="00BB3DD9"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BB3DD9">
              <w:rPr>
                <w:rFonts w:asciiTheme="minorHAnsi" w:hAnsiTheme="minorHAnsi" w:cstheme="minorBidi"/>
                <w:sz w:val="18"/>
                <w:szCs w:val="18"/>
              </w:rPr>
              <w:t>Assess transplant physicians' capability to forecast long-term allograft failure and compare their predictions to a validated artificial intelligence (AI) algorithm.</w:t>
            </w:r>
          </w:p>
        </w:tc>
        <w:tc>
          <w:tcPr>
            <w:tcW w:w="1418" w:type="dxa"/>
            <w:hideMark/>
          </w:tcPr>
          <w:p w14:paraId="30652AD8"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3429603C"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325DA761"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Emerging technologies (Artificial Intelligence (</w:t>
            </w:r>
            <w:proofErr w:type="spellStart"/>
            <w:r w:rsidRPr="00AC5EC7">
              <w:rPr>
                <w:rFonts w:asciiTheme="minorHAnsi" w:hAnsiTheme="minorHAnsi" w:cstheme="minorHAnsi"/>
                <w:sz w:val="18"/>
                <w:szCs w:val="18"/>
              </w:rPr>
              <w:t>iBox</w:t>
            </w:r>
            <w:proofErr w:type="spellEnd"/>
            <w:r w:rsidRPr="00AC5EC7">
              <w:rPr>
                <w:rFonts w:asciiTheme="minorHAnsi" w:hAnsiTheme="minorHAnsi" w:cstheme="minorHAnsi"/>
                <w:sz w:val="18"/>
                <w:szCs w:val="18"/>
              </w:rPr>
              <w:t>))</w:t>
            </w:r>
          </w:p>
        </w:tc>
        <w:tc>
          <w:tcPr>
            <w:tcW w:w="1276" w:type="dxa"/>
            <w:hideMark/>
          </w:tcPr>
          <w:p w14:paraId="4DEAF5F3"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 and Physicians</w:t>
            </w:r>
          </w:p>
        </w:tc>
        <w:tc>
          <w:tcPr>
            <w:tcW w:w="1134" w:type="dxa"/>
            <w:hideMark/>
          </w:tcPr>
          <w:p w14:paraId="49EA5095"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400</w:t>
            </w:r>
          </w:p>
        </w:tc>
        <w:tc>
          <w:tcPr>
            <w:tcW w:w="992" w:type="dxa"/>
            <w:hideMark/>
          </w:tcPr>
          <w:p w14:paraId="3D222DC9"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France</w:t>
            </w:r>
          </w:p>
        </w:tc>
        <w:tc>
          <w:tcPr>
            <w:tcW w:w="4395" w:type="dxa"/>
            <w:hideMark/>
          </w:tcPr>
          <w:p w14:paraId="634340B3" w14:textId="251CAFA7" w:rsidR="00ED3A7E" w:rsidRPr="00AC5EC7" w:rsidRDefault="00FA05E7"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FA05E7">
              <w:rPr>
                <w:rFonts w:asciiTheme="minorHAnsi" w:hAnsiTheme="minorHAnsi" w:cstheme="minorBidi"/>
                <w:sz w:val="18"/>
                <w:szCs w:val="18"/>
              </w:rPr>
              <w:t xml:space="preserve">The study highlights physicians' generally limited accuracy in predicting long-term graft failure, contrasting with the superior performance of </w:t>
            </w:r>
            <w:proofErr w:type="spellStart"/>
            <w:r w:rsidRPr="00FA05E7">
              <w:rPr>
                <w:rFonts w:asciiTheme="minorHAnsi" w:hAnsiTheme="minorHAnsi" w:cstheme="minorBidi"/>
                <w:sz w:val="18"/>
                <w:szCs w:val="18"/>
              </w:rPr>
              <w:t>iBox</w:t>
            </w:r>
            <w:proofErr w:type="spellEnd"/>
            <w:r w:rsidRPr="00FA05E7">
              <w:rPr>
                <w:rFonts w:asciiTheme="minorHAnsi" w:hAnsiTheme="minorHAnsi" w:cstheme="minorBidi"/>
                <w:sz w:val="18"/>
                <w:szCs w:val="18"/>
              </w:rPr>
              <w:t>. It advocates for a companion tool to aid physicians in prognosis and clinical decision-making.</w:t>
            </w:r>
          </w:p>
        </w:tc>
      </w:tr>
      <w:tr w:rsidR="00800415" w:rsidRPr="00AC5EC7" w14:paraId="63E3944A" w14:textId="77777777" w:rsidTr="26F64964">
        <w:trPr>
          <w:cnfStyle w:val="000000100000" w:firstRow="0" w:lastRow="0" w:firstColumn="0" w:lastColumn="0" w:oddVBand="0" w:evenVBand="0" w:oddHBand="1" w:evenHBand="0" w:firstRowFirstColumn="0" w:firstRowLastColumn="0" w:lastRowFirstColumn="0" w:lastRowLastColumn="0"/>
          <w:trHeight w:val="2030"/>
        </w:trPr>
        <w:tc>
          <w:tcPr>
            <w:cnfStyle w:val="001000000000" w:firstRow="0" w:lastRow="0" w:firstColumn="1" w:lastColumn="0" w:oddVBand="0" w:evenVBand="0" w:oddHBand="0" w:evenHBand="0" w:firstRowFirstColumn="0" w:firstRowLastColumn="0" w:lastRowFirstColumn="0" w:lastRowLastColumn="0"/>
            <w:tcW w:w="567" w:type="dxa"/>
            <w:noWrap/>
            <w:hideMark/>
          </w:tcPr>
          <w:p w14:paraId="334685A6"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9</w:t>
            </w:r>
          </w:p>
        </w:tc>
        <w:tc>
          <w:tcPr>
            <w:tcW w:w="993" w:type="dxa"/>
            <w:hideMark/>
          </w:tcPr>
          <w:p w14:paraId="3381F677" w14:textId="77777777" w:rsidR="00ED3A7E" w:rsidRPr="00AC5EC7" w:rsidRDefault="00ED3A7E"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Duarte-Rojo et al., 2022</w:t>
            </w:r>
          </w:p>
        </w:tc>
        <w:tc>
          <w:tcPr>
            <w:tcW w:w="1984" w:type="dxa"/>
            <w:hideMark/>
          </w:tcPr>
          <w:p w14:paraId="1BD8FFCF" w14:textId="6A17429B" w:rsidR="00ED3A7E" w:rsidRPr="00AC5EC7" w:rsidRDefault="00CA6622"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CA6622">
              <w:rPr>
                <w:rFonts w:asciiTheme="minorHAnsi" w:hAnsiTheme="minorHAnsi" w:cstheme="minorBidi"/>
                <w:sz w:val="18"/>
                <w:szCs w:val="18"/>
              </w:rPr>
              <w:t>Create a technique to gauge the step length of LT candidates, enabling the remote acquisition of the 6-minute walk test (6MWT) distance using a personal activity tracker (PAT).</w:t>
            </w:r>
          </w:p>
        </w:tc>
        <w:tc>
          <w:tcPr>
            <w:tcW w:w="1418" w:type="dxa"/>
            <w:hideMark/>
          </w:tcPr>
          <w:p w14:paraId="6EDA7419"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4DA4E35C"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-Liver</w:t>
            </w:r>
          </w:p>
        </w:tc>
        <w:tc>
          <w:tcPr>
            <w:tcW w:w="1275" w:type="dxa"/>
            <w:hideMark/>
          </w:tcPr>
          <w:p w14:paraId="49B31910"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Emerging technologies (Wearables)</w:t>
            </w:r>
          </w:p>
        </w:tc>
        <w:tc>
          <w:tcPr>
            <w:tcW w:w="1276" w:type="dxa"/>
            <w:hideMark/>
          </w:tcPr>
          <w:p w14:paraId="76D55014"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w:t>
            </w:r>
          </w:p>
        </w:tc>
        <w:tc>
          <w:tcPr>
            <w:tcW w:w="1134" w:type="dxa"/>
            <w:hideMark/>
          </w:tcPr>
          <w:p w14:paraId="706E043A"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137</w:t>
            </w:r>
          </w:p>
        </w:tc>
        <w:tc>
          <w:tcPr>
            <w:tcW w:w="992" w:type="dxa"/>
            <w:hideMark/>
          </w:tcPr>
          <w:p w14:paraId="47A513BD"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22F31E71" w14:textId="6EBB890C" w:rsidR="00ED3A7E" w:rsidRPr="00AC5EC7" w:rsidRDefault="00DC7B5F" w:rsidP="00DC7B5F">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DC7B5F">
              <w:rPr>
                <w:rFonts w:asciiTheme="minorHAnsi" w:hAnsiTheme="minorHAnsi" w:cstheme="minorBidi"/>
                <w:sz w:val="18"/>
                <w:szCs w:val="18"/>
              </w:rPr>
              <w:t xml:space="preserve">We devised a technique to </w:t>
            </w:r>
            <w:r w:rsidR="00355716">
              <w:rPr>
                <w:rFonts w:asciiTheme="minorHAnsi" w:hAnsiTheme="minorHAnsi" w:cstheme="minorBidi"/>
                <w:sz w:val="18"/>
                <w:szCs w:val="18"/>
              </w:rPr>
              <w:t>measure the 6MWT distance remotely</w:t>
            </w:r>
            <w:r w:rsidRPr="00DC7B5F">
              <w:rPr>
                <w:rFonts w:asciiTheme="minorHAnsi" w:hAnsiTheme="minorHAnsi" w:cstheme="minorBidi"/>
                <w:sz w:val="18"/>
                <w:szCs w:val="18"/>
              </w:rPr>
              <w:t xml:space="preserve"> using a PAT. This innovative method introduces the potential for conducting telemedicine-based PAT-6MWT to track the frailty status of LT candidates</w:t>
            </w:r>
            <w:r w:rsidR="00355716">
              <w:rPr>
                <w:rFonts w:asciiTheme="minorHAnsi" w:hAnsiTheme="minorHAnsi" w:cstheme="minorBidi"/>
                <w:sz w:val="18"/>
                <w:szCs w:val="18"/>
              </w:rPr>
              <w:t>.</w:t>
            </w:r>
          </w:p>
        </w:tc>
      </w:tr>
      <w:tr w:rsidR="00800415" w:rsidRPr="00AC5EC7" w14:paraId="45BA228B" w14:textId="77777777" w:rsidTr="26F64964">
        <w:trPr>
          <w:trHeight w:val="19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2CBCC06A"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10</w:t>
            </w:r>
          </w:p>
        </w:tc>
        <w:tc>
          <w:tcPr>
            <w:tcW w:w="993" w:type="dxa"/>
            <w:hideMark/>
          </w:tcPr>
          <w:p w14:paraId="602E5AB4"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Eno et al., 2018</w:t>
            </w:r>
          </w:p>
        </w:tc>
        <w:tc>
          <w:tcPr>
            <w:tcW w:w="1984" w:type="dxa"/>
            <w:hideMark/>
          </w:tcPr>
          <w:p w14:paraId="6D5A8E12" w14:textId="058FD332" w:rsidR="00ED3A7E" w:rsidRPr="00AC5EC7" w:rsidRDefault="00C438F8"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438F8">
              <w:rPr>
                <w:rFonts w:asciiTheme="minorHAnsi" w:hAnsiTheme="minorHAnsi" w:cstheme="minorBidi"/>
                <w:sz w:val="18"/>
                <w:szCs w:val="18"/>
              </w:rPr>
              <w:t>Evaluate living kidney donors' views and beliefs regarding mHealth for follow-up purposes.</w:t>
            </w:r>
          </w:p>
        </w:tc>
        <w:tc>
          <w:tcPr>
            <w:tcW w:w="1418" w:type="dxa"/>
            <w:hideMark/>
          </w:tcPr>
          <w:p w14:paraId="46092AD8"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Survey</w:t>
            </w:r>
          </w:p>
        </w:tc>
        <w:tc>
          <w:tcPr>
            <w:tcW w:w="1134" w:type="dxa"/>
            <w:hideMark/>
          </w:tcPr>
          <w:p w14:paraId="68BD864B"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49D5E5AE"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2DD91669"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w:t>
            </w:r>
          </w:p>
        </w:tc>
        <w:tc>
          <w:tcPr>
            <w:tcW w:w="1134" w:type="dxa"/>
            <w:hideMark/>
          </w:tcPr>
          <w:p w14:paraId="7C3D7795"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100</w:t>
            </w:r>
          </w:p>
        </w:tc>
        <w:tc>
          <w:tcPr>
            <w:tcW w:w="992" w:type="dxa"/>
            <w:hideMark/>
          </w:tcPr>
          <w:p w14:paraId="5D218D3B"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6B34053F" w14:textId="3E0E7468" w:rsidR="00ED3A7E" w:rsidRPr="00AC5EC7" w:rsidRDefault="00157AA3"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157AA3">
              <w:rPr>
                <w:rFonts w:asciiTheme="minorHAnsi" w:hAnsiTheme="minorHAnsi" w:cstheme="minorBidi"/>
                <w:sz w:val="18"/>
                <w:szCs w:val="18"/>
              </w:rPr>
              <w:t>In general, smartphone ownership was prevalent (94 out of 100, 94.0%), and among smartphone users surveyed, 79% (74 out of 94) believed that using a mHealth tool for their required follow-up would be helpful. There were no notable differences by age, gender, or race. These findings imply that patients could gain from a mHealth tool for living donor follow-up.</w:t>
            </w:r>
          </w:p>
        </w:tc>
      </w:tr>
      <w:tr w:rsidR="00800415" w:rsidRPr="00AC5EC7" w14:paraId="775AC8C2" w14:textId="77777777" w:rsidTr="26F64964">
        <w:trPr>
          <w:cnfStyle w:val="000000100000" w:firstRow="0" w:lastRow="0" w:firstColumn="0" w:lastColumn="0" w:oddVBand="0" w:evenVBand="0" w:oddHBand="1" w:evenHBand="0" w:firstRowFirstColumn="0" w:firstRowLastColumn="0" w:lastRowFirstColumn="0" w:lastRowLastColumn="0"/>
          <w:trHeight w:val="15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0CC147A"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11</w:t>
            </w:r>
          </w:p>
        </w:tc>
        <w:tc>
          <w:tcPr>
            <w:tcW w:w="993" w:type="dxa"/>
            <w:hideMark/>
          </w:tcPr>
          <w:p w14:paraId="003A47F8" w14:textId="77777777" w:rsidR="00ED3A7E" w:rsidRPr="00AC5EC7" w:rsidRDefault="00ED3A7E"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Eno et al., 2019</w:t>
            </w:r>
          </w:p>
        </w:tc>
        <w:tc>
          <w:tcPr>
            <w:tcW w:w="1984" w:type="dxa"/>
            <w:hideMark/>
          </w:tcPr>
          <w:p w14:paraId="56E798AF" w14:textId="4B949A23" w:rsidR="00ED3A7E" w:rsidRPr="00AC5EC7" w:rsidRDefault="00054885" w:rsidP="0005488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054885">
              <w:rPr>
                <w:rFonts w:asciiTheme="minorHAnsi" w:hAnsiTheme="minorHAnsi" w:cstheme="minorBidi"/>
                <w:sz w:val="18"/>
                <w:szCs w:val="18"/>
              </w:rPr>
              <w:t>Create a mHealth platform tailored to gather and report follow-up data from Living Kidney Donors after donation.</w:t>
            </w:r>
          </w:p>
        </w:tc>
        <w:tc>
          <w:tcPr>
            <w:tcW w:w="1418" w:type="dxa"/>
            <w:hideMark/>
          </w:tcPr>
          <w:p w14:paraId="0DD95622"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65CA0F12"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13B112A3"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0B24BCAD"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Transplant providers</w:t>
            </w:r>
          </w:p>
        </w:tc>
        <w:tc>
          <w:tcPr>
            <w:tcW w:w="1134" w:type="dxa"/>
            <w:hideMark/>
          </w:tcPr>
          <w:p w14:paraId="1B66FAF0"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21</w:t>
            </w:r>
          </w:p>
        </w:tc>
        <w:tc>
          <w:tcPr>
            <w:tcW w:w="992" w:type="dxa"/>
            <w:hideMark/>
          </w:tcPr>
          <w:p w14:paraId="58B5849B"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46AD09B9" w14:textId="1EEA212F" w:rsidR="00ED3A7E" w:rsidRPr="00AC5EC7" w:rsidRDefault="005A48C2"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5A48C2">
              <w:rPr>
                <w:rFonts w:asciiTheme="minorHAnsi" w:hAnsiTheme="minorHAnsi" w:cstheme="minorBidi"/>
                <w:sz w:val="18"/>
                <w:szCs w:val="18"/>
              </w:rPr>
              <w:t>Transplant providers believe</w:t>
            </w:r>
            <w:r>
              <w:rPr>
                <w:rFonts w:asciiTheme="minorHAnsi" w:hAnsiTheme="minorHAnsi" w:cstheme="minorBidi"/>
                <w:sz w:val="18"/>
                <w:szCs w:val="18"/>
              </w:rPr>
              <w:t xml:space="preserve"> </w:t>
            </w:r>
            <w:r w:rsidRPr="005A48C2">
              <w:rPr>
                <w:rFonts w:asciiTheme="minorHAnsi" w:hAnsiTheme="minorHAnsi" w:cstheme="minorBidi"/>
                <w:sz w:val="18"/>
                <w:szCs w:val="18"/>
              </w:rPr>
              <w:t xml:space="preserve">mHealth could enhance LKD follow-up and aid </w:t>
            </w:r>
            <w:r w:rsidR="006B490A" w:rsidRPr="005A48C2">
              <w:rPr>
                <w:rFonts w:asciiTheme="minorHAnsi" w:hAnsiTheme="minorHAnsi" w:cstheme="minorBidi"/>
                <w:sz w:val="18"/>
                <w:szCs w:val="18"/>
              </w:rPr>
              <w:t>centres</w:t>
            </w:r>
            <w:r w:rsidRPr="005A48C2">
              <w:rPr>
                <w:rFonts w:asciiTheme="minorHAnsi" w:hAnsiTheme="minorHAnsi" w:cstheme="minorBidi"/>
                <w:sz w:val="18"/>
                <w:szCs w:val="18"/>
              </w:rPr>
              <w:t xml:space="preserve"> in meeting reporting requirements. Yet, creating a secure, user-friendly, and affordable system remains a challenge.</w:t>
            </w:r>
          </w:p>
        </w:tc>
      </w:tr>
      <w:tr w:rsidR="00800415" w:rsidRPr="00AC5EC7" w14:paraId="30AF9888" w14:textId="77777777" w:rsidTr="003F0585">
        <w:trPr>
          <w:trHeight w:val="1124"/>
        </w:trPr>
        <w:tc>
          <w:tcPr>
            <w:cnfStyle w:val="001000000000" w:firstRow="0" w:lastRow="0" w:firstColumn="1" w:lastColumn="0" w:oddVBand="0" w:evenVBand="0" w:oddHBand="0" w:evenHBand="0" w:firstRowFirstColumn="0" w:firstRowLastColumn="0" w:lastRowFirstColumn="0" w:lastRowLastColumn="0"/>
            <w:tcW w:w="567" w:type="dxa"/>
            <w:noWrap/>
            <w:hideMark/>
          </w:tcPr>
          <w:p w14:paraId="70D4B069"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lastRenderedPageBreak/>
              <w:t>12</w:t>
            </w:r>
          </w:p>
        </w:tc>
        <w:tc>
          <w:tcPr>
            <w:tcW w:w="993" w:type="dxa"/>
            <w:hideMark/>
          </w:tcPr>
          <w:p w14:paraId="2A80A89A" w14:textId="77777777" w:rsidR="00ED3A7E" w:rsidRPr="00AC5EC7" w:rsidRDefault="00ED3A7E"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Erez et al., 2023</w:t>
            </w:r>
          </w:p>
        </w:tc>
        <w:tc>
          <w:tcPr>
            <w:tcW w:w="1984" w:type="dxa"/>
            <w:hideMark/>
          </w:tcPr>
          <w:p w14:paraId="24D0EA8C" w14:textId="50FDAE74" w:rsidR="00ED3A7E" w:rsidRPr="00AC5EC7" w:rsidRDefault="00A64C4F"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64C4F">
              <w:rPr>
                <w:rFonts w:asciiTheme="minorHAnsi" w:hAnsiTheme="minorHAnsi" w:cstheme="minorBidi"/>
                <w:sz w:val="18"/>
                <w:szCs w:val="18"/>
              </w:rPr>
              <w:t>Assess the viability and acceptance of a home urinalysis kit paired with a smartphone app.</w:t>
            </w:r>
          </w:p>
        </w:tc>
        <w:tc>
          <w:tcPr>
            <w:tcW w:w="1418" w:type="dxa"/>
            <w:hideMark/>
          </w:tcPr>
          <w:p w14:paraId="7DC2C516"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340FE118"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603B122F"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55358551"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01485204"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103</w:t>
            </w:r>
          </w:p>
        </w:tc>
        <w:tc>
          <w:tcPr>
            <w:tcW w:w="992" w:type="dxa"/>
            <w:hideMark/>
          </w:tcPr>
          <w:p w14:paraId="4E7F11E8" w14:textId="44BA79AC" w:rsidR="00ED3A7E" w:rsidRPr="00AC5EC7" w:rsidRDefault="00EF16BA"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7BDEE2CC" w14:textId="1707D434" w:rsidR="00ED3A7E" w:rsidRPr="00AC5EC7" w:rsidRDefault="003F0585"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3F0585">
              <w:rPr>
                <w:rFonts w:asciiTheme="minorHAnsi" w:hAnsiTheme="minorHAnsi" w:cstheme="minorBidi"/>
                <w:sz w:val="18"/>
                <w:szCs w:val="18"/>
              </w:rPr>
              <w:t>The Healthy.io home urine testing app garnered significantly higher satisfaction from patients and caregivers compared to current methods, indicating substantial potential to improve patient-</w:t>
            </w:r>
            <w:r w:rsidR="006B490A" w:rsidRPr="003F0585">
              <w:rPr>
                <w:rFonts w:asciiTheme="minorHAnsi" w:hAnsiTheme="minorHAnsi" w:cstheme="minorBidi"/>
                <w:sz w:val="18"/>
                <w:szCs w:val="18"/>
              </w:rPr>
              <w:t>centred</w:t>
            </w:r>
            <w:r w:rsidRPr="003F0585">
              <w:rPr>
                <w:rFonts w:asciiTheme="minorHAnsi" w:hAnsiTheme="minorHAnsi" w:cstheme="minorBidi"/>
                <w:sz w:val="18"/>
                <w:szCs w:val="18"/>
              </w:rPr>
              <w:t xml:space="preserve"> care.</w:t>
            </w:r>
          </w:p>
        </w:tc>
      </w:tr>
      <w:tr w:rsidR="00800415" w:rsidRPr="00AC5EC7" w14:paraId="729F6B10" w14:textId="77777777" w:rsidTr="00782A64">
        <w:trPr>
          <w:cnfStyle w:val="000000100000" w:firstRow="0" w:lastRow="0" w:firstColumn="0" w:lastColumn="0" w:oddVBand="0" w:evenVBand="0" w:oddHBand="1" w:evenHBand="0" w:firstRowFirstColumn="0" w:firstRowLastColumn="0" w:lastRowFirstColumn="0" w:lastRowLastColumn="0"/>
          <w:trHeight w:val="1833"/>
        </w:trPr>
        <w:tc>
          <w:tcPr>
            <w:cnfStyle w:val="001000000000" w:firstRow="0" w:lastRow="0" w:firstColumn="1" w:lastColumn="0" w:oddVBand="0" w:evenVBand="0" w:oddHBand="0" w:evenHBand="0" w:firstRowFirstColumn="0" w:firstRowLastColumn="0" w:lastRowFirstColumn="0" w:lastRowLastColumn="0"/>
            <w:tcW w:w="567" w:type="dxa"/>
            <w:noWrap/>
            <w:hideMark/>
          </w:tcPr>
          <w:p w14:paraId="5B7B6CF3"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13</w:t>
            </w:r>
          </w:p>
        </w:tc>
        <w:tc>
          <w:tcPr>
            <w:tcW w:w="993" w:type="dxa"/>
            <w:hideMark/>
          </w:tcPr>
          <w:p w14:paraId="290F946C"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Fleming et al., 2021</w:t>
            </w:r>
          </w:p>
        </w:tc>
        <w:tc>
          <w:tcPr>
            <w:tcW w:w="1984" w:type="dxa"/>
            <w:hideMark/>
          </w:tcPr>
          <w:p w14:paraId="55BDCD86" w14:textId="4E83BDD4" w:rsidR="00ED3A7E" w:rsidRPr="00AC5EC7" w:rsidRDefault="004C0FFF"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4C0FFF">
              <w:rPr>
                <w:rFonts w:asciiTheme="minorHAnsi" w:hAnsiTheme="minorHAnsi" w:cstheme="minorBidi"/>
                <w:sz w:val="18"/>
                <w:szCs w:val="18"/>
              </w:rPr>
              <w:t>Assess a pharmacist-led telehealth intervention using mHealth (TRANSAFE Rx study) aimed at enhancing medication safety</w:t>
            </w:r>
            <w:r>
              <w:rPr>
                <w:rFonts w:asciiTheme="minorHAnsi" w:hAnsiTheme="minorHAnsi" w:cstheme="minorBidi"/>
                <w:sz w:val="18"/>
                <w:szCs w:val="18"/>
              </w:rPr>
              <w:t>.</w:t>
            </w:r>
          </w:p>
        </w:tc>
        <w:tc>
          <w:tcPr>
            <w:tcW w:w="1418" w:type="dxa"/>
            <w:hideMark/>
          </w:tcPr>
          <w:p w14:paraId="6D8262CC"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Quantitative </w:t>
            </w:r>
          </w:p>
        </w:tc>
        <w:tc>
          <w:tcPr>
            <w:tcW w:w="1134" w:type="dxa"/>
            <w:hideMark/>
          </w:tcPr>
          <w:p w14:paraId="3E151323"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498BF643"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19734C4C"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742BEEC"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68</w:t>
            </w:r>
          </w:p>
        </w:tc>
        <w:tc>
          <w:tcPr>
            <w:tcW w:w="992" w:type="dxa"/>
            <w:hideMark/>
          </w:tcPr>
          <w:p w14:paraId="56A3503B"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5249C1DF" w14:textId="4580B6EE" w:rsidR="00ED3A7E" w:rsidRPr="00AC5EC7" w:rsidRDefault="00782A64"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782A64">
              <w:rPr>
                <w:rFonts w:asciiTheme="minorHAnsi" w:hAnsiTheme="minorHAnsi" w:cstheme="minorBidi"/>
                <w:sz w:val="18"/>
                <w:szCs w:val="18"/>
              </w:rPr>
              <w:t>a link was found between the active trial intervention and improved tacrolimus IPV. Given the consistent link between high tacrolimus IPV and negative allograft outcomes, our findings suggest that employing multi-dimensional technologies could enhance clinical results. However, further prospective studies are needed to confirm the changeability of tacrolimus IPV and the effects of reducing it on long-term clinical outcomes.</w:t>
            </w:r>
          </w:p>
        </w:tc>
      </w:tr>
      <w:tr w:rsidR="00800415" w:rsidRPr="00AC5EC7" w14:paraId="168E2470" w14:textId="77777777" w:rsidTr="26F64964">
        <w:trPr>
          <w:trHeight w:val="16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68DB49F5"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14</w:t>
            </w:r>
          </w:p>
        </w:tc>
        <w:tc>
          <w:tcPr>
            <w:tcW w:w="993" w:type="dxa"/>
            <w:hideMark/>
          </w:tcPr>
          <w:p w14:paraId="3FB133AA"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Forbes et al., 2018</w:t>
            </w:r>
          </w:p>
        </w:tc>
        <w:tc>
          <w:tcPr>
            <w:tcW w:w="1984" w:type="dxa"/>
            <w:hideMark/>
          </w:tcPr>
          <w:p w14:paraId="0C17DDAC" w14:textId="269D4E96" w:rsidR="00ED3A7E" w:rsidRPr="00AC5EC7" w:rsidRDefault="00C51083"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51083">
              <w:rPr>
                <w:rFonts w:asciiTheme="minorHAnsi" w:hAnsiTheme="minorHAnsi" w:cstheme="minorBidi"/>
                <w:sz w:val="18"/>
                <w:szCs w:val="18"/>
              </w:rPr>
              <w:t>Compare the expenses between patients initially evaluated via telehealth and those assessed in-person throughout the evaluation process.</w:t>
            </w:r>
          </w:p>
        </w:tc>
        <w:tc>
          <w:tcPr>
            <w:tcW w:w="1418" w:type="dxa"/>
            <w:hideMark/>
          </w:tcPr>
          <w:p w14:paraId="0A9FCBF5"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2F601985"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w:t>
            </w:r>
          </w:p>
        </w:tc>
        <w:tc>
          <w:tcPr>
            <w:tcW w:w="1275" w:type="dxa"/>
            <w:hideMark/>
          </w:tcPr>
          <w:p w14:paraId="14BFE0E8"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2023D2BD"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95867D1"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302</w:t>
            </w:r>
          </w:p>
        </w:tc>
        <w:tc>
          <w:tcPr>
            <w:tcW w:w="992" w:type="dxa"/>
            <w:hideMark/>
          </w:tcPr>
          <w:p w14:paraId="6F937784" w14:textId="124FECDA" w:rsidR="00ED3A7E" w:rsidRPr="00AC5EC7" w:rsidRDefault="00EF16BA"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075D04CF" w14:textId="5B460BB1" w:rsidR="00ED3A7E"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890CD6">
              <w:rPr>
                <w:rFonts w:asciiTheme="minorHAnsi" w:hAnsiTheme="minorHAnsi" w:cstheme="minorBidi"/>
                <w:sz w:val="18"/>
                <w:szCs w:val="18"/>
              </w:rPr>
              <w:t>Amid the rising prevalence of telemedicine applications, we share our encounter using telehealth for initial kidney transplant waitlist evaluations, showcasing reduced costs and time, potentially enhancing transplantation accessibility.</w:t>
            </w:r>
          </w:p>
        </w:tc>
      </w:tr>
      <w:tr w:rsidR="00800415" w:rsidRPr="00AC5EC7" w14:paraId="03A2DE76" w14:textId="77777777" w:rsidTr="26F64964">
        <w:trPr>
          <w:cnfStyle w:val="000000100000" w:firstRow="0" w:lastRow="0" w:firstColumn="0" w:lastColumn="0" w:oddVBand="0" w:evenVBand="0" w:oddHBand="1" w:evenHBand="0" w:firstRowFirstColumn="0" w:firstRowLastColumn="0" w:lastRowFirstColumn="0" w:lastRowLastColumn="0"/>
          <w:trHeight w:val="1640"/>
        </w:trPr>
        <w:tc>
          <w:tcPr>
            <w:cnfStyle w:val="001000000000" w:firstRow="0" w:lastRow="0" w:firstColumn="1" w:lastColumn="0" w:oddVBand="0" w:evenVBand="0" w:oddHBand="0" w:evenHBand="0" w:firstRowFirstColumn="0" w:firstRowLastColumn="0" w:lastRowFirstColumn="0" w:lastRowLastColumn="0"/>
            <w:tcW w:w="567" w:type="dxa"/>
            <w:noWrap/>
            <w:hideMark/>
          </w:tcPr>
          <w:p w14:paraId="661888BE"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15</w:t>
            </w:r>
          </w:p>
        </w:tc>
        <w:tc>
          <w:tcPr>
            <w:tcW w:w="993" w:type="dxa"/>
            <w:hideMark/>
          </w:tcPr>
          <w:p w14:paraId="5642D9BB"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Gomis-Pastor et al., 2023</w:t>
            </w:r>
          </w:p>
        </w:tc>
        <w:tc>
          <w:tcPr>
            <w:tcW w:w="1984" w:type="dxa"/>
            <w:hideMark/>
          </w:tcPr>
          <w:p w14:paraId="5DA7CCAC" w14:textId="579DC945" w:rsidR="00ED3A7E" w:rsidRPr="00AC5EC7" w:rsidRDefault="00E3073B" w:rsidP="00E3073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E3073B">
              <w:rPr>
                <w:rFonts w:asciiTheme="minorHAnsi" w:hAnsiTheme="minorHAnsi" w:cstheme="minorBidi"/>
                <w:sz w:val="18"/>
                <w:szCs w:val="18"/>
              </w:rPr>
              <w:t xml:space="preserve">Evaluating if </w:t>
            </w:r>
            <w:proofErr w:type="spellStart"/>
            <w:r w:rsidRPr="00E3073B">
              <w:rPr>
                <w:rFonts w:asciiTheme="minorHAnsi" w:hAnsiTheme="minorHAnsi" w:cstheme="minorBidi"/>
                <w:sz w:val="18"/>
                <w:szCs w:val="18"/>
              </w:rPr>
              <w:t>mHeart</w:t>
            </w:r>
            <w:proofErr w:type="spellEnd"/>
            <w:r w:rsidRPr="00E3073B">
              <w:rPr>
                <w:rFonts w:asciiTheme="minorHAnsi" w:hAnsiTheme="minorHAnsi" w:cstheme="minorBidi"/>
                <w:sz w:val="18"/>
                <w:szCs w:val="18"/>
              </w:rPr>
              <w:t xml:space="preserve"> lowers complication rates and healthcare resource utilization, considering its correlation with patient adherence.</w:t>
            </w:r>
          </w:p>
        </w:tc>
        <w:tc>
          <w:tcPr>
            <w:tcW w:w="1418" w:type="dxa"/>
            <w:hideMark/>
          </w:tcPr>
          <w:p w14:paraId="0963D85A"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566F9D75"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w:t>
            </w:r>
          </w:p>
        </w:tc>
        <w:tc>
          <w:tcPr>
            <w:tcW w:w="1275" w:type="dxa"/>
            <w:hideMark/>
          </w:tcPr>
          <w:p w14:paraId="12F86427"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5E26ED0E"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6611777"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134</w:t>
            </w:r>
          </w:p>
        </w:tc>
        <w:tc>
          <w:tcPr>
            <w:tcW w:w="992" w:type="dxa"/>
            <w:hideMark/>
          </w:tcPr>
          <w:p w14:paraId="25CE00DB" w14:textId="77777777" w:rsidR="00ED3A7E" w:rsidRPr="00AC5EC7" w:rsidRDefault="00ED3A7E" w:rsidP="00ED3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Spain</w:t>
            </w:r>
          </w:p>
        </w:tc>
        <w:tc>
          <w:tcPr>
            <w:tcW w:w="4395" w:type="dxa"/>
            <w:hideMark/>
          </w:tcPr>
          <w:p w14:paraId="6B03961E" w14:textId="22649759" w:rsidR="00ED3A7E" w:rsidRPr="00AC5EC7" w:rsidRDefault="006156D3" w:rsidP="26F6496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6156D3">
              <w:rPr>
                <w:rFonts w:asciiTheme="minorHAnsi" w:hAnsiTheme="minorHAnsi" w:cstheme="minorBidi"/>
                <w:sz w:val="18"/>
                <w:szCs w:val="18"/>
              </w:rPr>
              <w:t xml:space="preserve">The </w:t>
            </w:r>
            <w:proofErr w:type="spellStart"/>
            <w:r w:rsidRPr="006156D3">
              <w:rPr>
                <w:rFonts w:asciiTheme="minorHAnsi" w:hAnsiTheme="minorHAnsi" w:cstheme="minorBidi"/>
                <w:sz w:val="18"/>
                <w:szCs w:val="18"/>
              </w:rPr>
              <w:t>mHeart</w:t>
            </w:r>
            <w:proofErr w:type="spellEnd"/>
            <w:r w:rsidRPr="006156D3">
              <w:rPr>
                <w:rFonts w:asciiTheme="minorHAnsi" w:hAnsiTheme="minorHAnsi" w:cstheme="minorBidi"/>
                <w:sz w:val="18"/>
                <w:szCs w:val="18"/>
              </w:rPr>
              <w:t xml:space="preserve"> approach notably decreased post-transplant complications and medical attention requirements in </w:t>
            </w:r>
            <w:proofErr w:type="spellStart"/>
            <w:r w:rsidRPr="006156D3">
              <w:rPr>
                <w:rFonts w:asciiTheme="minorHAnsi" w:hAnsiTheme="minorHAnsi" w:cstheme="minorBidi"/>
                <w:sz w:val="18"/>
                <w:szCs w:val="18"/>
              </w:rPr>
              <w:t>HTx</w:t>
            </w:r>
            <w:proofErr w:type="spellEnd"/>
            <w:r w:rsidRPr="006156D3">
              <w:rPr>
                <w:rFonts w:asciiTheme="minorHAnsi" w:hAnsiTheme="minorHAnsi" w:cstheme="minorBidi"/>
                <w:sz w:val="18"/>
                <w:szCs w:val="18"/>
              </w:rPr>
              <w:t xml:space="preserve"> recipients. Adherence status </w:t>
            </w:r>
            <w:r w:rsidR="00355716" w:rsidRPr="006156D3">
              <w:rPr>
                <w:rFonts w:asciiTheme="minorHAnsi" w:hAnsiTheme="minorHAnsi" w:cstheme="minorBidi"/>
                <w:sz w:val="18"/>
                <w:szCs w:val="18"/>
              </w:rPr>
              <w:t>influence</w:t>
            </w:r>
            <w:r w:rsidR="00355716">
              <w:rPr>
                <w:rFonts w:asciiTheme="minorHAnsi" w:hAnsiTheme="minorHAnsi" w:cstheme="minorBidi"/>
                <w:sz w:val="18"/>
                <w:szCs w:val="18"/>
              </w:rPr>
              <w:t>s</w:t>
            </w:r>
            <w:r w:rsidR="00355716" w:rsidRPr="006156D3">
              <w:rPr>
                <w:rFonts w:asciiTheme="minorHAnsi" w:hAnsiTheme="minorHAnsi" w:cstheme="minorBidi"/>
                <w:sz w:val="18"/>
                <w:szCs w:val="18"/>
              </w:rPr>
              <w:t xml:space="preserve"> </w:t>
            </w:r>
            <w:r w:rsidRPr="006156D3">
              <w:rPr>
                <w:rFonts w:asciiTheme="minorHAnsi" w:hAnsiTheme="minorHAnsi" w:cstheme="minorBidi"/>
                <w:sz w:val="18"/>
                <w:szCs w:val="18"/>
              </w:rPr>
              <w:t>the need for medical care.</w:t>
            </w:r>
          </w:p>
        </w:tc>
      </w:tr>
      <w:tr w:rsidR="00800415" w:rsidRPr="00AC5EC7" w14:paraId="691A6B4A" w14:textId="77777777" w:rsidTr="26F64964">
        <w:trPr>
          <w:trHeight w:val="19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A3CF504" w14:textId="77777777" w:rsidR="00ED3A7E" w:rsidRPr="00AC5EC7" w:rsidRDefault="00ED3A7E" w:rsidP="00ED3A7E">
            <w:pPr>
              <w:rPr>
                <w:rFonts w:asciiTheme="minorHAnsi" w:hAnsiTheme="minorHAnsi" w:cstheme="minorHAnsi"/>
                <w:sz w:val="18"/>
                <w:szCs w:val="18"/>
              </w:rPr>
            </w:pPr>
            <w:r w:rsidRPr="00AC5EC7">
              <w:rPr>
                <w:rFonts w:asciiTheme="minorHAnsi" w:hAnsiTheme="minorHAnsi" w:cstheme="minorHAnsi"/>
                <w:sz w:val="18"/>
                <w:szCs w:val="18"/>
              </w:rPr>
              <w:t>16</w:t>
            </w:r>
          </w:p>
        </w:tc>
        <w:tc>
          <w:tcPr>
            <w:tcW w:w="993" w:type="dxa"/>
            <w:hideMark/>
          </w:tcPr>
          <w:p w14:paraId="2F904B02"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Gomis-Pastor et al., 2021)</w:t>
            </w:r>
          </w:p>
        </w:tc>
        <w:tc>
          <w:tcPr>
            <w:tcW w:w="1984" w:type="dxa"/>
            <w:hideMark/>
          </w:tcPr>
          <w:p w14:paraId="4D9A5A2D" w14:textId="080EFD9D" w:rsidR="00ED3A7E" w:rsidRPr="00AC5EC7" w:rsidRDefault="003D1BE2" w:rsidP="003D1BE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3D1BE2">
              <w:rPr>
                <w:rFonts w:asciiTheme="minorHAnsi" w:hAnsiTheme="minorHAnsi" w:cstheme="minorBidi"/>
                <w:sz w:val="18"/>
                <w:szCs w:val="18"/>
              </w:rPr>
              <w:t>Assess if a mHealth approach outperforms standard care in enhancing adherence and patients’ experiences among heart transplant recipients.</w:t>
            </w:r>
          </w:p>
        </w:tc>
        <w:tc>
          <w:tcPr>
            <w:tcW w:w="1418" w:type="dxa"/>
            <w:hideMark/>
          </w:tcPr>
          <w:p w14:paraId="35825102"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and Qualitative</w:t>
            </w:r>
          </w:p>
        </w:tc>
        <w:tc>
          <w:tcPr>
            <w:tcW w:w="1134" w:type="dxa"/>
            <w:hideMark/>
          </w:tcPr>
          <w:p w14:paraId="636A7957"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w:t>
            </w:r>
          </w:p>
        </w:tc>
        <w:tc>
          <w:tcPr>
            <w:tcW w:w="1275" w:type="dxa"/>
            <w:hideMark/>
          </w:tcPr>
          <w:p w14:paraId="06BDE09E"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3D5EB0FD"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4B8BE76"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134</w:t>
            </w:r>
          </w:p>
        </w:tc>
        <w:tc>
          <w:tcPr>
            <w:tcW w:w="992" w:type="dxa"/>
            <w:hideMark/>
          </w:tcPr>
          <w:p w14:paraId="6E6FABED" w14:textId="77777777" w:rsidR="00ED3A7E" w:rsidRPr="00AC5EC7" w:rsidRDefault="00ED3A7E" w:rsidP="00ED3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Spain</w:t>
            </w:r>
          </w:p>
        </w:tc>
        <w:tc>
          <w:tcPr>
            <w:tcW w:w="4395" w:type="dxa"/>
            <w:hideMark/>
          </w:tcPr>
          <w:p w14:paraId="4D239510" w14:textId="546B02DF" w:rsidR="00ED3A7E" w:rsidRPr="00AC5EC7" w:rsidRDefault="00A645E4" w:rsidP="26F6496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645E4">
              <w:rPr>
                <w:rFonts w:asciiTheme="minorHAnsi" w:hAnsiTheme="minorHAnsi" w:cstheme="minorBidi"/>
                <w:sz w:val="18"/>
                <w:szCs w:val="18"/>
              </w:rPr>
              <w:t xml:space="preserve">Our study found that the mHealth approach notably enhanced medication adherence and patient confidence in their medication routines among </w:t>
            </w:r>
            <w:proofErr w:type="spellStart"/>
            <w:r w:rsidRPr="00A645E4">
              <w:rPr>
                <w:rFonts w:asciiTheme="minorHAnsi" w:hAnsiTheme="minorHAnsi" w:cstheme="minorBidi"/>
                <w:sz w:val="18"/>
                <w:szCs w:val="18"/>
              </w:rPr>
              <w:t>HTx</w:t>
            </w:r>
            <w:proofErr w:type="spellEnd"/>
            <w:r w:rsidRPr="00A645E4">
              <w:rPr>
                <w:rFonts w:asciiTheme="minorHAnsi" w:hAnsiTheme="minorHAnsi" w:cstheme="minorBidi"/>
                <w:sz w:val="18"/>
                <w:szCs w:val="18"/>
              </w:rPr>
              <w:t xml:space="preserve"> recipients. The </w:t>
            </w:r>
            <w:proofErr w:type="spellStart"/>
            <w:r w:rsidRPr="00A645E4">
              <w:rPr>
                <w:rFonts w:asciiTheme="minorHAnsi" w:hAnsiTheme="minorHAnsi" w:cstheme="minorBidi"/>
                <w:sz w:val="18"/>
                <w:szCs w:val="18"/>
              </w:rPr>
              <w:t>mHeart</w:t>
            </w:r>
            <w:proofErr w:type="spellEnd"/>
            <w:r w:rsidRPr="00A645E4">
              <w:rPr>
                <w:rFonts w:asciiTheme="minorHAnsi" w:hAnsiTheme="minorHAnsi" w:cstheme="minorBidi"/>
                <w:sz w:val="18"/>
                <w:szCs w:val="18"/>
              </w:rPr>
              <w:t xml:space="preserve"> mobile app proved to be a viable tool for delivering personalized, long-term interventions to improve assessed objectives in this population.</w:t>
            </w:r>
          </w:p>
        </w:tc>
      </w:tr>
      <w:tr w:rsidR="00890CD6" w:rsidRPr="00AC5EC7" w14:paraId="67BD2429" w14:textId="77777777" w:rsidTr="26F64964">
        <w:trPr>
          <w:cnfStyle w:val="000000100000" w:firstRow="0" w:lastRow="0" w:firstColumn="0" w:lastColumn="0" w:oddVBand="0" w:evenVBand="0" w:oddHBand="1" w:evenHBand="0" w:firstRowFirstColumn="0" w:firstRowLastColumn="0" w:lastRowFirstColumn="0" w:lastRowLastColumn="0"/>
          <w:trHeight w:val="1960"/>
        </w:trPr>
        <w:tc>
          <w:tcPr>
            <w:cnfStyle w:val="001000000000" w:firstRow="0" w:lastRow="0" w:firstColumn="1" w:lastColumn="0" w:oddVBand="0" w:evenVBand="0" w:oddHBand="0" w:evenHBand="0" w:firstRowFirstColumn="0" w:firstRowLastColumn="0" w:lastRowFirstColumn="0" w:lastRowLastColumn="0"/>
            <w:tcW w:w="567" w:type="dxa"/>
            <w:noWrap/>
          </w:tcPr>
          <w:p w14:paraId="597EFB4E" w14:textId="4D0FA9DB"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lastRenderedPageBreak/>
              <w:t>1</w:t>
            </w:r>
            <w:r>
              <w:rPr>
                <w:rFonts w:asciiTheme="minorHAnsi" w:hAnsiTheme="minorHAnsi" w:cstheme="minorHAnsi"/>
                <w:sz w:val="18"/>
                <w:szCs w:val="18"/>
              </w:rPr>
              <w:t>7</w:t>
            </w:r>
          </w:p>
        </w:tc>
        <w:tc>
          <w:tcPr>
            <w:tcW w:w="993" w:type="dxa"/>
          </w:tcPr>
          <w:p w14:paraId="777BC516" w14:textId="39ACE022"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Gomis-Pastor et al., 2020</w:t>
            </w:r>
          </w:p>
        </w:tc>
        <w:tc>
          <w:tcPr>
            <w:tcW w:w="1984" w:type="dxa"/>
          </w:tcPr>
          <w:p w14:paraId="6244D074" w14:textId="42242010" w:rsidR="00890CD6" w:rsidRPr="00AC5EC7" w:rsidRDefault="007C6CEF"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7C6CEF">
              <w:rPr>
                <w:rFonts w:asciiTheme="minorHAnsi" w:hAnsiTheme="minorHAnsi" w:cstheme="minorBidi"/>
                <w:sz w:val="18"/>
                <w:szCs w:val="18"/>
              </w:rPr>
              <w:t xml:space="preserve">Detail the execution of the </w:t>
            </w:r>
            <w:proofErr w:type="spellStart"/>
            <w:r w:rsidRPr="007C6CEF">
              <w:rPr>
                <w:rFonts w:asciiTheme="minorHAnsi" w:hAnsiTheme="minorHAnsi" w:cstheme="minorBidi"/>
                <w:sz w:val="18"/>
                <w:szCs w:val="18"/>
              </w:rPr>
              <w:t>mHeart</w:t>
            </w:r>
            <w:proofErr w:type="spellEnd"/>
            <w:r w:rsidRPr="007C6CEF">
              <w:rPr>
                <w:rFonts w:asciiTheme="minorHAnsi" w:hAnsiTheme="minorHAnsi" w:cstheme="minorBidi"/>
                <w:sz w:val="18"/>
                <w:szCs w:val="18"/>
              </w:rPr>
              <w:t xml:space="preserve"> model and highlight key facilitators in designing a mHealth approach.</w:t>
            </w:r>
          </w:p>
        </w:tc>
        <w:tc>
          <w:tcPr>
            <w:tcW w:w="1418" w:type="dxa"/>
          </w:tcPr>
          <w:p w14:paraId="04FDEEE6" w14:textId="2636413D"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Mixed methods</w:t>
            </w:r>
          </w:p>
        </w:tc>
        <w:tc>
          <w:tcPr>
            <w:tcW w:w="1134" w:type="dxa"/>
          </w:tcPr>
          <w:p w14:paraId="1CC2B198" w14:textId="0A7194EF"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w:t>
            </w:r>
          </w:p>
        </w:tc>
        <w:tc>
          <w:tcPr>
            <w:tcW w:w="1275" w:type="dxa"/>
          </w:tcPr>
          <w:p w14:paraId="7423C4FF" w14:textId="426B4B26"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tcPr>
          <w:p w14:paraId="1B494DFF" w14:textId="292EBEBB"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tcPr>
          <w:p w14:paraId="6641DD91" w14:textId="0157E22E"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135</w:t>
            </w:r>
          </w:p>
        </w:tc>
        <w:tc>
          <w:tcPr>
            <w:tcW w:w="992" w:type="dxa"/>
          </w:tcPr>
          <w:p w14:paraId="07DDEAC8" w14:textId="238CB4D0"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Spain</w:t>
            </w:r>
          </w:p>
        </w:tc>
        <w:tc>
          <w:tcPr>
            <w:tcW w:w="4395" w:type="dxa"/>
          </w:tcPr>
          <w:p w14:paraId="6784ABBB" w14:textId="08350621" w:rsidR="00890CD6" w:rsidRPr="00AC5EC7" w:rsidRDefault="00F91282"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F91282">
              <w:rPr>
                <w:rFonts w:asciiTheme="minorHAnsi" w:hAnsiTheme="minorHAnsi" w:cstheme="minorBidi"/>
                <w:sz w:val="18"/>
                <w:szCs w:val="18"/>
              </w:rPr>
              <w:t xml:space="preserve">The versatile </w:t>
            </w:r>
            <w:proofErr w:type="spellStart"/>
            <w:r w:rsidRPr="00F91282">
              <w:rPr>
                <w:rFonts w:asciiTheme="minorHAnsi" w:hAnsiTheme="minorHAnsi" w:cstheme="minorBidi"/>
                <w:sz w:val="18"/>
                <w:szCs w:val="18"/>
              </w:rPr>
              <w:t>mHeart</w:t>
            </w:r>
            <w:proofErr w:type="spellEnd"/>
            <w:r w:rsidRPr="00F91282">
              <w:rPr>
                <w:rFonts w:asciiTheme="minorHAnsi" w:hAnsiTheme="minorHAnsi" w:cstheme="minorBidi"/>
                <w:sz w:val="18"/>
                <w:szCs w:val="18"/>
              </w:rPr>
              <w:t xml:space="preserve"> model can be adapted to various clinical and research settings, encouraging cardiology health providers to devise innovative approaches for managing complex treatments and multiple health issues within healthcare systems. Both professionals and patients show readiness to embrace such innovative mHealth programs. The highlighted facilitators and strategies were crucial for successfully implementing this new holistic, theory-based mHealth strategy.</w:t>
            </w:r>
          </w:p>
        </w:tc>
      </w:tr>
      <w:tr w:rsidR="00890CD6" w:rsidRPr="00AC5EC7" w14:paraId="40715B8A" w14:textId="77777777" w:rsidTr="26F64964">
        <w:trPr>
          <w:trHeight w:val="22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3592E5FA" w14:textId="6BAFB902"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1</w:t>
            </w:r>
            <w:r>
              <w:rPr>
                <w:rFonts w:asciiTheme="minorHAnsi" w:hAnsiTheme="minorHAnsi" w:cstheme="minorHAnsi"/>
                <w:sz w:val="18"/>
                <w:szCs w:val="18"/>
              </w:rPr>
              <w:t>8</w:t>
            </w:r>
          </w:p>
        </w:tc>
        <w:tc>
          <w:tcPr>
            <w:tcW w:w="993" w:type="dxa"/>
            <w:hideMark/>
          </w:tcPr>
          <w:p w14:paraId="5F8D7778"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Gonzales et al., 2022</w:t>
            </w:r>
          </w:p>
        </w:tc>
        <w:tc>
          <w:tcPr>
            <w:tcW w:w="1984" w:type="dxa"/>
            <w:hideMark/>
          </w:tcPr>
          <w:p w14:paraId="512D13A7" w14:textId="66BBB890" w:rsidR="00890CD6" w:rsidRPr="00AC5EC7" w:rsidRDefault="009C401F"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9C401F">
              <w:rPr>
                <w:rFonts w:asciiTheme="minorHAnsi" w:hAnsiTheme="minorHAnsi" w:cstheme="minorBidi"/>
                <w:sz w:val="18"/>
                <w:szCs w:val="18"/>
              </w:rPr>
              <w:t>Outline the occurrence and nature of interventions in a pharmacist-led, mobile health-based approach for KTX recipients, and its effect on patient risk levels.</w:t>
            </w:r>
          </w:p>
        </w:tc>
        <w:tc>
          <w:tcPr>
            <w:tcW w:w="1418" w:type="dxa"/>
            <w:hideMark/>
          </w:tcPr>
          <w:p w14:paraId="4957DE6F"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4AFD3053"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6E33BE7C"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521F8F2F"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w:t>
            </w:r>
          </w:p>
        </w:tc>
        <w:tc>
          <w:tcPr>
            <w:tcW w:w="1134" w:type="dxa"/>
            <w:hideMark/>
          </w:tcPr>
          <w:p w14:paraId="1FC4ECBF"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68</w:t>
            </w:r>
          </w:p>
        </w:tc>
        <w:tc>
          <w:tcPr>
            <w:tcW w:w="992" w:type="dxa"/>
            <w:hideMark/>
          </w:tcPr>
          <w:p w14:paraId="60BB19BA"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04D6D335" w14:textId="269F126A" w:rsidR="00890CD6" w:rsidRPr="00AC5EC7" w:rsidRDefault="00A51997" w:rsidP="00A5199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51997">
              <w:rPr>
                <w:rFonts w:asciiTheme="minorHAnsi" w:hAnsiTheme="minorHAnsi" w:cstheme="minorBidi"/>
                <w:sz w:val="18"/>
                <w:szCs w:val="18"/>
              </w:rPr>
              <w:t>A pharmacist-led mHealth intervention could increase chances for diverse interventions and lower risk levels in KTX recipients.</w:t>
            </w:r>
          </w:p>
        </w:tc>
      </w:tr>
      <w:tr w:rsidR="004D3165" w:rsidRPr="00AC5EC7" w14:paraId="4F776D0C" w14:textId="77777777" w:rsidTr="26F64964">
        <w:trPr>
          <w:cnfStyle w:val="000000100000" w:firstRow="0" w:lastRow="0" w:firstColumn="0" w:lastColumn="0" w:oddVBand="0" w:evenVBand="0" w:oddHBand="1" w:evenHBand="0" w:firstRowFirstColumn="0" w:firstRowLastColumn="0" w:lastRowFirstColumn="0" w:lastRowLastColumn="0"/>
          <w:trHeight w:val="25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78C1EC28" w14:textId="77777777"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19</w:t>
            </w:r>
          </w:p>
        </w:tc>
        <w:tc>
          <w:tcPr>
            <w:tcW w:w="993" w:type="dxa"/>
            <w:hideMark/>
          </w:tcPr>
          <w:p w14:paraId="428DADEC"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Gunn et al., 2021</w:t>
            </w:r>
          </w:p>
        </w:tc>
        <w:tc>
          <w:tcPr>
            <w:tcW w:w="1984" w:type="dxa"/>
            <w:hideMark/>
          </w:tcPr>
          <w:p w14:paraId="50560615" w14:textId="2B87DE5A" w:rsidR="00890CD6" w:rsidRPr="00AC5EC7" w:rsidRDefault="008D7879"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8D7879">
              <w:rPr>
                <w:rFonts w:asciiTheme="minorHAnsi" w:hAnsiTheme="minorHAnsi" w:cstheme="minorBidi"/>
                <w:sz w:val="18"/>
                <w:szCs w:val="18"/>
              </w:rPr>
              <w:t>Uncover the social, emotional, psychological, spiritual, informational, and practical challenges faced by organ transplant recipients and their caregivers in regional areas, and explore ways to enhance support services for this demographic.</w:t>
            </w:r>
          </w:p>
        </w:tc>
        <w:tc>
          <w:tcPr>
            <w:tcW w:w="1418" w:type="dxa"/>
            <w:hideMark/>
          </w:tcPr>
          <w:p w14:paraId="0F343B2F"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61CF2E99"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 Lung, Kidney, Heart</w:t>
            </w:r>
          </w:p>
        </w:tc>
        <w:tc>
          <w:tcPr>
            <w:tcW w:w="1275" w:type="dxa"/>
            <w:hideMark/>
          </w:tcPr>
          <w:p w14:paraId="643B8A15"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5B2D340C"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032AA31"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22</w:t>
            </w:r>
          </w:p>
        </w:tc>
        <w:tc>
          <w:tcPr>
            <w:tcW w:w="992" w:type="dxa"/>
            <w:hideMark/>
          </w:tcPr>
          <w:p w14:paraId="62B800FA"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Australia</w:t>
            </w:r>
          </w:p>
        </w:tc>
        <w:tc>
          <w:tcPr>
            <w:tcW w:w="4395" w:type="dxa"/>
            <w:hideMark/>
          </w:tcPr>
          <w:p w14:paraId="480A554E" w14:textId="1F91BD0F" w:rsidR="00890CD6" w:rsidRPr="00AC5EC7" w:rsidRDefault="00214EAD"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214EAD">
              <w:rPr>
                <w:rFonts w:asciiTheme="minorHAnsi" w:hAnsiTheme="minorHAnsi" w:cstheme="minorBidi"/>
                <w:sz w:val="18"/>
                <w:szCs w:val="18"/>
              </w:rPr>
              <w:t>Inventive approaches are needed to provide specialized transplant information and psychosocial support to rural transplant recipients, their caregivers, employers, and local health professionals. These strategies, delivered through telehealth, phone, social media, or websites, should be tailored based on preferences and the extent of required support.</w:t>
            </w:r>
          </w:p>
        </w:tc>
      </w:tr>
      <w:tr w:rsidR="00890CD6" w:rsidRPr="00AC5EC7" w14:paraId="7167A092" w14:textId="77777777" w:rsidTr="00A0184D">
        <w:trPr>
          <w:trHeight w:val="1549"/>
        </w:trPr>
        <w:tc>
          <w:tcPr>
            <w:cnfStyle w:val="001000000000" w:firstRow="0" w:lastRow="0" w:firstColumn="1" w:lastColumn="0" w:oddVBand="0" w:evenVBand="0" w:oddHBand="0" w:evenHBand="0" w:firstRowFirstColumn="0" w:firstRowLastColumn="0" w:lastRowFirstColumn="0" w:lastRowLastColumn="0"/>
            <w:tcW w:w="567" w:type="dxa"/>
            <w:noWrap/>
            <w:hideMark/>
          </w:tcPr>
          <w:p w14:paraId="339F4BCA" w14:textId="77777777"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lastRenderedPageBreak/>
              <w:t>20</w:t>
            </w:r>
          </w:p>
        </w:tc>
        <w:tc>
          <w:tcPr>
            <w:tcW w:w="993" w:type="dxa"/>
            <w:hideMark/>
          </w:tcPr>
          <w:p w14:paraId="012B437A"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Handler et al., 2023</w:t>
            </w:r>
          </w:p>
        </w:tc>
        <w:tc>
          <w:tcPr>
            <w:tcW w:w="1984" w:type="dxa"/>
            <w:hideMark/>
          </w:tcPr>
          <w:p w14:paraId="73C8508C" w14:textId="46ED2B03" w:rsidR="00890CD6" w:rsidRPr="00AC5EC7" w:rsidRDefault="00510DE9"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510DE9">
              <w:rPr>
                <w:rFonts w:asciiTheme="minorHAnsi" w:hAnsiTheme="minorHAnsi" w:cstheme="minorBidi"/>
                <w:sz w:val="18"/>
                <w:szCs w:val="18"/>
              </w:rPr>
              <w:t>Examine healthcare providers' views on the characteristics of digital health interventions.</w:t>
            </w:r>
          </w:p>
        </w:tc>
        <w:tc>
          <w:tcPr>
            <w:tcW w:w="1418" w:type="dxa"/>
            <w:hideMark/>
          </w:tcPr>
          <w:p w14:paraId="66C6F1A9"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 thematic analysis</w:t>
            </w:r>
          </w:p>
        </w:tc>
        <w:tc>
          <w:tcPr>
            <w:tcW w:w="1134" w:type="dxa"/>
            <w:hideMark/>
          </w:tcPr>
          <w:p w14:paraId="7931CDDD"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w:t>
            </w:r>
          </w:p>
        </w:tc>
        <w:tc>
          <w:tcPr>
            <w:tcW w:w="1275" w:type="dxa"/>
            <w:hideMark/>
          </w:tcPr>
          <w:p w14:paraId="06B37F97"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(Digital Health Program)</w:t>
            </w:r>
          </w:p>
        </w:tc>
        <w:tc>
          <w:tcPr>
            <w:tcW w:w="1276" w:type="dxa"/>
            <w:hideMark/>
          </w:tcPr>
          <w:p w14:paraId="2F327157"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Providers</w:t>
            </w:r>
          </w:p>
        </w:tc>
        <w:tc>
          <w:tcPr>
            <w:tcW w:w="1134" w:type="dxa"/>
            <w:hideMark/>
          </w:tcPr>
          <w:p w14:paraId="3D32D3E6"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13</w:t>
            </w:r>
          </w:p>
        </w:tc>
        <w:tc>
          <w:tcPr>
            <w:tcW w:w="992" w:type="dxa"/>
            <w:hideMark/>
          </w:tcPr>
          <w:p w14:paraId="61F7E85B"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Canada</w:t>
            </w:r>
          </w:p>
        </w:tc>
        <w:tc>
          <w:tcPr>
            <w:tcW w:w="4395" w:type="dxa"/>
            <w:hideMark/>
          </w:tcPr>
          <w:p w14:paraId="7E99E809" w14:textId="7EEEF035" w:rsidR="00890CD6" w:rsidRPr="00AC5EC7" w:rsidRDefault="00A0184D" w:rsidP="00A0184D">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0184D">
              <w:rPr>
                <w:rFonts w:asciiTheme="minorHAnsi" w:hAnsiTheme="minorHAnsi" w:cstheme="minorBidi"/>
                <w:sz w:val="18"/>
                <w:szCs w:val="18"/>
              </w:rPr>
              <w:t xml:space="preserve">Providers saw digital health interventions as a potential complement to current physical activity </w:t>
            </w:r>
            <w:r w:rsidR="002F02C0" w:rsidRPr="00A0184D">
              <w:rPr>
                <w:rFonts w:asciiTheme="minorHAnsi" w:hAnsiTheme="minorHAnsi" w:cstheme="minorBidi"/>
                <w:sz w:val="18"/>
                <w:szCs w:val="18"/>
              </w:rPr>
              <w:t>counselling</w:t>
            </w:r>
            <w:r w:rsidRPr="00A0184D">
              <w:rPr>
                <w:rFonts w:asciiTheme="minorHAnsi" w:hAnsiTheme="minorHAnsi" w:cstheme="minorBidi"/>
                <w:sz w:val="18"/>
                <w:szCs w:val="18"/>
              </w:rPr>
              <w:t>, forming an innovative strategy to tackle identified barriers in solid organ transplant recipients' participation in physical activity.</w:t>
            </w:r>
          </w:p>
        </w:tc>
      </w:tr>
      <w:tr w:rsidR="004D3165" w:rsidRPr="00AC5EC7" w14:paraId="756E5467" w14:textId="77777777" w:rsidTr="006535DF">
        <w:trPr>
          <w:cnfStyle w:val="000000100000" w:firstRow="0" w:lastRow="0" w:firstColumn="0" w:lastColumn="0" w:oddVBand="0" w:evenVBand="0" w:oddHBand="1" w:evenHBand="0" w:firstRowFirstColumn="0" w:firstRowLastColumn="0" w:lastRowFirstColumn="0" w:lastRowLastColumn="0"/>
          <w:trHeight w:val="2675"/>
        </w:trPr>
        <w:tc>
          <w:tcPr>
            <w:cnfStyle w:val="001000000000" w:firstRow="0" w:lastRow="0" w:firstColumn="1" w:lastColumn="0" w:oddVBand="0" w:evenVBand="0" w:oddHBand="0" w:evenHBand="0" w:firstRowFirstColumn="0" w:firstRowLastColumn="0" w:lastRowFirstColumn="0" w:lastRowLastColumn="0"/>
            <w:tcW w:w="567" w:type="dxa"/>
            <w:noWrap/>
            <w:hideMark/>
          </w:tcPr>
          <w:p w14:paraId="2F87F242" w14:textId="77777777"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21</w:t>
            </w:r>
          </w:p>
        </w:tc>
        <w:tc>
          <w:tcPr>
            <w:tcW w:w="993" w:type="dxa"/>
            <w:hideMark/>
          </w:tcPr>
          <w:p w14:paraId="0D659324"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Hatzikiriakidis</w:t>
            </w:r>
            <w:proofErr w:type="spellEnd"/>
            <w:r w:rsidRPr="00AC5EC7">
              <w:rPr>
                <w:rFonts w:asciiTheme="minorHAnsi" w:hAnsiTheme="minorHAnsi" w:cstheme="minorBidi"/>
                <w:sz w:val="18"/>
                <w:szCs w:val="18"/>
              </w:rPr>
              <w:t xml:space="preserve"> et al., 2022</w:t>
            </w:r>
          </w:p>
        </w:tc>
        <w:tc>
          <w:tcPr>
            <w:tcW w:w="1984" w:type="dxa"/>
            <w:hideMark/>
          </w:tcPr>
          <w:p w14:paraId="0CCA724C" w14:textId="1A89D513" w:rsidR="00890CD6" w:rsidRPr="00AC5EC7" w:rsidRDefault="00282D2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282D26">
              <w:rPr>
                <w:rFonts w:asciiTheme="minorHAnsi" w:hAnsiTheme="minorHAnsi" w:cstheme="minorBidi" w:hint="eastAsia"/>
                <w:sz w:val="18"/>
                <w:szCs w:val="18"/>
              </w:rPr>
              <w:t>Investigate how the COVID</w:t>
            </w:r>
            <w:r w:rsidRPr="00282D26">
              <w:rPr>
                <w:rFonts w:asciiTheme="minorHAnsi" w:hAnsiTheme="minorHAnsi" w:cstheme="minorBidi" w:hint="eastAsia"/>
                <w:sz w:val="18"/>
                <w:szCs w:val="18"/>
              </w:rPr>
              <w:t>‐</w:t>
            </w:r>
            <w:r w:rsidRPr="00282D26">
              <w:rPr>
                <w:rFonts w:asciiTheme="minorHAnsi" w:hAnsiTheme="minorHAnsi" w:cstheme="minorBidi" w:hint="eastAsia"/>
                <w:sz w:val="18"/>
                <w:szCs w:val="18"/>
              </w:rPr>
              <w:t xml:space="preserve">19 pandemic affected the daily lives of young </w:t>
            </w:r>
            <w:proofErr w:type="spellStart"/>
            <w:r w:rsidRPr="00282D26">
              <w:rPr>
                <w:rFonts w:asciiTheme="minorHAnsi" w:hAnsiTheme="minorHAnsi" w:cstheme="minorBidi" w:hint="eastAsia"/>
                <w:sz w:val="18"/>
                <w:szCs w:val="18"/>
              </w:rPr>
              <w:t>LTx</w:t>
            </w:r>
            <w:proofErr w:type="spellEnd"/>
            <w:r w:rsidRPr="00282D26">
              <w:rPr>
                <w:rFonts w:asciiTheme="minorHAnsi" w:hAnsiTheme="minorHAnsi" w:cstheme="minorBidi" w:hint="eastAsia"/>
                <w:sz w:val="18"/>
                <w:szCs w:val="18"/>
              </w:rPr>
              <w:t xml:space="preserve"> recipients, examining the relationship between immunosuppression and the virus.</w:t>
            </w:r>
          </w:p>
        </w:tc>
        <w:tc>
          <w:tcPr>
            <w:tcW w:w="1418" w:type="dxa"/>
            <w:hideMark/>
          </w:tcPr>
          <w:p w14:paraId="4D8F7326"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134152B9"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Lung</w:t>
            </w:r>
          </w:p>
        </w:tc>
        <w:tc>
          <w:tcPr>
            <w:tcW w:w="1275" w:type="dxa"/>
            <w:hideMark/>
          </w:tcPr>
          <w:p w14:paraId="4C0F357C"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7E83AB50"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C50110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11</w:t>
            </w:r>
          </w:p>
        </w:tc>
        <w:tc>
          <w:tcPr>
            <w:tcW w:w="992" w:type="dxa"/>
            <w:hideMark/>
          </w:tcPr>
          <w:p w14:paraId="46AA01D9"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Australia</w:t>
            </w:r>
          </w:p>
        </w:tc>
        <w:tc>
          <w:tcPr>
            <w:tcW w:w="4395" w:type="dxa"/>
            <w:hideMark/>
          </w:tcPr>
          <w:p w14:paraId="0315C68A" w14:textId="1B7513FE" w:rsidR="00890CD6" w:rsidRPr="00AC5EC7" w:rsidRDefault="006535DF"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6535DF">
              <w:rPr>
                <w:rFonts w:asciiTheme="minorHAnsi" w:hAnsiTheme="minorHAnsi" w:cstheme="minorBidi"/>
                <w:sz w:val="18"/>
                <w:szCs w:val="18"/>
              </w:rPr>
              <w:t xml:space="preserve">Adolescent </w:t>
            </w:r>
            <w:proofErr w:type="spellStart"/>
            <w:r w:rsidRPr="006535DF">
              <w:rPr>
                <w:rFonts w:asciiTheme="minorHAnsi" w:hAnsiTheme="minorHAnsi" w:cstheme="minorBidi"/>
                <w:sz w:val="18"/>
                <w:szCs w:val="18"/>
              </w:rPr>
              <w:t>LTx</w:t>
            </w:r>
            <w:proofErr w:type="spellEnd"/>
            <w:r w:rsidRPr="006535DF">
              <w:rPr>
                <w:rFonts w:asciiTheme="minorHAnsi" w:hAnsiTheme="minorHAnsi" w:cstheme="minorBidi"/>
                <w:sz w:val="18"/>
                <w:szCs w:val="18"/>
              </w:rPr>
              <w:t xml:space="preserve"> recipients face poorer post-transplant outcomes than adults, leading to lower survival rates. Strategies informed by youth could enhance healthcare during public health crises, including: (1) Empowering youth in shaping their healthcare; (2) Tailoring care programs; (3) Implementing video-based telehealth when in-person care isn't available; (4) Offering in-person care for socially vulnerable youth lacking private, secure spaces for telehealth; (5) Utilizing technology to improve health literacy, care, and psychosocial support; and (6) Ensuring consistent clinicians to build trusting relationships.</w:t>
            </w:r>
          </w:p>
        </w:tc>
      </w:tr>
      <w:tr w:rsidR="00890CD6" w:rsidRPr="00AC5EC7" w14:paraId="59F1E6AD" w14:textId="77777777" w:rsidTr="26F64964">
        <w:trPr>
          <w:trHeight w:val="1975"/>
        </w:trPr>
        <w:tc>
          <w:tcPr>
            <w:cnfStyle w:val="001000000000" w:firstRow="0" w:lastRow="0" w:firstColumn="1" w:lastColumn="0" w:oddVBand="0" w:evenVBand="0" w:oddHBand="0" w:evenHBand="0" w:firstRowFirstColumn="0" w:firstRowLastColumn="0" w:lastRowFirstColumn="0" w:lastRowLastColumn="0"/>
            <w:tcW w:w="567" w:type="dxa"/>
            <w:noWrap/>
            <w:hideMark/>
          </w:tcPr>
          <w:p w14:paraId="24A8DD12" w14:textId="77777777"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22</w:t>
            </w:r>
          </w:p>
        </w:tc>
        <w:tc>
          <w:tcPr>
            <w:tcW w:w="993" w:type="dxa"/>
            <w:hideMark/>
          </w:tcPr>
          <w:p w14:paraId="7D35CA49"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Hensler et al., 2018</w:t>
            </w:r>
          </w:p>
        </w:tc>
        <w:tc>
          <w:tcPr>
            <w:tcW w:w="1984" w:type="dxa"/>
            <w:hideMark/>
          </w:tcPr>
          <w:p w14:paraId="139E4F0E" w14:textId="504C8F80" w:rsidR="00890CD6" w:rsidRPr="00AC5EC7" w:rsidRDefault="0077677D"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77677D">
              <w:rPr>
                <w:rFonts w:asciiTheme="minorHAnsi" w:hAnsiTheme="minorHAnsi" w:cstheme="minorBidi"/>
                <w:sz w:val="18"/>
                <w:szCs w:val="18"/>
              </w:rPr>
              <w:t>A pharmacist-led dose optimization program using Electronic Health Records (EHR) was created. A retrospective study was done to assess if there was a reduced occurrence of CMV infection and ganciclovir-resistant infections after the intervention.</w:t>
            </w:r>
          </w:p>
        </w:tc>
        <w:tc>
          <w:tcPr>
            <w:tcW w:w="1418" w:type="dxa"/>
            <w:hideMark/>
          </w:tcPr>
          <w:p w14:paraId="3B4B7B37"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Quantitative </w:t>
            </w:r>
          </w:p>
        </w:tc>
        <w:tc>
          <w:tcPr>
            <w:tcW w:w="1134" w:type="dxa"/>
            <w:hideMark/>
          </w:tcPr>
          <w:p w14:paraId="59C2D07C" w14:textId="21BB1C4D"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 liver</w:t>
            </w:r>
            <w:r w:rsidR="00355716">
              <w:rPr>
                <w:rFonts w:asciiTheme="minorHAnsi" w:hAnsiTheme="minorHAnsi" w:cstheme="minorHAnsi"/>
                <w:sz w:val="18"/>
                <w:szCs w:val="18"/>
              </w:rPr>
              <w:t>,</w:t>
            </w:r>
            <w:r w:rsidRPr="00AC5EC7">
              <w:rPr>
                <w:rFonts w:asciiTheme="minorHAnsi" w:hAnsiTheme="minorHAnsi" w:cstheme="minorHAnsi"/>
                <w:sz w:val="18"/>
                <w:szCs w:val="18"/>
              </w:rPr>
              <w:t xml:space="preserve"> and pancreas kidney</w:t>
            </w:r>
          </w:p>
        </w:tc>
        <w:tc>
          <w:tcPr>
            <w:tcW w:w="1275" w:type="dxa"/>
            <w:hideMark/>
          </w:tcPr>
          <w:p w14:paraId="21C50748"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(Electronic Health Record)</w:t>
            </w:r>
          </w:p>
        </w:tc>
        <w:tc>
          <w:tcPr>
            <w:tcW w:w="1276" w:type="dxa"/>
            <w:hideMark/>
          </w:tcPr>
          <w:p w14:paraId="1EB50DA8"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2D997DC"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566</w:t>
            </w:r>
          </w:p>
        </w:tc>
        <w:tc>
          <w:tcPr>
            <w:tcW w:w="992" w:type="dxa"/>
            <w:hideMark/>
          </w:tcPr>
          <w:p w14:paraId="10A3A4BF"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70F3F459" w14:textId="5D64476B" w:rsidR="00890CD6" w:rsidRPr="00AC5EC7" w:rsidRDefault="006A032E"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6A032E">
              <w:rPr>
                <w:rFonts w:asciiTheme="minorHAnsi" w:hAnsiTheme="minorHAnsi" w:cstheme="minorBidi"/>
                <w:sz w:val="18"/>
                <w:szCs w:val="18"/>
              </w:rPr>
              <w:t>A pharmacist-led valganciclovir dose optimization program using EHR was linked to decreased CMV infections.</w:t>
            </w:r>
          </w:p>
        </w:tc>
      </w:tr>
      <w:tr w:rsidR="004D3165" w:rsidRPr="00AC5EC7" w14:paraId="4F9DA18E" w14:textId="77777777" w:rsidTr="26F64964">
        <w:trPr>
          <w:cnfStyle w:val="000000100000" w:firstRow="0" w:lastRow="0" w:firstColumn="0" w:lastColumn="0" w:oddVBand="0" w:evenVBand="0" w:oddHBand="1" w:evenHBand="0" w:firstRowFirstColumn="0" w:firstRowLastColumn="0" w:lastRowFirstColumn="0" w:lastRowLastColumn="0"/>
          <w:trHeight w:val="966"/>
        </w:trPr>
        <w:tc>
          <w:tcPr>
            <w:cnfStyle w:val="001000000000" w:firstRow="0" w:lastRow="0" w:firstColumn="1" w:lastColumn="0" w:oddVBand="0" w:evenVBand="0" w:oddHBand="0" w:evenHBand="0" w:firstRowFirstColumn="0" w:firstRowLastColumn="0" w:lastRowFirstColumn="0" w:lastRowLastColumn="0"/>
            <w:tcW w:w="567" w:type="dxa"/>
            <w:noWrap/>
            <w:hideMark/>
          </w:tcPr>
          <w:p w14:paraId="302B6DB7" w14:textId="77777777"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23</w:t>
            </w:r>
          </w:p>
        </w:tc>
        <w:tc>
          <w:tcPr>
            <w:tcW w:w="993" w:type="dxa"/>
            <w:hideMark/>
          </w:tcPr>
          <w:p w14:paraId="0D1CCA6B"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Hickman et al., 2021</w:t>
            </w:r>
          </w:p>
        </w:tc>
        <w:tc>
          <w:tcPr>
            <w:tcW w:w="1984" w:type="dxa"/>
            <w:hideMark/>
          </w:tcPr>
          <w:p w14:paraId="248E228B" w14:textId="2DC792CB" w:rsidR="00890CD6" w:rsidRPr="00AC5EC7" w:rsidRDefault="00C416D1"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C416D1">
              <w:rPr>
                <w:rFonts w:asciiTheme="minorHAnsi" w:hAnsiTheme="minorHAnsi" w:cstheme="minorBidi"/>
                <w:sz w:val="18"/>
                <w:szCs w:val="18"/>
              </w:rPr>
              <w:t>Explored the viability of a 12-week telehealth lifestyle intervention for liver transplant recipients.</w:t>
            </w:r>
          </w:p>
        </w:tc>
        <w:tc>
          <w:tcPr>
            <w:tcW w:w="1418" w:type="dxa"/>
            <w:hideMark/>
          </w:tcPr>
          <w:p w14:paraId="7BD006C2"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76A03FA0"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7CB5E6C4"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6962E0F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15D5600"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7</w:t>
            </w:r>
          </w:p>
        </w:tc>
        <w:tc>
          <w:tcPr>
            <w:tcW w:w="992" w:type="dxa"/>
            <w:hideMark/>
          </w:tcPr>
          <w:p w14:paraId="44B8F18D"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Australia</w:t>
            </w:r>
          </w:p>
        </w:tc>
        <w:tc>
          <w:tcPr>
            <w:tcW w:w="4395" w:type="dxa"/>
            <w:hideMark/>
          </w:tcPr>
          <w:p w14:paraId="061786DE" w14:textId="4E4571E3" w:rsidR="00890CD6" w:rsidRPr="00AC5EC7" w:rsidRDefault="00121189"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121189">
              <w:rPr>
                <w:rFonts w:asciiTheme="minorHAnsi" w:hAnsiTheme="minorHAnsi" w:cstheme="minorBidi"/>
                <w:sz w:val="18"/>
                <w:szCs w:val="18"/>
              </w:rPr>
              <w:t>A telehealth-based cardio-protective lifestyle intervention is viable for liver transplant recipients and could enhance access to specialized care for supporting metabolic health post-transplant.</w:t>
            </w:r>
          </w:p>
        </w:tc>
      </w:tr>
      <w:tr w:rsidR="00890CD6" w:rsidRPr="00AC5EC7" w14:paraId="7BAA959E" w14:textId="77777777" w:rsidTr="26F64964">
        <w:trPr>
          <w:trHeight w:val="1831"/>
        </w:trPr>
        <w:tc>
          <w:tcPr>
            <w:cnfStyle w:val="001000000000" w:firstRow="0" w:lastRow="0" w:firstColumn="1" w:lastColumn="0" w:oddVBand="0" w:evenVBand="0" w:oddHBand="0" w:evenHBand="0" w:firstRowFirstColumn="0" w:firstRowLastColumn="0" w:lastRowFirstColumn="0" w:lastRowLastColumn="0"/>
            <w:tcW w:w="567" w:type="dxa"/>
            <w:noWrap/>
            <w:hideMark/>
          </w:tcPr>
          <w:p w14:paraId="6D4B932F" w14:textId="77777777"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lastRenderedPageBreak/>
              <w:t>24</w:t>
            </w:r>
          </w:p>
        </w:tc>
        <w:tc>
          <w:tcPr>
            <w:tcW w:w="993" w:type="dxa"/>
            <w:hideMark/>
          </w:tcPr>
          <w:p w14:paraId="075A60AC"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Holderried</w:t>
            </w:r>
            <w:proofErr w:type="spellEnd"/>
            <w:r w:rsidRPr="00AC5EC7">
              <w:rPr>
                <w:rFonts w:asciiTheme="minorHAnsi" w:hAnsiTheme="minorHAnsi" w:cstheme="minorBidi"/>
                <w:sz w:val="18"/>
                <w:szCs w:val="18"/>
              </w:rPr>
              <w:t xml:space="preserve"> et al., 2021</w:t>
            </w:r>
          </w:p>
        </w:tc>
        <w:tc>
          <w:tcPr>
            <w:tcW w:w="1984" w:type="dxa"/>
            <w:hideMark/>
          </w:tcPr>
          <w:p w14:paraId="313B5DDC" w14:textId="3D198E5B" w:rsidR="00890CD6" w:rsidRPr="00AC5EC7" w:rsidRDefault="00D90520" w:rsidP="00D9052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D90520">
              <w:rPr>
                <w:rFonts w:asciiTheme="minorHAnsi" w:hAnsiTheme="minorHAnsi" w:cstheme="minorBidi"/>
                <w:sz w:val="18"/>
                <w:szCs w:val="18"/>
              </w:rPr>
              <w:t>Assess the utilization and promise of contemporary ICT in solid organ transplan</w:t>
            </w:r>
            <w:r w:rsidR="005C6F82">
              <w:rPr>
                <w:rFonts w:asciiTheme="minorHAnsi" w:hAnsiTheme="minorHAnsi" w:cstheme="minorBidi"/>
                <w:sz w:val="18"/>
                <w:szCs w:val="18"/>
              </w:rPr>
              <w:t>t</w:t>
            </w:r>
            <w:r w:rsidRPr="00D90520">
              <w:rPr>
                <w:rFonts w:asciiTheme="minorHAnsi" w:hAnsiTheme="minorHAnsi" w:cstheme="minorBidi"/>
                <w:sz w:val="18"/>
                <w:szCs w:val="18"/>
              </w:rPr>
              <w:t xml:space="preserve"> recipients.</w:t>
            </w:r>
          </w:p>
        </w:tc>
        <w:tc>
          <w:tcPr>
            <w:tcW w:w="1418" w:type="dxa"/>
            <w:hideMark/>
          </w:tcPr>
          <w:p w14:paraId="4D8C7D50"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Quantitative - Questionnaire </w:t>
            </w:r>
          </w:p>
        </w:tc>
        <w:tc>
          <w:tcPr>
            <w:tcW w:w="1134" w:type="dxa"/>
            <w:hideMark/>
          </w:tcPr>
          <w:p w14:paraId="21B04F57" w14:textId="2F821EC3"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Solid organ transplants - Kidney, Liver, </w:t>
            </w:r>
            <w:r w:rsidR="002F02C0" w:rsidRPr="00AC5EC7">
              <w:rPr>
                <w:rFonts w:asciiTheme="minorHAnsi" w:hAnsiTheme="minorHAnsi" w:cstheme="minorHAnsi"/>
                <w:sz w:val="18"/>
                <w:szCs w:val="18"/>
              </w:rPr>
              <w:t>Pancreas</w:t>
            </w:r>
            <w:r w:rsidR="00736FCD">
              <w:rPr>
                <w:rFonts w:asciiTheme="minorHAnsi" w:hAnsiTheme="minorHAnsi" w:cstheme="minorHAnsi"/>
                <w:sz w:val="18"/>
                <w:szCs w:val="18"/>
              </w:rPr>
              <w:t>,</w:t>
            </w:r>
            <w:r w:rsidRPr="00AC5EC7">
              <w:rPr>
                <w:rFonts w:asciiTheme="minorHAnsi" w:hAnsiTheme="minorHAnsi" w:cstheme="minorHAnsi"/>
                <w:sz w:val="18"/>
                <w:szCs w:val="18"/>
              </w:rPr>
              <w:t xml:space="preserve"> or combined</w:t>
            </w:r>
          </w:p>
        </w:tc>
        <w:tc>
          <w:tcPr>
            <w:tcW w:w="1275" w:type="dxa"/>
            <w:hideMark/>
          </w:tcPr>
          <w:p w14:paraId="03E077F4"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Telemedicine</w:t>
            </w:r>
          </w:p>
        </w:tc>
        <w:tc>
          <w:tcPr>
            <w:tcW w:w="1276" w:type="dxa"/>
            <w:hideMark/>
          </w:tcPr>
          <w:p w14:paraId="556679B8"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w:t>
            </w:r>
          </w:p>
        </w:tc>
        <w:tc>
          <w:tcPr>
            <w:tcW w:w="1134" w:type="dxa"/>
            <w:hideMark/>
          </w:tcPr>
          <w:p w14:paraId="57587CE1"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234</w:t>
            </w:r>
          </w:p>
        </w:tc>
        <w:tc>
          <w:tcPr>
            <w:tcW w:w="992" w:type="dxa"/>
            <w:hideMark/>
          </w:tcPr>
          <w:p w14:paraId="78BBB94C"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Germany</w:t>
            </w:r>
          </w:p>
        </w:tc>
        <w:tc>
          <w:tcPr>
            <w:tcW w:w="4395" w:type="dxa"/>
            <w:hideMark/>
          </w:tcPr>
          <w:p w14:paraId="54C09896" w14:textId="0E97A817" w:rsidR="00890CD6" w:rsidRPr="00AC5EC7" w:rsidRDefault="00046543"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046543">
              <w:rPr>
                <w:rFonts w:asciiTheme="minorHAnsi" w:hAnsiTheme="minorHAnsi" w:cstheme="minorBidi"/>
                <w:sz w:val="18"/>
                <w:szCs w:val="18"/>
              </w:rPr>
              <w:t xml:space="preserve">Most SOT recipients widely embrace modern ICT for health purposes. Integrating eHealth more extensively has </w:t>
            </w:r>
            <w:r w:rsidR="00736FCD">
              <w:rPr>
                <w:rFonts w:asciiTheme="minorHAnsi" w:hAnsiTheme="minorHAnsi" w:cstheme="minorBidi"/>
                <w:sz w:val="18"/>
                <w:szCs w:val="18"/>
              </w:rPr>
              <w:t xml:space="preserve">the </w:t>
            </w:r>
            <w:r w:rsidRPr="00046543">
              <w:rPr>
                <w:rFonts w:asciiTheme="minorHAnsi" w:hAnsiTheme="minorHAnsi" w:cstheme="minorBidi"/>
                <w:sz w:val="18"/>
                <w:szCs w:val="18"/>
              </w:rPr>
              <w:t>potential to enhance comprehensive care, regardless of the transplanted organ. Successful implementation of eHealth technologies in cross-sectoral care will require research on online physician-patient communication, data security, safety, and the quality of care.</w:t>
            </w:r>
          </w:p>
        </w:tc>
      </w:tr>
      <w:tr w:rsidR="004D3165" w:rsidRPr="00AC5EC7" w14:paraId="6065C477" w14:textId="77777777" w:rsidTr="26F64964">
        <w:trPr>
          <w:cnfStyle w:val="000000100000" w:firstRow="0" w:lastRow="0" w:firstColumn="0" w:lastColumn="0" w:oddVBand="0" w:evenVBand="0" w:oddHBand="1" w:evenHBand="0" w:firstRowFirstColumn="0" w:firstRowLastColumn="0" w:lastRowFirstColumn="0" w:lastRowLastColumn="0"/>
          <w:trHeight w:val="1740"/>
        </w:trPr>
        <w:tc>
          <w:tcPr>
            <w:cnfStyle w:val="001000000000" w:firstRow="0" w:lastRow="0" w:firstColumn="1" w:lastColumn="0" w:oddVBand="0" w:evenVBand="0" w:oddHBand="0" w:evenHBand="0" w:firstRowFirstColumn="0" w:firstRowLastColumn="0" w:lastRowFirstColumn="0" w:lastRowLastColumn="0"/>
            <w:tcW w:w="567" w:type="dxa"/>
            <w:noWrap/>
            <w:hideMark/>
          </w:tcPr>
          <w:p w14:paraId="6B17BF0D" w14:textId="329EE729"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2</w:t>
            </w:r>
            <w:r w:rsidR="00A856E5">
              <w:rPr>
                <w:rFonts w:asciiTheme="minorHAnsi" w:hAnsiTheme="minorHAnsi" w:cstheme="minorHAnsi"/>
                <w:sz w:val="18"/>
                <w:szCs w:val="18"/>
              </w:rPr>
              <w:t>5</w:t>
            </w:r>
          </w:p>
        </w:tc>
        <w:tc>
          <w:tcPr>
            <w:tcW w:w="993" w:type="dxa"/>
            <w:hideMark/>
          </w:tcPr>
          <w:p w14:paraId="090950C2"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Huuskes</w:t>
            </w:r>
            <w:proofErr w:type="spellEnd"/>
            <w:r w:rsidRPr="00AC5EC7">
              <w:rPr>
                <w:rFonts w:asciiTheme="minorHAnsi" w:hAnsiTheme="minorHAnsi" w:cstheme="minorBidi"/>
                <w:sz w:val="18"/>
                <w:szCs w:val="18"/>
              </w:rPr>
              <w:t xml:space="preserve"> et al., 2021</w:t>
            </w:r>
          </w:p>
        </w:tc>
        <w:tc>
          <w:tcPr>
            <w:tcW w:w="1984" w:type="dxa"/>
            <w:hideMark/>
          </w:tcPr>
          <w:p w14:paraId="456BDFB1" w14:textId="523EF773" w:rsidR="00890CD6" w:rsidRPr="00AC5EC7" w:rsidRDefault="00D92A43"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D92A43">
              <w:rPr>
                <w:rFonts w:asciiTheme="minorHAnsi" w:hAnsiTheme="minorHAnsi" w:cstheme="minorBidi"/>
                <w:sz w:val="18"/>
                <w:szCs w:val="18"/>
              </w:rPr>
              <w:t>Detail kidney transplant recipients' views on telehealth advantages, obstacles, and potential risks.</w:t>
            </w:r>
          </w:p>
        </w:tc>
        <w:tc>
          <w:tcPr>
            <w:tcW w:w="1418" w:type="dxa"/>
            <w:hideMark/>
          </w:tcPr>
          <w:p w14:paraId="56717280"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and Qualitative</w:t>
            </w:r>
          </w:p>
        </w:tc>
        <w:tc>
          <w:tcPr>
            <w:tcW w:w="1134" w:type="dxa"/>
            <w:hideMark/>
          </w:tcPr>
          <w:p w14:paraId="5942733D"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654BC3B9"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26A084DF"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71631BB"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34</w:t>
            </w:r>
          </w:p>
        </w:tc>
        <w:tc>
          <w:tcPr>
            <w:tcW w:w="992" w:type="dxa"/>
            <w:hideMark/>
          </w:tcPr>
          <w:p w14:paraId="297EC128"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Australia</w:t>
            </w:r>
          </w:p>
        </w:tc>
        <w:tc>
          <w:tcPr>
            <w:tcW w:w="4395" w:type="dxa"/>
            <w:hideMark/>
          </w:tcPr>
          <w:p w14:paraId="7EC4D67F" w14:textId="3277FBC9" w:rsidR="00890CD6" w:rsidRPr="00AC5EC7" w:rsidRDefault="004D2E62"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4D2E62">
              <w:rPr>
                <w:rFonts w:asciiTheme="minorHAnsi" w:hAnsiTheme="minorHAnsi" w:cstheme="minorBidi"/>
                <w:sz w:val="18"/>
                <w:szCs w:val="18"/>
              </w:rPr>
              <w:t>Telehealth offers convenience, reduces time and financial burdens, and lessens the overall treatment load. Post-pandemic, it should be accessible through trusted nephrologists and include resources to assist patients in preparing for appointments.</w:t>
            </w:r>
          </w:p>
        </w:tc>
      </w:tr>
      <w:tr w:rsidR="00766F5C" w:rsidRPr="00AC5EC7" w14:paraId="205E51FF" w14:textId="77777777" w:rsidTr="26F64964">
        <w:trPr>
          <w:trHeight w:val="2800"/>
        </w:trPr>
        <w:tc>
          <w:tcPr>
            <w:cnfStyle w:val="001000000000" w:firstRow="0" w:lastRow="0" w:firstColumn="1" w:lastColumn="0" w:oddVBand="0" w:evenVBand="0" w:oddHBand="0" w:evenHBand="0" w:firstRowFirstColumn="0" w:firstRowLastColumn="0" w:lastRowFirstColumn="0" w:lastRowLastColumn="0"/>
            <w:tcW w:w="567" w:type="dxa"/>
            <w:noWrap/>
            <w:hideMark/>
          </w:tcPr>
          <w:p w14:paraId="3B2EEC83" w14:textId="2AD545B0"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2</w:t>
            </w:r>
            <w:r w:rsidR="00A856E5">
              <w:rPr>
                <w:rFonts w:asciiTheme="minorHAnsi" w:hAnsiTheme="minorHAnsi" w:cstheme="minorHAnsi"/>
                <w:sz w:val="18"/>
                <w:szCs w:val="18"/>
              </w:rPr>
              <w:t>6</w:t>
            </w:r>
          </w:p>
        </w:tc>
        <w:tc>
          <w:tcPr>
            <w:tcW w:w="993" w:type="dxa"/>
            <w:hideMark/>
          </w:tcPr>
          <w:p w14:paraId="12342AEB"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John et al., 2020</w:t>
            </w:r>
          </w:p>
        </w:tc>
        <w:tc>
          <w:tcPr>
            <w:tcW w:w="1984" w:type="dxa"/>
            <w:hideMark/>
          </w:tcPr>
          <w:p w14:paraId="765F3E3A" w14:textId="50F986CB" w:rsidR="00890CD6" w:rsidRPr="00AC5EC7" w:rsidRDefault="005649D2"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Pr>
                <w:rFonts w:asciiTheme="minorHAnsi" w:hAnsiTheme="minorHAnsi" w:cstheme="minorBidi"/>
                <w:sz w:val="18"/>
                <w:szCs w:val="18"/>
              </w:rPr>
              <w:t>St</w:t>
            </w:r>
            <w:r w:rsidRPr="005649D2">
              <w:rPr>
                <w:rFonts w:asciiTheme="minorHAnsi" w:hAnsiTheme="minorHAnsi" w:cstheme="minorBidi"/>
                <w:sz w:val="18"/>
                <w:szCs w:val="18"/>
              </w:rPr>
              <w:t>udied the impact of telehealth on the liver transplant assessment.</w:t>
            </w:r>
          </w:p>
        </w:tc>
        <w:tc>
          <w:tcPr>
            <w:tcW w:w="1418" w:type="dxa"/>
            <w:hideMark/>
          </w:tcPr>
          <w:p w14:paraId="3EE33480"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2D61EEE3"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211652E2"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70766876"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09927832"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465</w:t>
            </w:r>
          </w:p>
        </w:tc>
        <w:tc>
          <w:tcPr>
            <w:tcW w:w="992" w:type="dxa"/>
            <w:hideMark/>
          </w:tcPr>
          <w:p w14:paraId="5319DD45"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224A885E" w14:textId="3D7BDD82" w:rsidR="00890CD6" w:rsidRPr="00AC5EC7" w:rsidRDefault="00CC55CA"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C55CA">
              <w:rPr>
                <w:rFonts w:asciiTheme="minorHAnsi" w:hAnsiTheme="minorHAnsi" w:cstheme="minorBidi"/>
                <w:sz w:val="18"/>
                <w:szCs w:val="18"/>
              </w:rPr>
              <w:t xml:space="preserve">Telehealth significantly shortens the time from referral to the initial hepatologist evaluation and placement on the liver transplant waitlist, especially for patients with lower MELD scores. However, it doesn't affect </w:t>
            </w:r>
            <w:r w:rsidR="00736FCD">
              <w:rPr>
                <w:rFonts w:asciiTheme="minorHAnsi" w:hAnsiTheme="minorHAnsi" w:cstheme="minorBidi"/>
                <w:sz w:val="18"/>
                <w:szCs w:val="18"/>
              </w:rPr>
              <w:t xml:space="preserve">the </w:t>
            </w:r>
            <w:r w:rsidRPr="00CC55CA">
              <w:rPr>
                <w:rFonts w:asciiTheme="minorHAnsi" w:hAnsiTheme="minorHAnsi" w:cstheme="minorBidi"/>
                <w:sz w:val="18"/>
                <w:szCs w:val="18"/>
              </w:rPr>
              <w:t>time to transplantation or pretransplant mortality. Further research, especially outside the Veterans Administration Health System, is required to validate telehealth as a safe and efficient means to broaden access for patients undergoing liver transplant evaluations.</w:t>
            </w:r>
          </w:p>
        </w:tc>
      </w:tr>
      <w:tr w:rsidR="004D3165" w:rsidRPr="00AC5EC7" w14:paraId="3ED22400" w14:textId="77777777" w:rsidTr="26F64964">
        <w:trPr>
          <w:cnfStyle w:val="000000100000" w:firstRow="0" w:lastRow="0" w:firstColumn="0" w:lastColumn="0" w:oddVBand="0" w:evenVBand="0" w:oddHBand="1" w:evenHBand="0" w:firstRowFirstColumn="0" w:firstRowLastColumn="0" w:lastRowFirstColumn="0" w:lastRowLastColumn="0"/>
          <w:trHeight w:val="24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D7C60ED" w14:textId="56EC1803"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lastRenderedPageBreak/>
              <w:t>2</w:t>
            </w:r>
            <w:r w:rsidR="00A856E5">
              <w:rPr>
                <w:rFonts w:asciiTheme="minorHAnsi" w:hAnsiTheme="minorHAnsi" w:cstheme="minorHAnsi"/>
                <w:sz w:val="18"/>
                <w:szCs w:val="18"/>
              </w:rPr>
              <w:t>7</w:t>
            </w:r>
          </w:p>
        </w:tc>
        <w:tc>
          <w:tcPr>
            <w:tcW w:w="993" w:type="dxa"/>
            <w:hideMark/>
          </w:tcPr>
          <w:p w14:paraId="079F5445"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Keating et al., 2020</w:t>
            </w:r>
          </w:p>
        </w:tc>
        <w:tc>
          <w:tcPr>
            <w:tcW w:w="1984" w:type="dxa"/>
            <w:hideMark/>
          </w:tcPr>
          <w:p w14:paraId="06708B53" w14:textId="483527EB" w:rsidR="00890CD6" w:rsidRPr="00AC5EC7" w:rsidRDefault="00314309" w:rsidP="003143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314309">
              <w:rPr>
                <w:rFonts w:asciiTheme="minorHAnsi" w:hAnsiTheme="minorHAnsi" w:cstheme="minorBidi"/>
                <w:sz w:val="18"/>
                <w:szCs w:val="18"/>
              </w:rPr>
              <w:t>Assessing the agreement and reliability of clinician-measured versus patient self-measured clinical and functional assessments in remote home-based monitoring via telehealth.</w:t>
            </w:r>
          </w:p>
        </w:tc>
        <w:tc>
          <w:tcPr>
            <w:tcW w:w="1418" w:type="dxa"/>
            <w:hideMark/>
          </w:tcPr>
          <w:p w14:paraId="269DA1BB"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08524DB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587C2398"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2D6E6E50"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008AC2B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18</w:t>
            </w:r>
          </w:p>
        </w:tc>
        <w:tc>
          <w:tcPr>
            <w:tcW w:w="992" w:type="dxa"/>
            <w:hideMark/>
          </w:tcPr>
          <w:p w14:paraId="665C9D2D" w14:textId="3D1B70CF"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Australia </w:t>
            </w:r>
          </w:p>
        </w:tc>
        <w:tc>
          <w:tcPr>
            <w:tcW w:w="4395" w:type="dxa"/>
            <w:hideMark/>
          </w:tcPr>
          <w:p w14:paraId="0A06B81F" w14:textId="2DE2DBE8" w:rsidR="00890CD6" w:rsidRPr="00AC5EC7" w:rsidRDefault="000A3C34"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0A3C34">
              <w:rPr>
                <w:rFonts w:asciiTheme="minorHAnsi" w:hAnsiTheme="minorHAnsi" w:cstheme="minorBidi"/>
                <w:sz w:val="18"/>
                <w:szCs w:val="18"/>
              </w:rPr>
              <w:t xml:space="preserve">In general, liver transplant recipients (LTRs) can </w:t>
            </w:r>
            <w:r w:rsidR="00736FCD">
              <w:rPr>
                <w:rFonts w:asciiTheme="minorHAnsi" w:hAnsiTheme="minorHAnsi" w:cstheme="minorBidi"/>
                <w:sz w:val="18"/>
                <w:szCs w:val="18"/>
              </w:rPr>
              <w:t>reliably self-assess clinical and functional measures at home</w:t>
            </w:r>
            <w:r w:rsidRPr="000A3C34">
              <w:rPr>
                <w:rFonts w:asciiTheme="minorHAnsi" w:hAnsiTheme="minorHAnsi" w:cstheme="minorBidi"/>
                <w:sz w:val="18"/>
                <w:szCs w:val="18"/>
              </w:rPr>
              <w:t>. Yet, there was considerable individual variability in accuracy and agreement, with no functional assessment meeting acceptable limits relative to MCIDs over 80% of the time.</w:t>
            </w:r>
          </w:p>
        </w:tc>
      </w:tr>
      <w:tr w:rsidR="00766F5C" w:rsidRPr="00AC5EC7" w14:paraId="17594CFA" w14:textId="77777777" w:rsidTr="26F64964">
        <w:trPr>
          <w:trHeight w:val="21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EBBEA52" w14:textId="609CEB04"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2</w:t>
            </w:r>
            <w:r w:rsidR="00A856E5">
              <w:rPr>
                <w:rFonts w:asciiTheme="minorHAnsi" w:hAnsiTheme="minorHAnsi" w:cstheme="minorHAnsi"/>
                <w:sz w:val="18"/>
                <w:szCs w:val="18"/>
              </w:rPr>
              <w:t>8</w:t>
            </w:r>
          </w:p>
        </w:tc>
        <w:tc>
          <w:tcPr>
            <w:tcW w:w="993" w:type="dxa"/>
            <w:hideMark/>
          </w:tcPr>
          <w:p w14:paraId="2A1908DB"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Kelly et al., 2019</w:t>
            </w:r>
          </w:p>
        </w:tc>
        <w:tc>
          <w:tcPr>
            <w:tcW w:w="1984" w:type="dxa"/>
            <w:hideMark/>
          </w:tcPr>
          <w:p w14:paraId="1D7594D3" w14:textId="7691CDA3" w:rsidR="00890CD6" w:rsidRPr="00AC5EC7" w:rsidRDefault="00FE5732"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FE5732">
              <w:rPr>
                <w:rFonts w:asciiTheme="minorHAnsi" w:hAnsiTheme="minorHAnsi" w:cstheme="minorBidi"/>
                <w:sz w:val="18"/>
                <w:szCs w:val="18"/>
              </w:rPr>
              <w:t>Detail the execution of a five-session group intervention aimed at enhancing medication adherence in adolescent transplant recipients using home-based telemedicine.</w:t>
            </w:r>
          </w:p>
        </w:tc>
        <w:tc>
          <w:tcPr>
            <w:tcW w:w="1418" w:type="dxa"/>
            <w:hideMark/>
          </w:tcPr>
          <w:p w14:paraId="42DB1F45"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6B4B71E1"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Organ - Kidney, </w:t>
            </w:r>
            <w:proofErr w:type="spellStart"/>
            <w:r w:rsidRPr="00AC5EC7">
              <w:rPr>
                <w:rFonts w:asciiTheme="minorHAnsi" w:hAnsiTheme="minorHAnsi" w:cstheme="minorHAnsi"/>
                <w:sz w:val="18"/>
                <w:szCs w:val="18"/>
              </w:rPr>
              <w:t>livery</w:t>
            </w:r>
            <w:proofErr w:type="spellEnd"/>
            <w:r w:rsidRPr="00AC5EC7">
              <w:rPr>
                <w:rFonts w:asciiTheme="minorHAnsi" w:hAnsiTheme="minorHAnsi" w:cstheme="minorHAnsi"/>
                <w:sz w:val="18"/>
                <w:szCs w:val="18"/>
              </w:rPr>
              <w:t xml:space="preserve">, heart </w:t>
            </w:r>
          </w:p>
        </w:tc>
        <w:tc>
          <w:tcPr>
            <w:tcW w:w="1275" w:type="dxa"/>
            <w:hideMark/>
          </w:tcPr>
          <w:p w14:paraId="485CC072"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294FAB0F"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0622986"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33</w:t>
            </w:r>
          </w:p>
        </w:tc>
        <w:tc>
          <w:tcPr>
            <w:tcW w:w="992" w:type="dxa"/>
            <w:hideMark/>
          </w:tcPr>
          <w:p w14:paraId="00DFFA09"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2B87E497" w14:textId="0CC1C9EA" w:rsidR="00890CD6" w:rsidRPr="00AC5EC7" w:rsidRDefault="00356DA9"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356DA9">
              <w:rPr>
                <w:rFonts w:asciiTheme="minorHAnsi" w:hAnsiTheme="minorHAnsi" w:cstheme="minorBidi"/>
                <w:sz w:val="18"/>
                <w:szCs w:val="18"/>
              </w:rPr>
              <w:t>We investigate the hurdles in establishing a home-based group, offer practical solutions tailored for adolescents, and suggest ways to equip clinicians for potential obstacles when implementing a telehealth group with youth.</w:t>
            </w:r>
          </w:p>
        </w:tc>
      </w:tr>
      <w:tr w:rsidR="004D3165" w:rsidRPr="00AC5EC7" w14:paraId="44A38C1F" w14:textId="77777777" w:rsidTr="26F64964">
        <w:trPr>
          <w:cnfStyle w:val="000000100000" w:firstRow="0" w:lastRow="0" w:firstColumn="0" w:lastColumn="0" w:oddVBand="0" w:evenVBand="0" w:oddHBand="1" w:evenHBand="0" w:firstRowFirstColumn="0" w:firstRowLastColumn="0" w:lastRowFirstColumn="0" w:lastRowLastColumn="0"/>
          <w:trHeight w:val="14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7EAC2D0" w14:textId="58252F6F" w:rsidR="00890CD6" w:rsidRPr="00AC5EC7" w:rsidRDefault="00A856E5" w:rsidP="00890CD6">
            <w:pPr>
              <w:rPr>
                <w:rFonts w:asciiTheme="minorHAnsi" w:hAnsiTheme="minorHAnsi" w:cstheme="minorHAnsi"/>
                <w:sz w:val="18"/>
                <w:szCs w:val="18"/>
              </w:rPr>
            </w:pPr>
            <w:r>
              <w:rPr>
                <w:rFonts w:asciiTheme="minorHAnsi" w:hAnsiTheme="minorHAnsi" w:cstheme="minorHAnsi"/>
                <w:sz w:val="18"/>
                <w:szCs w:val="18"/>
              </w:rPr>
              <w:t>29</w:t>
            </w:r>
          </w:p>
        </w:tc>
        <w:tc>
          <w:tcPr>
            <w:tcW w:w="993" w:type="dxa"/>
            <w:hideMark/>
          </w:tcPr>
          <w:p w14:paraId="6440794B"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Khalil et al., 2022</w:t>
            </w:r>
          </w:p>
        </w:tc>
        <w:tc>
          <w:tcPr>
            <w:tcW w:w="1984" w:type="dxa"/>
            <w:hideMark/>
          </w:tcPr>
          <w:p w14:paraId="187A1EAC" w14:textId="4D884672" w:rsidR="00890CD6" w:rsidRPr="00AC5EC7" w:rsidRDefault="007212E5" w:rsidP="007212E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7212E5">
              <w:rPr>
                <w:rFonts w:asciiTheme="minorHAnsi" w:hAnsiTheme="minorHAnsi" w:cstheme="minorBidi"/>
                <w:sz w:val="18"/>
                <w:szCs w:val="18"/>
              </w:rPr>
              <w:t>Evaluate transplant pharmacists' encounters with telehealth amid the COVID-19 pandemic.</w:t>
            </w:r>
          </w:p>
        </w:tc>
        <w:tc>
          <w:tcPr>
            <w:tcW w:w="1418" w:type="dxa"/>
            <w:hideMark/>
          </w:tcPr>
          <w:p w14:paraId="1FF75998"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6F34DD0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 lung, liver, intestine, kidney, pancreas</w:t>
            </w:r>
          </w:p>
        </w:tc>
        <w:tc>
          <w:tcPr>
            <w:tcW w:w="1275" w:type="dxa"/>
            <w:hideMark/>
          </w:tcPr>
          <w:p w14:paraId="5A105A51"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4065AA2C"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Pharmacists of Transplant patients</w:t>
            </w:r>
          </w:p>
        </w:tc>
        <w:tc>
          <w:tcPr>
            <w:tcW w:w="1134" w:type="dxa"/>
            <w:hideMark/>
          </w:tcPr>
          <w:p w14:paraId="173E1E2C"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45</w:t>
            </w:r>
          </w:p>
        </w:tc>
        <w:tc>
          <w:tcPr>
            <w:tcW w:w="992" w:type="dxa"/>
            <w:hideMark/>
          </w:tcPr>
          <w:p w14:paraId="45183CB3"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4DDD7A24" w14:textId="4248A91B" w:rsidR="00890CD6" w:rsidRPr="00AC5EC7" w:rsidRDefault="008C5083"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8C5083">
              <w:rPr>
                <w:rFonts w:asciiTheme="minorHAnsi" w:hAnsiTheme="minorHAnsi" w:cstheme="minorBidi"/>
                <w:sz w:val="18"/>
                <w:szCs w:val="18"/>
              </w:rPr>
              <w:t>COVID-19 prompted widespread telehealth adoption, aiding in maintaining care continuity. While pharmacists expected reduced future use, most preferred ongoing telehealth utilization in their practice.</w:t>
            </w:r>
          </w:p>
        </w:tc>
      </w:tr>
      <w:tr w:rsidR="00766F5C" w:rsidRPr="00AC5EC7" w14:paraId="03D33204" w14:textId="77777777" w:rsidTr="26F64964">
        <w:trPr>
          <w:trHeight w:val="14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1436152" w14:textId="10A59DF5"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3</w:t>
            </w:r>
            <w:r w:rsidR="00A856E5">
              <w:rPr>
                <w:rFonts w:asciiTheme="minorHAnsi" w:hAnsiTheme="minorHAnsi" w:cstheme="minorHAnsi"/>
                <w:sz w:val="18"/>
                <w:szCs w:val="18"/>
              </w:rPr>
              <w:t>0</w:t>
            </w:r>
          </w:p>
        </w:tc>
        <w:tc>
          <w:tcPr>
            <w:tcW w:w="993" w:type="dxa"/>
            <w:hideMark/>
          </w:tcPr>
          <w:p w14:paraId="20F95B63"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Killian et al., 2022</w:t>
            </w:r>
          </w:p>
        </w:tc>
        <w:tc>
          <w:tcPr>
            <w:tcW w:w="1984" w:type="dxa"/>
            <w:hideMark/>
          </w:tcPr>
          <w:p w14:paraId="19339B37" w14:textId="77057380" w:rsidR="00890CD6" w:rsidRPr="00AC5EC7" w:rsidRDefault="00172AE8" w:rsidP="00172AE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172AE8">
              <w:rPr>
                <w:rFonts w:asciiTheme="minorHAnsi" w:hAnsiTheme="minorHAnsi" w:cstheme="minorBidi"/>
                <w:sz w:val="18"/>
                <w:szCs w:val="18"/>
              </w:rPr>
              <w:t>Explored the feasibility and acceptance of an asynchronous mHealth application for directly observed therapy (DOT) among adolescent heart transplant recipients.</w:t>
            </w:r>
          </w:p>
        </w:tc>
        <w:tc>
          <w:tcPr>
            <w:tcW w:w="1418" w:type="dxa"/>
            <w:hideMark/>
          </w:tcPr>
          <w:p w14:paraId="6BD653EF"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Pilot Study and Survey</w:t>
            </w:r>
          </w:p>
        </w:tc>
        <w:tc>
          <w:tcPr>
            <w:tcW w:w="1134" w:type="dxa"/>
            <w:hideMark/>
          </w:tcPr>
          <w:p w14:paraId="185EF88E"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w:t>
            </w:r>
          </w:p>
        </w:tc>
        <w:tc>
          <w:tcPr>
            <w:tcW w:w="1275" w:type="dxa"/>
            <w:hideMark/>
          </w:tcPr>
          <w:p w14:paraId="0E721550"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49A85A9B"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5AA8BD28"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10</w:t>
            </w:r>
          </w:p>
        </w:tc>
        <w:tc>
          <w:tcPr>
            <w:tcW w:w="992" w:type="dxa"/>
            <w:hideMark/>
          </w:tcPr>
          <w:p w14:paraId="166D8100"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01FA8BD6" w14:textId="12E700CC" w:rsidR="00890CD6" w:rsidRPr="00AC5EC7" w:rsidRDefault="00217348"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217348">
              <w:rPr>
                <w:rFonts w:asciiTheme="minorHAnsi" w:hAnsiTheme="minorHAnsi" w:cstheme="minorBidi"/>
                <w:sz w:val="18"/>
                <w:szCs w:val="18"/>
              </w:rPr>
              <w:t>This pilot study yields promising indications about the feasibility, acceptability, and potential impact of DOT for adolescent heart transplant recipients. Further randomized studies are needed to validate these findings.</w:t>
            </w:r>
          </w:p>
        </w:tc>
      </w:tr>
      <w:tr w:rsidR="004D3165" w:rsidRPr="00AC5EC7" w14:paraId="3136756F" w14:textId="77777777" w:rsidTr="26F64964">
        <w:trPr>
          <w:cnfStyle w:val="000000100000" w:firstRow="0" w:lastRow="0" w:firstColumn="0" w:lastColumn="0" w:oddVBand="0" w:evenVBand="0" w:oddHBand="1" w:evenHBand="0" w:firstRowFirstColumn="0" w:firstRowLastColumn="0" w:lastRowFirstColumn="0" w:lastRowLastColumn="0"/>
          <w:trHeight w:val="26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8326971" w14:textId="39BAAAE2"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lastRenderedPageBreak/>
              <w:t>3</w:t>
            </w:r>
            <w:r w:rsidR="00A856E5">
              <w:rPr>
                <w:rFonts w:asciiTheme="minorHAnsi" w:hAnsiTheme="minorHAnsi" w:cstheme="minorHAnsi"/>
                <w:sz w:val="18"/>
                <w:szCs w:val="18"/>
              </w:rPr>
              <w:t>1</w:t>
            </w:r>
          </w:p>
        </w:tc>
        <w:tc>
          <w:tcPr>
            <w:tcW w:w="993" w:type="dxa"/>
            <w:hideMark/>
          </w:tcPr>
          <w:p w14:paraId="21040869"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Killian et al., 2023)</w:t>
            </w:r>
          </w:p>
        </w:tc>
        <w:tc>
          <w:tcPr>
            <w:tcW w:w="1984" w:type="dxa"/>
            <w:hideMark/>
          </w:tcPr>
          <w:p w14:paraId="32C379B7" w14:textId="2F527CDA" w:rsidR="00890CD6" w:rsidRPr="00AC5EC7" w:rsidRDefault="00941DE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941DE6">
              <w:rPr>
                <w:rFonts w:asciiTheme="minorHAnsi" w:hAnsiTheme="minorHAnsi" w:cstheme="minorBidi"/>
                <w:sz w:val="18"/>
                <w:szCs w:val="18"/>
              </w:rPr>
              <w:t>Examine the type and extent of in-app communication between adolescent heart transplant recipients and nursing staff during an asynchronous mobile video directly observed therapy intervention.</w:t>
            </w:r>
          </w:p>
        </w:tc>
        <w:tc>
          <w:tcPr>
            <w:tcW w:w="1418" w:type="dxa"/>
            <w:hideMark/>
          </w:tcPr>
          <w:p w14:paraId="10212598"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Mixed methods - Content analysis. Creating codes and using thematic analysis</w:t>
            </w:r>
          </w:p>
        </w:tc>
        <w:tc>
          <w:tcPr>
            <w:tcW w:w="1134" w:type="dxa"/>
            <w:hideMark/>
          </w:tcPr>
          <w:p w14:paraId="62ABEFF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w:t>
            </w:r>
          </w:p>
        </w:tc>
        <w:tc>
          <w:tcPr>
            <w:tcW w:w="1275" w:type="dxa"/>
            <w:hideMark/>
          </w:tcPr>
          <w:p w14:paraId="7921B5F6"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1D4E9967"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6B5FC1A2"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10</w:t>
            </w:r>
          </w:p>
        </w:tc>
        <w:tc>
          <w:tcPr>
            <w:tcW w:w="992" w:type="dxa"/>
            <w:hideMark/>
          </w:tcPr>
          <w:p w14:paraId="53944D0D" w14:textId="77777777" w:rsidR="00890CD6" w:rsidRPr="00AC5EC7" w:rsidRDefault="00890CD6"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7B5CC675" w14:textId="74D56D79" w:rsidR="00890CD6" w:rsidRPr="00AC5EC7" w:rsidRDefault="00D843F5" w:rsidP="00890CD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D843F5">
              <w:rPr>
                <w:rFonts w:asciiTheme="minorHAnsi" w:hAnsiTheme="minorHAnsi" w:cstheme="minorBidi"/>
                <w:sz w:val="18"/>
                <w:szCs w:val="18"/>
              </w:rPr>
              <w:t xml:space="preserve">The research highlighted the feasibility and advantages of the two-way communication features in the directly observed therapy intervention, boosting engagement and enhancing medication adherence among adolescent heart transplant patients. Ongoing research and clinical emphasis on patient engagement and meaningful interpersonal communication could facilitate integrating this intervention into standard care at </w:t>
            </w:r>
            <w:r w:rsidR="00DE25B8" w:rsidRPr="00D843F5">
              <w:rPr>
                <w:rFonts w:asciiTheme="minorHAnsi" w:hAnsiTheme="minorHAnsi" w:cstheme="minorBidi"/>
                <w:sz w:val="18"/>
                <w:szCs w:val="18"/>
              </w:rPr>
              <w:t>paediatric</w:t>
            </w:r>
            <w:r w:rsidRPr="00D843F5">
              <w:rPr>
                <w:rFonts w:asciiTheme="minorHAnsi" w:hAnsiTheme="minorHAnsi" w:cstheme="minorBidi"/>
                <w:sz w:val="18"/>
                <w:szCs w:val="18"/>
              </w:rPr>
              <w:t xml:space="preserve"> transplant </w:t>
            </w:r>
            <w:r w:rsidR="00DE25B8" w:rsidRPr="00D843F5">
              <w:rPr>
                <w:rFonts w:asciiTheme="minorHAnsi" w:hAnsiTheme="minorHAnsi" w:cstheme="minorBidi"/>
                <w:sz w:val="18"/>
                <w:szCs w:val="18"/>
              </w:rPr>
              <w:t>centres</w:t>
            </w:r>
            <w:r w:rsidRPr="00D843F5">
              <w:rPr>
                <w:rFonts w:asciiTheme="minorHAnsi" w:hAnsiTheme="minorHAnsi" w:cstheme="minorBidi"/>
                <w:sz w:val="18"/>
                <w:szCs w:val="18"/>
              </w:rPr>
              <w:t>.</w:t>
            </w:r>
          </w:p>
        </w:tc>
      </w:tr>
      <w:tr w:rsidR="00766F5C" w:rsidRPr="00AC5EC7" w14:paraId="39B28DFE" w14:textId="77777777" w:rsidTr="26F64964">
        <w:trPr>
          <w:trHeight w:val="22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143F1A1" w14:textId="6339C629" w:rsidR="00890CD6" w:rsidRPr="00AC5EC7" w:rsidRDefault="00890CD6" w:rsidP="00890CD6">
            <w:pPr>
              <w:rPr>
                <w:rFonts w:asciiTheme="minorHAnsi" w:hAnsiTheme="minorHAnsi" w:cstheme="minorHAnsi"/>
                <w:sz w:val="18"/>
                <w:szCs w:val="18"/>
              </w:rPr>
            </w:pPr>
            <w:r w:rsidRPr="00AC5EC7">
              <w:rPr>
                <w:rFonts w:asciiTheme="minorHAnsi" w:hAnsiTheme="minorHAnsi" w:cstheme="minorHAnsi"/>
                <w:sz w:val="18"/>
                <w:szCs w:val="18"/>
              </w:rPr>
              <w:t>3</w:t>
            </w:r>
            <w:r w:rsidR="00A856E5">
              <w:rPr>
                <w:rFonts w:asciiTheme="minorHAnsi" w:hAnsiTheme="minorHAnsi" w:cstheme="minorHAnsi"/>
                <w:sz w:val="18"/>
                <w:szCs w:val="18"/>
              </w:rPr>
              <w:t>2</w:t>
            </w:r>
          </w:p>
        </w:tc>
        <w:tc>
          <w:tcPr>
            <w:tcW w:w="993" w:type="dxa"/>
            <w:hideMark/>
          </w:tcPr>
          <w:p w14:paraId="769959D8"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Kimiafar</w:t>
            </w:r>
            <w:proofErr w:type="spellEnd"/>
            <w:r w:rsidRPr="00AC5EC7">
              <w:rPr>
                <w:rFonts w:asciiTheme="minorHAnsi" w:hAnsiTheme="minorHAnsi" w:cstheme="minorBidi"/>
                <w:sz w:val="18"/>
                <w:szCs w:val="18"/>
              </w:rPr>
              <w:t xml:space="preserve"> et al., 2019</w:t>
            </w:r>
          </w:p>
        </w:tc>
        <w:tc>
          <w:tcPr>
            <w:tcW w:w="1984" w:type="dxa"/>
            <w:hideMark/>
          </w:tcPr>
          <w:p w14:paraId="7418A1AF" w14:textId="2E70627B" w:rsidR="00890CD6" w:rsidRPr="00AC5EC7" w:rsidRDefault="00EA5672"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EA5672">
              <w:rPr>
                <w:rFonts w:asciiTheme="minorHAnsi" w:hAnsiTheme="minorHAnsi" w:cstheme="minorBidi"/>
                <w:sz w:val="18"/>
                <w:szCs w:val="18"/>
              </w:rPr>
              <w:t>Create a tool for evaluating privacy issues in a web-based liver transplantation registry (WLTR) and gauge patient perspectives on the WLTR's privacy aspects.</w:t>
            </w:r>
          </w:p>
        </w:tc>
        <w:tc>
          <w:tcPr>
            <w:tcW w:w="1418" w:type="dxa"/>
            <w:hideMark/>
          </w:tcPr>
          <w:p w14:paraId="6FFFBE44"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Mixed methods - Quantitative and Qualitative</w:t>
            </w:r>
          </w:p>
        </w:tc>
        <w:tc>
          <w:tcPr>
            <w:tcW w:w="1134" w:type="dxa"/>
            <w:hideMark/>
          </w:tcPr>
          <w:p w14:paraId="4133351B"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64893721"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Web-based portal (registry)</w:t>
            </w:r>
          </w:p>
        </w:tc>
        <w:tc>
          <w:tcPr>
            <w:tcW w:w="1276" w:type="dxa"/>
            <w:hideMark/>
          </w:tcPr>
          <w:p w14:paraId="7F14E385"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5F697327"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81</w:t>
            </w:r>
          </w:p>
        </w:tc>
        <w:tc>
          <w:tcPr>
            <w:tcW w:w="992" w:type="dxa"/>
            <w:hideMark/>
          </w:tcPr>
          <w:p w14:paraId="6B739986" w14:textId="77777777" w:rsidR="00890CD6" w:rsidRPr="00AC5EC7" w:rsidRDefault="00890CD6"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Iran</w:t>
            </w:r>
          </w:p>
        </w:tc>
        <w:tc>
          <w:tcPr>
            <w:tcW w:w="4395" w:type="dxa"/>
            <w:hideMark/>
          </w:tcPr>
          <w:p w14:paraId="4CD59B45" w14:textId="5E85BD6B" w:rsidR="00890CD6" w:rsidRPr="00AC5EC7" w:rsidRDefault="003028B8" w:rsidP="00890CD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3028B8">
              <w:rPr>
                <w:rFonts w:asciiTheme="minorHAnsi" w:hAnsiTheme="minorHAnsi" w:cstheme="minorBidi"/>
                <w:sz w:val="18"/>
                <w:szCs w:val="18"/>
              </w:rPr>
              <w:t>System designers and developers need to create privacy policies aligning with the registry program's goals and user needs to safeguard patient information.</w:t>
            </w:r>
          </w:p>
        </w:tc>
      </w:tr>
      <w:tr w:rsidR="00D84311" w:rsidRPr="00AC5EC7" w14:paraId="664459FB" w14:textId="77777777" w:rsidTr="26F64964">
        <w:trPr>
          <w:cnfStyle w:val="000000100000" w:firstRow="0" w:lastRow="0" w:firstColumn="0" w:lastColumn="0" w:oddVBand="0" w:evenVBand="0" w:oddHBand="1" w:evenHBand="0" w:firstRowFirstColumn="0" w:firstRowLastColumn="0" w:lastRowFirstColumn="0" w:lastRowLastColumn="0"/>
          <w:trHeight w:val="2280"/>
        </w:trPr>
        <w:tc>
          <w:tcPr>
            <w:cnfStyle w:val="001000000000" w:firstRow="0" w:lastRow="0" w:firstColumn="1" w:lastColumn="0" w:oddVBand="0" w:evenVBand="0" w:oddHBand="0" w:evenHBand="0" w:firstRowFirstColumn="0" w:firstRowLastColumn="0" w:lastRowFirstColumn="0" w:lastRowLastColumn="0"/>
            <w:tcW w:w="567" w:type="dxa"/>
            <w:noWrap/>
          </w:tcPr>
          <w:p w14:paraId="533C7BFD" w14:textId="0FC03245" w:rsidR="00D84311" w:rsidRPr="00AC5EC7" w:rsidRDefault="00D84311" w:rsidP="00D84311">
            <w:pPr>
              <w:rPr>
                <w:rFonts w:asciiTheme="minorHAnsi" w:hAnsiTheme="minorHAnsi" w:cstheme="minorHAnsi"/>
                <w:sz w:val="18"/>
                <w:szCs w:val="18"/>
              </w:rPr>
            </w:pPr>
            <w:r>
              <w:rPr>
                <w:rFonts w:asciiTheme="minorHAnsi" w:hAnsiTheme="minorHAnsi" w:cstheme="minorHAnsi"/>
                <w:sz w:val="18"/>
                <w:szCs w:val="18"/>
              </w:rPr>
              <w:t>3</w:t>
            </w:r>
            <w:r w:rsidR="00A856E5">
              <w:rPr>
                <w:rFonts w:asciiTheme="minorHAnsi" w:hAnsiTheme="minorHAnsi" w:cstheme="minorHAnsi"/>
                <w:sz w:val="18"/>
                <w:szCs w:val="18"/>
              </w:rPr>
              <w:t>3</w:t>
            </w:r>
          </w:p>
        </w:tc>
        <w:tc>
          <w:tcPr>
            <w:tcW w:w="993" w:type="dxa"/>
          </w:tcPr>
          <w:p w14:paraId="526D8AF3" w14:textId="50AEA136"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Pr>
                <w:rFonts w:asciiTheme="minorHAnsi" w:hAnsiTheme="minorHAnsi" w:cstheme="minorBidi"/>
                <w:sz w:val="18"/>
                <w:szCs w:val="18"/>
              </w:rPr>
              <w:t xml:space="preserve">La </w:t>
            </w:r>
            <w:proofErr w:type="spellStart"/>
            <w:r>
              <w:rPr>
                <w:rFonts w:asciiTheme="minorHAnsi" w:hAnsiTheme="minorHAnsi" w:cstheme="minorBidi"/>
                <w:sz w:val="18"/>
                <w:szCs w:val="18"/>
              </w:rPr>
              <w:t>h</w:t>
            </w:r>
            <w:r w:rsidRPr="00AC5EC7">
              <w:rPr>
                <w:rFonts w:asciiTheme="minorHAnsi" w:hAnsiTheme="minorHAnsi" w:cstheme="minorBidi"/>
                <w:sz w:val="18"/>
                <w:szCs w:val="18"/>
              </w:rPr>
              <w:t>oz</w:t>
            </w:r>
            <w:proofErr w:type="spellEnd"/>
            <w:r w:rsidRPr="00AC5EC7">
              <w:rPr>
                <w:rFonts w:asciiTheme="minorHAnsi" w:hAnsiTheme="minorHAnsi" w:cstheme="minorBidi"/>
                <w:sz w:val="18"/>
                <w:szCs w:val="18"/>
              </w:rPr>
              <w:t xml:space="preserve"> et al., 2021</w:t>
            </w:r>
          </w:p>
        </w:tc>
        <w:tc>
          <w:tcPr>
            <w:tcW w:w="1984" w:type="dxa"/>
          </w:tcPr>
          <w:p w14:paraId="4F7877A6" w14:textId="566B7BA4" w:rsidR="00D84311" w:rsidRPr="00EA5672"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F23C78">
              <w:rPr>
                <w:rFonts w:asciiTheme="minorHAnsi" w:hAnsiTheme="minorHAnsi" w:cstheme="minorBidi"/>
                <w:sz w:val="18"/>
                <w:szCs w:val="18"/>
              </w:rPr>
              <w:t>Assess the effectiveness of an electronic health record-based registry and its data extraction tools for clinical research in solid organ transplantation.</w:t>
            </w:r>
          </w:p>
        </w:tc>
        <w:tc>
          <w:tcPr>
            <w:tcW w:w="1418" w:type="dxa"/>
          </w:tcPr>
          <w:p w14:paraId="5B93004F" w14:textId="74733969"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tcPr>
          <w:p w14:paraId="317FAAD8" w14:textId="036E747F"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 Kidney, Liver, Lung, Multiorgan</w:t>
            </w:r>
          </w:p>
        </w:tc>
        <w:tc>
          <w:tcPr>
            <w:tcW w:w="1275" w:type="dxa"/>
          </w:tcPr>
          <w:p w14:paraId="09C9F9A3" w14:textId="3F77EFA6"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(Electronic Health Record)</w:t>
            </w:r>
          </w:p>
        </w:tc>
        <w:tc>
          <w:tcPr>
            <w:tcW w:w="1276" w:type="dxa"/>
          </w:tcPr>
          <w:p w14:paraId="247A9B89" w14:textId="7731800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tcPr>
          <w:p w14:paraId="0EADAEE3" w14:textId="41098CBF"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917</w:t>
            </w:r>
          </w:p>
        </w:tc>
        <w:tc>
          <w:tcPr>
            <w:tcW w:w="992" w:type="dxa"/>
          </w:tcPr>
          <w:p w14:paraId="381B0552" w14:textId="26694D23"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US </w:t>
            </w:r>
          </w:p>
        </w:tc>
        <w:tc>
          <w:tcPr>
            <w:tcW w:w="4395" w:type="dxa"/>
          </w:tcPr>
          <w:p w14:paraId="7FA7DFDF" w14:textId="30C0F1B6" w:rsidR="00D84311" w:rsidRPr="003028B8"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99622C">
              <w:rPr>
                <w:rFonts w:asciiTheme="minorHAnsi" w:hAnsiTheme="minorHAnsi" w:cstheme="minorBidi"/>
                <w:sz w:val="18"/>
                <w:szCs w:val="18"/>
              </w:rPr>
              <w:t>Our study demonstrates the value of an electronic health record-based registry and automated extraction tools for clinical research in solid organ transplantation. A bloodstream infection (BSI) diminishes the 1-year survival of solid organ transplant recipients.</w:t>
            </w:r>
          </w:p>
        </w:tc>
      </w:tr>
      <w:tr w:rsidR="00766F5C" w:rsidRPr="00AC5EC7" w14:paraId="7FCDBF86" w14:textId="77777777" w:rsidTr="26F64964">
        <w:trPr>
          <w:trHeight w:val="31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1FE20A5"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lastRenderedPageBreak/>
              <w:t>34</w:t>
            </w:r>
          </w:p>
        </w:tc>
        <w:tc>
          <w:tcPr>
            <w:tcW w:w="993" w:type="dxa"/>
            <w:hideMark/>
          </w:tcPr>
          <w:p w14:paraId="5D370579"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Lerret</w:t>
            </w:r>
            <w:proofErr w:type="spellEnd"/>
            <w:r w:rsidRPr="00AC5EC7">
              <w:rPr>
                <w:rFonts w:asciiTheme="minorHAnsi" w:hAnsiTheme="minorHAnsi" w:cstheme="minorBidi"/>
                <w:sz w:val="18"/>
                <w:szCs w:val="18"/>
              </w:rPr>
              <w:t xml:space="preserve"> et al., 2022</w:t>
            </w:r>
          </w:p>
        </w:tc>
        <w:tc>
          <w:tcPr>
            <w:tcW w:w="1984" w:type="dxa"/>
            <w:hideMark/>
          </w:tcPr>
          <w:p w14:paraId="22D9E141" w14:textId="3AD5B936"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056B2B">
              <w:rPr>
                <w:rFonts w:asciiTheme="minorHAnsi" w:hAnsiTheme="minorHAnsi" w:cstheme="minorBidi"/>
                <w:sz w:val="18"/>
                <w:szCs w:val="18"/>
              </w:rPr>
              <w:t>Outline the viability, acceptance, and initial effectiveness of a mHealth family self-management intervention (</w:t>
            </w:r>
            <w:proofErr w:type="spellStart"/>
            <w:r w:rsidRPr="00056B2B">
              <w:rPr>
                <w:rFonts w:asciiTheme="minorHAnsi" w:hAnsiTheme="minorHAnsi" w:cstheme="minorBidi"/>
                <w:sz w:val="18"/>
                <w:szCs w:val="18"/>
              </w:rPr>
              <w:t>myFAMI</w:t>
            </w:r>
            <w:proofErr w:type="spellEnd"/>
            <w:r w:rsidRPr="00056B2B">
              <w:rPr>
                <w:rFonts w:asciiTheme="minorHAnsi" w:hAnsiTheme="minorHAnsi" w:cstheme="minorBidi"/>
                <w:sz w:val="18"/>
                <w:szCs w:val="18"/>
              </w:rPr>
              <w:t>) aimed at enhancing coping post-discharge, family quality of life, self-efficacy, family self-management, and healthcare resource utilization.</w:t>
            </w:r>
          </w:p>
        </w:tc>
        <w:tc>
          <w:tcPr>
            <w:tcW w:w="1418" w:type="dxa"/>
            <w:hideMark/>
          </w:tcPr>
          <w:p w14:paraId="1BA33C7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6053E132" w14:textId="342F2901"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Organ - </w:t>
            </w:r>
            <w:r w:rsidR="00DE25B8" w:rsidRPr="00AC5EC7">
              <w:rPr>
                <w:rFonts w:asciiTheme="minorHAnsi" w:hAnsiTheme="minorHAnsi" w:cstheme="minorHAnsi"/>
                <w:sz w:val="18"/>
                <w:szCs w:val="18"/>
              </w:rPr>
              <w:t>Paediatric</w:t>
            </w:r>
            <w:r w:rsidRPr="00AC5EC7">
              <w:rPr>
                <w:rFonts w:asciiTheme="minorHAnsi" w:hAnsiTheme="minorHAnsi" w:cstheme="minorHAnsi"/>
                <w:sz w:val="18"/>
                <w:szCs w:val="18"/>
              </w:rPr>
              <w:t xml:space="preserve"> heart, kidney and liver </w:t>
            </w:r>
          </w:p>
        </w:tc>
        <w:tc>
          <w:tcPr>
            <w:tcW w:w="1275" w:type="dxa"/>
            <w:hideMark/>
          </w:tcPr>
          <w:p w14:paraId="0CF322F1"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669040F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 families</w:t>
            </w:r>
          </w:p>
        </w:tc>
        <w:tc>
          <w:tcPr>
            <w:tcW w:w="1134" w:type="dxa"/>
            <w:hideMark/>
          </w:tcPr>
          <w:p w14:paraId="4719B752"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46</w:t>
            </w:r>
          </w:p>
        </w:tc>
        <w:tc>
          <w:tcPr>
            <w:tcW w:w="992" w:type="dxa"/>
            <w:hideMark/>
          </w:tcPr>
          <w:p w14:paraId="409AB256"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09B85627" w14:textId="3DE33005"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83F88">
              <w:rPr>
                <w:rFonts w:asciiTheme="minorHAnsi" w:hAnsiTheme="minorHAnsi" w:cstheme="minorBidi"/>
                <w:sz w:val="18"/>
                <w:szCs w:val="18"/>
              </w:rPr>
              <w:t xml:space="preserve">The intervention was positively accepted and </w:t>
            </w:r>
            <w:r w:rsidR="00F815D4" w:rsidRPr="00C83F88">
              <w:rPr>
                <w:rFonts w:asciiTheme="minorHAnsi" w:hAnsiTheme="minorHAnsi" w:cstheme="minorBidi"/>
                <w:sz w:val="18"/>
                <w:szCs w:val="18"/>
              </w:rPr>
              <w:t>show</w:t>
            </w:r>
            <w:r w:rsidR="00F815D4">
              <w:rPr>
                <w:rFonts w:asciiTheme="minorHAnsi" w:hAnsiTheme="minorHAnsi" w:cstheme="minorBidi"/>
                <w:sz w:val="18"/>
                <w:szCs w:val="18"/>
              </w:rPr>
              <w:t>ed</w:t>
            </w:r>
            <w:r w:rsidR="00F815D4" w:rsidRPr="00C83F88">
              <w:rPr>
                <w:rFonts w:asciiTheme="minorHAnsi" w:hAnsiTheme="minorHAnsi" w:cstheme="minorBidi"/>
                <w:sz w:val="18"/>
                <w:szCs w:val="18"/>
              </w:rPr>
              <w:t xml:space="preserve"> </w:t>
            </w:r>
            <w:r w:rsidRPr="00C83F88">
              <w:rPr>
                <w:rFonts w:asciiTheme="minorHAnsi" w:hAnsiTheme="minorHAnsi" w:cstheme="minorBidi"/>
                <w:sz w:val="18"/>
                <w:szCs w:val="18"/>
              </w:rPr>
              <w:t xml:space="preserve">promise for future post-discharge programs for families of </w:t>
            </w:r>
            <w:r w:rsidR="00DE25B8" w:rsidRPr="00C83F88">
              <w:rPr>
                <w:rFonts w:asciiTheme="minorHAnsi" w:hAnsiTheme="minorHAnsi" w:cstheme="minorBidi"/>
                <w:sz w:val="18"/>
                <w:szCs w:val="18"/>
              </w:rPr>
              <w:t>paediatric</w:t>
            </w:r>
            <w:r w:rsidRPr="00C83F88">
              <w:rPr>
                <w:rFonts w:asciiTheme="minorHAnsi" w:hAnsiTheme="minorHAnsi" w:cstheme="minorBidi"/>
                <w:sz w:val="18"/>
                <w:szCs w:val="18"/>
              </w:rPr>
              <w:t xml:space="preserve"> transplant recipients.</w:t>
            </w:r>
          </w:p>
        </w:tc>
      </w:tr>
      <w:tr w:rsidR="00D84311" w:rsidRPr="00AC5EC7" w14:paraId="7F5411D7" w14:textId="77777777" w:rsidTr="26F64964">
        <w:trPr>
          <w:cnfStyle w:val="000000100000" w:firstRow="0" w:lastRow="0" w:firstColumn="0" w:lastColumn="0" w:oddVBand="0" w:evenVBand="0" w:oddHBand="1" w:evenHBand="0" w:firstRowFirstColumn="0" w:firstRowLastColumn="0" w:lastRowFirstColumn="0" w:lastRowLastColumn="0"/>
          <w:trHeight w:val="22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13398213"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35</w:t>
            </w:r>
          </w:p>
        </w:tc>
        <w:tc>
          <w:tcPr>
            <w:tcW w:w="993" w:type="dxa"/>
            <w:hideMark/>
          </w:tcPr>
          <w:p w14:paraId="203FD943"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Maroney et al., 2021</w:t>
            </w:r>
          </w:p>
        </w:tc>
        <w:tc>
          <w:tcPr>
            <w:tcW w:w="1984" w:type="dxa"/>
            <w:hideMark/>
          </w:tcPr>
          <w:p w14:paraId="4C7EA852" w14:textId="3C54EB18"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B47C0E">
              <w:rPr>
                <w:rFonts w:asciiTheme="minorHAnsi" w:hAnsiTheme="minorHAnsi" w:cstheme="minorBidi"/>
                <w:sz w:val="18"/>
                <w:szCs w:val="18"/>
              </w:rPr>
              <w:t>Examine eHealth literacy in kidney transplant (KT) and liver transplant (LT) recipients, and explore its correlation with the use of web-based patient portals.</w:t>
            </w:r>
          </w:p>
        </w:tc>
        <w:tc>
          <w:tcPr>
            <w:tcW w:w="1418" w:type="dxa"/>
            <w:hideMark/>
          </w:tcPr>
          <w:p w14:paraId="320C287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Surveys</w:t>
            </w:r>
          </w:p>
        </w:tc>
        <w:tc>
          <w:tcPr>
            <w:tcW w:w="1134" w:type="dxa"/>
            <w:hideMark/>
          </w:tcPr>
          <w:p w14:paraId="1779D698"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 and Lung</w:t>
            </w:r>
          </w:p>
        </w:tc>
        <w:tc>
          <w:tcPr>
            <w:tcW w:w="1275" w:type="dxa"/>
            <w:hideMark/>
          </w:tcPr>
          <w:p w14:paraId="382A4BE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Web-based portal  (patient portal)</w:t>
            </w:r>
          </w:p>
        </w:tc>
        <w:tc>
          <w:tcPr>
            <w:tcW w:w="1276" w:type="dxa"/>
            <w:hideMark/>
          </w:tcPr>
          <w:p w14:paraId="49ADB53A"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80E5EA5"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288</w:t>
            </w:r>
          </w:p>
        </w:tc>
        <w:tc>
          <w:tcPr>
            <w:tcW w:w="992" w:type="dxa"/>
            <w:hideMark/>
          </w:tcPr>
          <w:p w14:paraId="4A519AFC"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 - Atlanta</w:t>
            </w:r>
          </w:p>
        </w:tc>
        <w:tc>
          <w:tcPr>
            <w:tcW w:w="4395" w:type="dxa"/>
            <w:hideMark/>
          </w:tcPr>
          <w:p w14:paraId="37B3947B" w14:textId="74B23761"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D0C59">
              <w:rPr>
                <w:rFonts w:asciiTheme="minorHAnsi" w:hAnsiTheme="minorHAnsi" w:cstheme="minorBidi"/>
                <w:sz w:val="18"/>
                <w:szCs w:val="18"/>
              </w:rPr>
              <w:t>Kidney and liver transplant recipients who regularly use patient portals exhibit high eHealth literacy, suggesting the benefit of promoting regular usage to enhance post-transplant health and medication adherence.</w:t>
            </w:r>
          </w:p>
        </w:tc>
      </w:tr>
      <w:tr w:rsidR="00766F5C" w:rsidRPr="00AC5EC7" w14:paraId="0C38950A" w14:textId="77777777" w:rsidTr="26F64964">
        <w:trPr>
          <w:trHeight w:val="17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73D592B"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36</w:t>
            </w:r>
          </w:p>
        </w:tc>
        <w:tc>
          <w:tcPr>
            <w:tcW w:w="993" w:type="dxa"/>
            <w:hideMark/>
          </w:tcPr>
          <w:p w14:paraId="6792AE65"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Mathur et al., 2021</w:t>
            </w:r>
          </w:p>
        </w:tc>
        <w:tc>
          <w:tcPr>
            <w:tcW w:w="1984" w:type="dxa"/>
            <w:hideMark/>
          </w:tcPr>
          <w:p w14:paraId="0139487D" w14:textId="3B6DCEF2"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E23E5">
              <w:rPr>
                <w:rFonts w:asciiTheme="minorHAnsi" w:hAnsiTheme="minorHAnsi" w:cstheme="minorBidi"/>
                <w:sz w:val="18"/>
                <w:szCs w:val="18"/>
              </w:rPr>
              <w:t>Explored views of Solid Organ Transplant (SOT) recipients on physical activity and their preferences for features in digital health tools.</w:t>
            </w:r>
          </w:p>
        </w:tc>
        <w:tc>
          <w:tcPr>
            <w:tcW w:w="1418" w:type="dxa"/>
            <w:hideMark/>
          </w:tcPr>
          <w:p w14:paraId="0D9E9730"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and Qualitative</w:t>
            </w:r>
          </w:p>
        </w:tc>
        <w:tc>
          <w:tcPr>
            <w:tcW w:w="1134" w:type="dxa"/>
            <w:hideMark/>
          </w:tcPr>
          <w:p w14:paraId="181AD3A0" w14:textId="4FB60AC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 Heart, Lung, Kidney, Pancreas</w:t>
            </w:r>
          </w:p>
        </w:tc>
        <w:tc>
          <w:tcPr>
            <w:tcW w:w="1275" w:type="dxa"/>
            <w:hideMark/>
          </w:tcPr>
          <w:p w14:paraId="58354F2B"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102B02FF"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5D1EAEC0"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21</w:t>
            </w:r>
          </w:p>
        </w:tc>
        <w:tc>
          <w:tcPr>
            <w:tcW w:w="992" w:type="dxa"/>
            <w:hideMark/>
          </w:tcPr>
          <w:p w14:paraId="7D22EBD7"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Canada</w:t>
            </w:r>
          </w:p>
        </w:tc>
        <w:tc>
          <w:tcPr>
            <w:tcW w:w="4395" w:type="dxa"/>
            <w:hideMark/>
          </w:tcPr>
          <w:p w14:paraId="3FBE8D1E" w14:textId="09636D1C"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D5490">
              <w:rPr>
                <w:rFonts w:asciiTheme="minorHAnsi" w:hAnsiTheme="minorHAnsi" w:cstheme="minorBidi"/>
                <w:sz w:val="18"/>
                <w:szCs w:val="18"/>
              </w:rPr>
              <w:t>Solid Organ Transplant (SOT) recipients outlined preferred features for a digital health tool, potentially informing the design of future applications supporting physical activity in this group.</w:t>
            </w:r>
          </w:p>
        </w:tc>
      </w:tr>
      <w:tr w:rsidR="00D84311" w:rsidRPr="00AC5EC7" w14:paraId="1F38FA6D" w14:textId="77777777" w:rsidTr="26F64964">
        <w:trPr>
          <w:cnfStyle w:val="000000100000" w:firstRow="0" w:lastRow="0" w:firstColumn="0" w:lastColumn="0" w:oddVBand="0" w:evenVBand="0" w:oddHBand="1" w:evenHBand="0" w:firstRowFirstColumn="0" w:firstRowLastColumn="0" w:lastRowFirstColumn="0" w:lastRowLastColumn="0"/>
          <w:trHeight w:val="24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71BA4BA4"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lastRenderedPageBreak/>
              <w:t>37</w:t>
            </w:r>
          </w:p>
        </w:tc>
        <w:tc>
          <w:tcPr>
            <w:tcW w:w="993" w:type="dxa"/>
            <w:hideMark/>
          </w:tcPr>
          <w:p w14:paraId="12F4B676"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Morken et al., 2023</w:t>
            </w:r>
          </w:p>
        </w:tc>
        <w:tc>
          <w:tcPr>
            <w:tcW w:w="1984" w:type="dxa"/>
            <w:hideMark/>
          </w:tcPr>
          <w:p w14:paraId="5108854A" w14:textId="32016166"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481809">
              <w:rPr>
                <w:rFonts w:asciiTheme="minorHAnsi" w:hAnsiTheme="minorHAnsi" w:cstheme="minorBidi"/>
                <w:sz w:val="18"/>
                <w:szCs w:val="18"/>
              </w:rPr>
              <w:t>We investigated the obstacles and aids to Survivorship Care Plan (SCP) utilization among HSCT survivors and their clinicians.</w:t>
            </w:r>
          </w:p>
        </w:tc>
        <w:tc>
          <w:tcPr>
            <w:tcW w:w="1418" w:type="dxa"/>
            <w:hideMark/>
          </w:tcPr>
          <w:p w14:paraId="4EEE391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Survey</w:t>
            </w:r>
          </w:p>
        </w:tc>
        <w:tc>
          <w:tcPr>
            <w:tcW w:w="1134" w:type="dxa"/>
            <w:hideMark/>
          </w:tcPr>
          <w:p w14:paraId="241196C1"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hematopoietic stem cell</w:t>
            </w:r>
          </w:p>
        </w:tc>
        <w:tc>
          <w:tcPr>
            <w:tcW w:w="1275" w:type="dxa"/>
            <w:hideMark/>
          </w:tcPr>
          <w:p w14:paraId="51D12AB3"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(Electronic Health Record)</w:t>
            </w:r>
          </w:p>
        </w:tc>
        <w:tc>
          <w:tcPr>
            <w:tcW w:w="1276" w:type="dxa"/>
            <w:hideMark/>
          </w:tcPr>
          <w:p w14:paraId="606004E5"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 and Clinicians</w:t>
            </w:r>
          </w:p>
        </w:tc>
        <w:tc>
          <w:tcPr>
            <w:tcW w:w="1134" w:type="dxa"/>
            <w:hideMark/>
          </w:tcPr>
          <w:p w14:paraId="5EA8A64C"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27 Patients and 18 Clinicians</w:t>
            </w:r>
          </w:p>
        </w:tc>
        <w:tc>
          <w:tcPr>
            <w:tcW w:w="992" w:type="dxa"/>
            <w:hideMark/>
          </w:tcPr>
          <w:p w14:paraId="07009B0A"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 - Wisconsin</w:t>
            </w:r>
          </w:p>
        </w:tc>
        <w:tc>
          <w:tcPr>
            <w:tcW w:w="4395" w:type="dxa"/>
            <w:hideMark/>
          </w:tcPr>
          <w:p w14:paraId="3D48718D" w14:textId="15C861C4"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C8523E">
              <w:rPr>
                <w:rFonts w:asciiTheme="minorHAnsi" w:hAnsiTheme="minorHAnsi" w:cstheme="minorBidi"/>
                <w:sz w:val="18"/>
                <w:szCs w:val="18"/>
              </w:rPr>
              <w:t xml:space="preserve">While previous efforts focused on barriers to SCP creation, our study </w:t>
            </w:r>
            <w:r w:rsidR="00C96CFE" w:rsidRPr="00C8523E">
              <w:rPr>
                <w:rFonts w:asciiTheme="minorHAnsi" w:hAnsiTheme="minorHAnsi" w:cstheme="minorBidi"/>
                <w:sz w:val="18"/>
                <w:szCs w:val="18"/>
              </w:rPr>
              <w:t>delve</w:t>
            </w:r>
            <w:r w:rsidR="00C96CFE">
              <w:rPr>
                <w:rFonts w:asciiTheme="minorHAnsi" w:hAnsiTheme="minorHAnsi" w:cstheme="minorBidi"/>
                <w:sz w:val="18"/>
                <w:szCs w:val="18"/>
              </w:rPr>
              <w:t>d</w:t>
            </w:r>
            <w:r w:rsidR="00C96CFE" w:rsidRPr="00C8523E">
              <w:rPr>
                <w:rFonts w:asciiTheme="minorHAnsi" w:hAnsiTheme="minorHAnsi" w:cstheme="minorBidi"/>
                <w:sz w:val="18"/>
                <w:szCs w:val="18"/>
              </w:rPr>
              <w:t xml:space="preserve"> </w:t>
            </w:r>
            <w:r w:rsidRPr="00C8523E">
              <w:rPr>
                <w:rFonts w:asciiTheme="minorHAnsi" w:hAnsiTheme="minorHAnsi" w:cstheme="minorBidi"/>
                <w:sz w:val="18"/>
                <w:szCs w:val="18"/>
              </w:rPr>
              <w:t>into factors impacting SCP utilization. Identifying barriers and aids for SCP use among HSCT survivors and clinicians enables the creation of optimized SCP templates and clinical processes, potentially improving outcomes for these survivors.</w:t>
            </w:r>
          </w:p>
        </w:tc>
      </w:tr>
      <w:tr w:rsidR="00766F5C" w:rsidRPr="00AC5EC7" w14:paraId="236BDDEC" w14:textId="77777777" w:rsidTr="00A856E5">
        <w:trPr>
          <w:trHeight w:val="1681"/>
        </w:trPr>
        <w:tc>
          <w:tcPr>
            <w:cnfStyle w:val="001000000000" w:firstRow="0" w:lastRow="0" w:firstColumn="1" w:lastColumn="0" w:oddVBand="0" w:evenVBand="0" w:oddHBand="0" w:evenHBand="0" w:firstRowFirstColumn="0" w:firstRowLastColumn="0" w:lastRowFirstColumn="0" w:lastRowLastColumn="0"/>
            <w:tcW w:w="567" w:type="dxa"/>
            <w:noWrap/>
            <w:hideMark/>
          </w:tcPr>
          <w:p w14:paraId="67EBF705"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38</w:t>
            </w:r>
          </w:p>
        </w:tc>
        <w:tc>
          <w:tcPr>
            <w:tcW w:w="993" w:type="dxa"/>
            <w:hideMark/>
          </w:tcPr>
          <w:p w14:paraId="62706955"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Mussetti</w:t>
            </w:r>
            <w:proofErr w:type="spellEnd"/>
            <w:r w:rsidRPr="00AC5EC7">
              <w:rPr>
                <w:rFonts w:asciiTheme="minorHAnsi" w:hAnsiTheme="minorHAnsi" w:cstheme="minorBidi"/>
                <w:sz w:val="18"/>
                <w:szCs w:val="18"/>
              </w:rPr>
              <w:t xml:space="preserve"> et al., 2021</w:t>
            </w:r>
          </w:p>
        </w:tc>
        <w:tc>
          <w:tcPr>
            <w:tcW w:w="1984" w:type="dxa"/>
            <w:hideMark/>
          </w:tcPr>
          <w:p w14:paraId="0D85DF03" w14:textId="4960EC2D"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Pr>
                <w:rFonts w:asciiTheme="minorHAnsi" w:hAnsiTheme="minorHAnsi" w:cstheme="minorBidi"/>
                <w:sz w:val="18"/>
                <w:szCs w:val="18"/>
              </w:rPr>
              <w:t>A</w:t>
            </w:r>
            <w:r w:rsidRPr="00A96EAB">
              <w:rPr>
                <w:rFonts w:asciiTheme="minorHAnsi" w:hAnsiTheme="minorHAnsi" w:cstheme="minorBidi"/>
                <w:sz w:val="18"/>
                <w:szCs w:val="18"/>
              </w:rPr>
              <w:t>ssess the application of a telehealth platform in monitoring HCT patients within the initial two weeks post-discharge.</w:t>
            </w:r>
          </w:p>
        </w:tc>
        <w:tc>
          <w:tcPr>
            <w:tcW w:w="1418" w:type="dxa"/>
            <w:hideMark/>
          </w:tcPr>
          <w:p w14:paraId="63C9369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39409AD8"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Hematopoietic Cell Transplantation</w:t>
            </w:r>
          </w:p>
        </w:tc>
        <w:tc>
          <w:tcPr>
            <w:tcW w:w="1275" w:type="dxa"/>
            <w:hideMark/>
          </w:tcPr>
          <w:p w14:paraId="7E8135B2"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3DF5D6B7"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B3AF749"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12</w:t>
            </w:r>
          </w:p>
        </w:tc>
        <w:tc>
          <w:tcPr>
            <w:tcW w:w="992" w:type="dxa"/>
            <w:hideMark/>
          </w:tcPr>
          <w:p w14:paraId="402D65F7"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Spain</w:t>
            </w:r>
          </w:p>
        </w:tc>
        <w:tc>
          <w:tcPr>
            <w:tcW w:w="4395" w:type="dxa"/>
            <w:hideMark/>
          </w:tcPr>
          <w:p w14:paraId="28AD8248" w14:textId="625A4A90"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2226A">
              <w:rPr>
                <w:rFonts w:asciiTheme="minorHAnsi" w:hAnsiTheme="minorHAnsi" w:cstheme="minorBidi"/>
                <w:sz w:val="18"/>
                <w:szCs w:val="18"/>
              </w:rPr>
              <w:t xml:space="preserve">This </w:t>
            </w:r>
            <w:r>
              <w:rPr>
                <w:rFonts w:asciiTheme="minorHAnsi" w:hAnsiTheme="minorHAnsi" w:cstheme="minorBidi"/>
                <w:sz w:val="18"/>
                <w:szCs w:val="18"/>
              </w:rPr>
              <w:t xml:space="preserve">study </w:t>
            </w:r>
            <w:r w:rsidRPr="00C2226A">
              <w:rPr>
                <w:rFonts w:asciiTheme="minorHAnsi" w:hAnsiTheme="minorHAnsi" w:cstheme="minorBidi"/>
                <w:sz w:val="18"/>
                <w:szCs w:val="18"/>
              </w:rPr>
              <w:t xml:space="preserve">demonstrated the feasibility of using telehealth in the early post-transplant phase, offering benefits to physicians and patients in </w:t>
            </w:r>
            <w:r w:rsidR="00C96CFE">
              <w:rPr>
                <w:rFonts w:asciiTheme="minorHAnsi" w:hAnsiTheme="minorHAnsi" w:cstheme="minorBidi"/>
                <w:sz w:val="18"/>
                <w:szCs w:val="18"/>
              </w:rPr>
              <w:t xml:space="preserve">the </w:t>
            </w:r>
            <w:r w:rsidRPr="00C2226A">
              <w:rPr>
                <w:rFonts w:asciiTheme="minorHAnsi" w:hAnsiTheme="minorHAnsi" w:cstheme="minorBidi"/>
                <w:sz w:val="18"/>
                <w:szCs w:val="18"/>
              </w:rPr>
              <w:t xml:space="preserve">medical and psychological realms. However, technological challenges persist, particularly for older adult patients. Simplified technologies could enhance </w:t>
            </w:r>
            <w:r w:rsidR="00C96CFE">
              <w:rPr>
                <w:rFonts w:asciiTheme="minorHAnsi" w:hAnsiTheme="minorHAnsi" w:cstheme="minorBidi"/>
                <w:sz w:val="18"/>
                <w:szCs w:val="18"/>
              </w:rPr>
              <w:t xml:space="preserve">the </w:t>
            </w:r>
            <w:r w:rsidRPr="00C2226A">
              <w:rPr>
                <w:rFonts w:asciiTheme="minorHAnsi" w:hAnsiTheme="minorHAnsi" w:cstheme="minorBidi"/>
                <w:sz w:val="18"/>
                <w:szCs w:val="18"/>
              </w:rPr>
              <w:t>future utilization of telehealth systems in this context.</w:t>
            </w:r>
          </w:p>
        </w:tc>
      </w:tr>
      <w:tr w:rsidR="00D84311" w:rsidRPr="00AC5EC7" w14:paraId="452C01E3" w14:textId="77777777" w:rsidTr="00133590">
        <w:trPr>
          <w:cnfStyle w:val="000000100000" w:firstRow="0" w:lastRow="0" w:firstColumn="0" w:lastColumn="0" w:oddVBand="0" w:evenVBand="0" w:oddHBand="1" w:evenHBand="0" w:firstRowFirstColumn="0" w:firstRowLastColumn="0" w:lastRowFirstColumn="0" w:lastRowLastColumn="0"/>
          <w:trHeight w:val="1949"/>
        </w:trPr>
        <w:tc>
          <w:tcPr>
            <w:cnfStyle w:val="001000000000" w:firstRow="0" w:lastRow="0" w:firstColumn="1" w:lastColumn="0" w:oddVBand="0" w:evenVBand="0" w:oddHBand="0" w:evenHBand="0" w:firstRowFirstColumn="0" w:firstRowLastColumn="0" w:lastRowFirstColumn="0" w:lastRowLastColumn="0"/>
            <w:tcW w:w="567" w:type="dxa"/>
            <w:noWrap/>
            <w:hideMark/>
          </w:tcPr>
          <w:p w14:paraId="7C2D716F"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39</w:t>
            </w:r>
          </w:p>
        </w:tc>
        <w:tc>
          <w:tcPr>
            <w:tcW w:w="993" w:type="dxa"/>
            <w:hideMark/>
          </w:tcPr>
          <w:p w14:paraId="7665B332"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O'Brien et al., 2020</w:t>
            </w:r>
          </w:p>
        </w:tc>
        <w:tc>
          <w:tcPr>
            <w:tcW w:w="1984" w:type="dxa"/>
            <w:hideMark/>
          </w:tcPr>
          <w:p w14:paraId="36987961" w14:textId="2DCFB4ED"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E37602">
              <w:rPr>
                <w:rFonts w:asciiTheme="minorHAnsi" w:hAnsiTheme="minorHAnsi" w:cstheme="minorBidi"/>
                <w:sz w:val="18"/>
                <w:szCs w:val="18"/>
              </w:rPr>
              <w:t>Investigated kidney transplant recipients' opinions on the utility of mHealth apps and identified crucial features they find valuable in these applications.</w:t>
            </w:r>
          </w:p>
        </w:tc>
        <w:tc>
          <w:tcPr>
            <w:tcW w:w="1418" w:type="dxa"/>
            <w:hideMark/>
          </w:tcPr>
          <w:p w14:paraId="12754D97"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392E5B0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42678FE2"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1A07B79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351B7B5E"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20</w:t>
            </w:r>
          </w:p>
        </w:tc>
        <w:tc>
          <w:tcPr>
            <w:tcW w:w="992" w:type="dxa"/>
            <w:hideMark/>
          </w:tcPr>
          <w:p w14:paraId="7A58989E"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18DA6423" w14:textId="77777777" w:rsidR="00D84311" w:rsidRPr="00133590"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133590">
              <w:rPr>
                <w:rFonts w:asciiTheme="minorHAnsi" w:hAnsiTheme="minorHAnsi" w:cstheme="minorBidi"/>
                <w:sz w:val="18"/>
                <w:szCs w:val="18"/>
              </w:rPr>
              <w:t>Further research is necessary to determine the most effective consumer-oriented mHealth app for kidney transplant recipients' self-care. Interestingly, participants had limited discussions with their healthcare providers regarding the use of mHealth apps for self-care tracking.</w:t>
            </w:r>
          </w:p>
          <w:p w14:paraId="0D405AF3" w14:textId="77777777" w:rsidR="00D84311" w:rsidRPr="00133590"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78EDD3A5" w14:textId="77777777" w:rsidR="00D84311" w:rsidRPr="00133590"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56DD6A0F" w14:textId="77777777" w:rsidR="00D84311" w:rsidRPr="00133590"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073AAABA" w14:textId="77777777" w:rsidR="00D84311" w:rsidRPr="00133590"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p w14:paraId="33E3CC93" w14:textId="62E64DB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tc>
      </w:tr>
      <w:tr w:rsidR="00766F5C" w:rsidRPr="00AC5EC7" w14:paraId="0D0E5C0C" w14:textId="77777777" w:rsidTr="26F64964">
        <w:trPr>
          <w:trHeight w:val="19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44513D2D"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40</w:t>
            </w:r>
          </w:p>
        </w:tc>
        <w:tc>
          <w:tcPr>
            <w:tcW w:w="993" w:type="dxa"/>
            <w:hideMark/>
          </w:tcPr>
          <w:p w14:paraId="7BA4CDC5"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O'Brien et al., 2022</w:t>
            </w:r>
          </w:p>
        </w:tc>
        <w:tc>
          <w:tcPr>
            <w:tcW w:w="1984" w:type="dxa"/>
            <w:hideMark/>
          </w:tcPr>
          <w:p w14:paraId="7C770A61" w14:textId="45890F2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BA47CC">
              <w:rPr>
                <w:rFonts w:asciiTheme="minorHAnsi" w:hAnsiTheme="minorHAnsi" w:cstheme="minorBidi"/>
                <w:sz w:val="18"/>
                <w:szCs w:val="18"/>
              </w:rPr>
              <w:t>Detail insights gained from training a research team and educating kidney transplant recipients on mHealth technology through a virtual format.</w:t>
            </w:r>
          </w:p>
        </w:tc>
        <w:tc>
          <w:tcPr>
            <w:tcW w:w="1418" w:type="dxa"/>
            <w:hideMark/>
          </w:tcPr>
          <w:p w14:paraId="7DD62930"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1BF723AE"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73208CD2"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42C7407C"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101B9F9"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20</w:t>
            </w:r>
          </w:p>
        </w:tc>
        <w:tc>
          <w:tcPr>
            <w:tcW w:w="992" w:type="dxa"/>
            <w:hideMark/>
          </w:tcPr>
          <w:p w14:paraId="6A4878FF" w14:textId="11688951"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7956ABEB" w14:textId="1F94ED7A"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7F1597">
              <w:rPr>
                <w:rFonts w:asciiTheme="minorHAnsi" w:hAnsiTheme="minorHAnsi" w:cstheme="minorBidi"/>
                <w:sz w:val="18"/>
                <w:szCs w:val="18"/>
              </w:rPr>
              <w:t>Results indicate that time, educational resources, and employing verbal, written, and visual information are crucial when executing a virtual research study.</w:t>
            </w:r>
          </w:p>
        </w:tc>
      </w:tr>
      <w:tr w:rsidR="00D84311" w:rsidRPr="00AC5EC7" w14:paraId="4CF57FC2" w14:textId="77777777" w:rsidTr="00A856E5">
        <w:trPr>
          <w:cnfStyle w:val="000000100000" w:firstRow="0" w:lastRow="0" w:firstColumn="0" w:lastColumn="0" w:oddVBand="0" w:evenVBand="0" w:oddHBand="1" w:evenHBand="0" w:firstRowFirstColumn="0" w:firstRowLastColumn="0" w:lastRowFirstColumn="0" w:lastRowLastColumn="0"/>
          <w:trHeight w:val="1562"/>
        </w:trPr>
        <w:tc>
          <w:tcPr>
            <w:cnfStyle w:val="001000000000" w:firstRow="0" w:lastRow="0" w:firstColumn="1" w:lastColumn="0" w:oddVBand="0" w:evenVBand="0" w:oddHBand="0" w:evenHBand="0" w:firstRowFirstColumn="0" w:firstRowLastColumn="0" w:lastRowFirstColumn="0" w:lastRowLastColumn="0"/>
            <w:tcW w:w="567" w:type="dxa"/>
            <w:noWrap/>
            <w:hideMark/>
          </w:tcPr>
          <w:p w14:paraId="7AEDEDA1"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lastRenderedPageBreak/>
              <w:t>41</w:t>
            </w:r>
          </w:p>
        </w:tc>
        <w:tc>
          <w:tcPr>
            <w:tcW w:w="993" w:type="dxa"/>
            <w:hideMark/>
          </w:tcPr>
          <w:p w14:paraId="14C23F5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O'Brien et al., 2018</w:t>
            </w:r>
          </w:p>
        </w:tc>
        <w:tc>
          <w:tcPr>
            <w:tcW w:w="1984" w:type="dxa"/>
            <w:hideMark/>
          </w:tcPr>
          <w:p w14:paraId="7B03A345" w14:textId="5B18F4F4"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D5481D">
              <w:rPr>
                <w:rFonts w:asciiTheme="minorHAnsi" w:hAnsiTheme="minorHAnsi" w:cstheme="minorBidi"/>
                <w:sz w:val="18"/>
                <w:szCs w:val="18"/>
              </w:rPr>
              <w:t>Outline demographics, usage, obstacles, and views on mobile app utilization for self-care management among adult kidney transplant recipients.</w:t>
            </w:r>
          </w:p>
        </w:tc>
        <w:tc>
          <w:tcPr>
            <w:tcW w:w="1418" w:type="dxa"/>
            <w:hideMark/>
          </w:tcPr>
          <w:p w14:paraId="559B8BA5"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questionnaire/survey</w:t>
            </w:r>
          </w:p>
        </w:tc>
        <w:tc>
          <w:tcPr>
            <w:tcW w:w="1134" w:type="dxa"/>
            <w:hideMark/>
          </w:tcPr>
          <w:p w14:paraId="4B492344"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4FDAB7E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14CCF3D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5B3C61E"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123</w:t>
            </w:r>
          </w:p>
        </w:tc>
        <w:tc>
          <w:tcPr>
            <w:tcW w:w="992" w:type="dxa"/>
            <w:hideMark/>
          </w:tcPr>
          <w:p w14:paraId="2CC43129"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3A7D975E" w14:textId="435B5E24" w:rsidR="00D84311" w:rsidRPr="00C7261F"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C7261F">
              <w:rPr>
                <w:rFonts w:asciiTheme="minorHAnsi" w:hAnsiTheme="minorHAnsi" w:cstheme="minorBidi"/>
                <w:sz w:val="18"/>
                <w:szCs w:val="18"/>
              </w:rPr>
              <w:t xml:space="preserve">Results hint at a possible link between using mHealth apps and reduced hospitalizations </w:t>
            </w:r>
            <w:r w:rsidR="00C96CFE" w:rsidRPr="00C7261F">
              <w:rPr>
                <w:rFonts w:asciiTheme="minorHAnsi" w:hAnsiTheme="minorHAnsi" w:cstheme="minorBidi"/>
                <w:sz w:val="18"/>
                <w:szCs w:val="18"/>
              </w:rPr>
              <w:t>post</w:t>
            </w:r>
            <w:r w:rsidR="00C96CFE">
              <w:rPr>
                <w:rFonts w:asciiTheme="minorHAnsi" w:hAnsiTheme="minorHAnsi" w:cstheme="minorBidi"/>
                <w:sz w:val="18"/>
                <w:szCs w:val="18"/>
              </w:rPr>
              <w:t>-</w:t>
            </w:r>
            <w:r w:rsidRPr="00C7261F">
              <w:rPr>
                <w:rFonts w:asciiTheme="minorHAnsi" w:hAnsiTheme="minorHAnsi" w:cstheme="minorBidi"/>
                <w:sz w:val="18"/>
                <w:szCs w:val="18"/>
              </w:rPr>
              <w:t>kidney transplantation.</w:t>
            </w:r>
          </w:p>
          <w:p w14:paraId="7D9EB793" w14:textId="2E1A1AA9"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
        </w:tc>
      </w:tr>
      <w:tr w:rsidR="00766F5C" w:rsidRPr="00AC5EC7" w14:paraId="376B1E62" w14:textId="77777777" w:rsidTr="00A856E5">
        <w:trPr>
          <w:trHeight w:val="2108"/>
        </w:trPr>
        <w:tc>
          <w:tcPr>
            <w:cnfStyle w:val="001000000000" w:firstRow="0" w:lastRow="0" w:firstColumn="1" w:lastColumn="0" w:oddVBand="0" w:evenVBand="0" w:oddHBand="0" w:evenHBand="0" w:firstRowFirstColumn="0" w:firstRowLastColumn="0" w:lastRowFirstColumn="0" w:lastRowLastColumn="0"/>
            <w:tcW w:w="567" w:type="dxa"/>
            <w:noWrap/>
            <w:hideMark/>
          </w:tcPr>
          <w:p w14:paraId="01330AF9"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42</w:t>
            </w:r>
          </w:p>
        </w:tc>
        <w:tc>
          <w:tcPr>
            <w:tcW w:w="993" w:type="dxa"/>
            <w:hideMark/>
          </w:tcPr>
          <w:p w14:paraId="1E38AF9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Odisho et al., 2023</w:t>
            </w:r>
          </w:p>
        </w:tc>
        <w:tc>
          <w:tcPr>
            <w:tcW w:w="1984" w:type="dxa"/>
            <w:hideMark/>
          </w:tcPr>
          <w:p w14:paraId="7FB562D0" w14:textId="37DF15BA"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Pr>
                <w:rFonts w:asciiTheme="minorHAnsi" w:hAnsiTheme="minorHAnsi" w:cstheme="minorBidi"/>
                <w:sz w:val="18"/>
                <w:szCs w:val="18"/>
              </w:rPr>
              <w:t>C</w:t>
            </w:r>
            <w:r w:rsidRPr="0004487C">
              <w:rPr>
                <w:rFonts w:asciiTheme="minorHAnsi" w:hAnsiTheme="minorHAnsi" w:cstheme="minorBidi"/>
                <w:sz w:val="18"/>
                <w:szCs w:val="18"/>
              </w:rPr>
              <w:t>reated a digital health intervention employing Bluetooth-enabled home spirometers for real-world monitoring of lung transplantation complications.</w:t>
            </w:r>
          </w:p>
        </w:tc>
        <w:tc>
          <w:tcPr>
            <w:tcW w:w="1418" w:type="dxa"/>
            <w:hideMark/>
          </w:tcPr>
          <w:p w14:paraId="6C9CAFEC"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5215D79C"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lung</w:t>
            </w:r>
          </w:p>
        </w:tc>
        <w:tc>
          <w:tcPr>
            <w:tcW w:w="1275" w:type="dxa"/>
            <w:hideMark/>
          </w:tcPr>
          <w:p w14:paraId="2AFD64A6"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(Digital Health Home spirometry intervention)</w:t>
            </w:r>
          </w:p>
        </w:tc>
        <w:tc>
          <w:tcPr>
            <w:tcW w:w="1276" w:type="dxa"/>
            <w:hideMark/>
          </w:tcPr>
          <w:p w14:paraId="560AFA23"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E2AF5A4"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371</w:t>
            </w:r>
          </w:p>
        </w:tc>
        <w:tc>
          <w:tcPr>
            <w:tcW w:w="992" w:type="dxa"/>
            <w:hideMark/>
          </w:tcPr>
          <w:p w14:paraId="511E881E" w14:textId="6171E0F6"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US </w:t>
            </w:r>
          </w:p>
        </w:tc>
        <w:tc>
          <w:tcPr>
            <w:tcW w:w="4395" w:type="dxa"/>
            <w:hideMark/>
          </w:tcPr>
          <w:p w14:paraId="1B58C430" w14:textId="679E49E5"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30F3D">
              <w:rPr>
                <w:rFonts w:asciiTheme="minorHAnsi" w:hAnsiTheme="minorHAnsi" w:cstheme="minorBidi"/>
                <w:sz w:val="18"/>
                <w:szCs w:val="18"/>
              </w:rPr>
              <w:t>Our innovative EHR-integrated home spirometry intervention, utilizing automated chat, garnered high acceptance, provided dependable graft function assessments, and offered automated feedback and education, resulting in reasonably high adherence rates. Notably, in-person onboarding improved engagement and adherence. Subsequent research will explore the impact of remote care monitoring on early detection of lung transplant complications.</w:t>
            </w:r>
          </w:p>
        </w:tc>
      </w:tr>
      <w:tr w:rsidR="00D84311" w:rsidRPr="00AC5EC7" w14:paraId="4D229B55" w14:textId="77777777" w:rsidTr="00556E7F">
        <w:trPr>
          <w:cnfStyle w:val="000000100000" w:firstRow="0" w:lastRow="0" w:firstColumn="0" w:lastColumn="0" w:oddVBand="0" w:evenVBand="0" w:oddHBand="1" w:evenHBand="0" w:firstRowFirstColumn="0" w:firstRowLastColumn="0" w:lastRowFirstColumn="0" w:lastRowLastColumn="0"/>
          <w:trHeight w:val="1202"/>
        </w:trPr>
        <w:tc>
          <w:tcPr>
            <w:cnfStyle w:val="001000000000" w:firstRow="0" w:lastRow="0" w:firstColumn="1" w:lastColumn="0" w:oddVBand="0" w:evenVBand="0" w:oddHBand="0" w:evenHBand="0" w:firstRowFirstColumn="0" w:firstRowLastColumn="0" w:lastRowFirstColumn="0" w:lastRowLastColumn="0"/>
            <w:tcW w:w="567" w:type="dxa"/>
            <w:noWrap/>
            <w:hideMark/>
          </w:tcPr>
          <w:p w14:paraId="2379713E"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43</w:t>
            </w:r>
          </w:p>
        </w:tc>
        <w:tc>
          <w:tcPr>
            <w:tcW w:w="993" w:type="dxa"/>
            <w:hideMark/>
          </w:tcPr>
          <w:p w14:paraId="04FA109F"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Oliveira et al., 2023)</w:t>
            </w:r>
          </w:p>
        </w:tc>
        <w:tc>
          <w:tcPr>
            <w:tcW w:w="1984" w:type="dxa"/>
            <w:hideMark/>
          </w:tcPr>
          <w:p w14:paraId="085C66FA" w14:textId="1992331F"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670921">
              <w:rPr>
                <w:rFonts w:asciiTheme="minorHAnsi" w:hAnsiTheme="minorHAnsi" w:cstheme="minorBidi"/>
                <w:sz w:val="18"/>
                <w:szCs w:val="18"/>
              </w:rPr>
              <w:t>Assessing the adoption of a kidney health app among kidney transplant recipients</w:t>
            </w:r>
          </w:p>
        </w:tc>
        <w:tc>
          <w:tcPr>
            <w:tcW w:w="1418" w:type="dxa"/>
            <w:hideMark/>
          </w:tcPr>
          <w:p w14:paraId="5BE735AC"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5002F1CF"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Organ - Kidney </w:t>
            </w:r>
          </w:p>
        </w:tc>
        <w:tc>
          <w:tcPr>
            <w:tcW w:w="1275" w:type="dxa"/>
            <w:hideMark/>
          </w:tcPr>
          <w:p w14:paraId="1C03626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48E1BDFD"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174266D5"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225</w:t>
            </w:r>
          </w:p>
        </w:tc>
        <w:tc>
          <w:tcPr>
            <w:tcW w:w="992" w:type="dxa"/>
            <w:hideMark/>
          </w:tcPr>
          <w:p w14:paraId="696FBDA3"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Brazil</w:t>
            </w:r>
          </w:p>
        </w:tc>
        <w:tc>
          <w:tcPr>
            <w:tcW w:w="4395" w:type="dxa"/>
            <w:hideMark/>
          </w:tcPr>
          <w:p w14:paraId="7ECB0242" w14:textId="3F0DB79C"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556E7F">
              <w:rPr>
                <w:rFonts w:asciiTheme="minorHAnsi" w:hAnsiTheme="minorHAnsi" w:cstheme="minorBidi"/>
                <w:sz w:val="18"/>
                <w:szCs w:val="18"/>
              </w:rPr>
              <w:t>The kidney transplant recipient segment in the Renal Health app intrigued the younger demographic but demonstrated low engagement over the monitored months. These outcomes provide valuable insights into implementing mHealth tech in kidney transplantation.</w:t>
            </w:r>
          </w:p>
        </w:tc>
      </w:tr>
      <w:tr w:rsidR="00766F5C" w:rsidRPr="00AC5EC7" w14:paraId="4B08D895" w14:textId="77777777" w:rsidTr="26F64964">
        <w:trPr>
          <w:trHeight w:val="2360"/>
        </w:trPr>
        <w:tc>
          <w:tcPr>
            <w:cnfStyle w:val="001000000000" w:firstRow="0" w:lastRow="0" w:firstColumn="1" w:lastColumn="0" w:oddVBand="0" w:evenVBand="0" w:oddHBand="0" w:evenHBand="0" w:firstRowFirstColumn="0" w:firstRowLastColumn="0" w:lastRowFirstColumn="0" w:lastRowLastColumn="0"/>
            <w:tcW w:w="567" w:type="dxa"/>
            <w:noWrap/>
            <w:hideMark/>
          </w:tcPr>
          <w:p w14:paraId="43ADE15F"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44</w:t>
            </w:r>
          </w:p>
        </w:tc>
        <w:tc>
          <w:tcPr>
            <w:tcW w:w="993" w:type="dxa"/>
            <w:hideMark/>
          </w:tcPr>
          <w:p w14:paraId="00ABDD05"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Park et al., 2021</w:t>
            </w:r>
          </w:p>
        </w:tc>
        <w:tc>
          <w:tcPr>
            <w:tcW w:w="1984" w:type="dxa"/>
            <w:hideMark/>
          </w:tcPr>
          <w:p w14:paraId="5C4AC4AF" w14:textId="23375EED"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27398A">
              <w:rPr>
                <w:rFonts w:asciiTheme="minorHAnsi" w:hAnsiTheme="minorHAnsi" w:cstheme="minorBidi" w:hint="eastAsia"/>
                <w:sz w:val="18"/>
                <w:szCs w:val="18"/>
              </w:rPr>
              <w:t>Detail the establishment of a CT transplant pharmacist role in an LTR virtual clinic and outline the clinical interventions and medication errors discovered by the pharmacists amid COVID</w:t>
            </w:r>
            <w:r w:rsidRPr="0027398A">
              <w:rPr>
                <w:rFonts w:asciiTheme="minorHAnsi" w:hAnsiTheme="minorHAnsi" w:cstheme="minorBidi" w:hint="eastAsia"/>
                <w:sz w:val="18"/>
                <w:szCs w:val="18"/>
              </w:rPr>
              <w:t>‐</w:t>
            </w:r>
            <w:r w:rsidRPr="0027398A">
              <w:rPr>
                <w:rFonts w:asciiTheme="minorHAnsi" w:hAnsiTheme="minorHAnsi" w:cstheme="minorBidi" w:hint="eastAsia"/>
                <w:sz w:val="18"/>
                <w:szCs w:val="18"/>
              </w:rPr>
              <w:t>19.</w:t>
            </w:r>
          </w:p>
        </w:tc>
        <w:tc>
          <w:tcPr>
            <w:tcW w:w="1418" w:type="dxa"/>
            <w:hideMark/>
          </w:tcPr>
          <w:p w14:paraId="3B684C6F"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2B4921FB"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Lung</w:t>
            </w:r>
          </w:p>
        </w:tc>
        <w:tc>
          <w:tcPr>
            <w:tcW w:w="1275" w:type="dxa"/>
            <w:hideMark/>
          </w:tcPr>
          <w:p w14:paraId="2FA963FD"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Telemedicine</w:t>
            </w:r>
          </w:p>
        </w:tc>
        <w:tc>
          <w:tcPr>
            <w:tcW w:w="1276" w:type="dxa"/>
            <w:hideMark/>
          </w:tcPr>
          <w:p w14:paraId="106DB788"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Transplant pharmacists &amp; Patients</w:t>
            </w:r>
          </w:p>
        </w:tc>
        <w:tc>
          <w:tcPr>
            <w:tcW w:w="1134" w:type="dxa"/>
            <w:hideMark/>
          </w:tcPr>
          <w:p w14:paraId="5C268EFB" w14:textId="1E416764"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 Pharmacists &amp; 157 Lung Transplant Patients</w:t>
            </w:r>
          </w:p>
        </w:tc>
        <w:tc>
          <w:tcPr>
            <w:tcW w:w="992" w:type="dxa"/>
            <w:hideMark/>
          </w:tcPr>
          <w:p w14:paraId="4E482453"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40A668A2" w14:textId="03A8061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E58B0">
              <w:rPr>
                <w:rFonts w:asciiTheme="minorHAnsi" w:hAnsiTheme="minorHAnsi" w:cstheme="minorBidi"/>
                <w:sz w:val="18"/>
                <w:szCs w:val="18"/>
              </w:rPr>
              <w:t>Introducing CT transplant pharmacist telehealth sessions could boost patient access to pharmacy care and enhance medication list accuracy. Most errors showed significant severity and service value. Further study is required to assess this service's impact on patient outcomes and cost-effectiveness.</w:t>
            </w:r>
          </w:p>
        </w:tc>
      </w:tr>
      <w:tr w:rsidR="00D84311" w:rsidRPr="00AC5EC7" w14:paraId="0DE1BFB4" w14:textId="77777777" w:rsidTr="26F64964">
        <w:trPr>
          <w:cnfStyle w:val="000000100000" w:firstRow="0" w:lastRow="0" w:firstColumn="0" w:lastColumn="0" w:oddVBand="0" w:evenVBand="0" w:oddHBand="1" w:evenHBand="0" w:firstRowFirstColumn="0" w:firstRowLastColumn="0" w:lastRowFirstColumn="0" w:lastRowLastColumn="0"/>
          <w:trHeight w:val="22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2D699BC7"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lastRenderedPageBreak/>
              <w:t>45</w:t>
            </w:r>
          </w:p>
        </w:tc>
        <w:tc>
          <w:tcPr>
            <w:tcW w:w="993" w:type="dxa"/>
            <w:hideMark/>
          </w:tcPr>
          <w:p w14:paraId="4789FE5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roofErr w:type="spellStart"/>
            <w:r w:rsidRPr="00AC5EC7">
              <w:rPr>
                <w:rFonts w:asciiTheme="minorHAnsi" w:hAnsiTheme="minorHAnsi" w:cstheme="minorBidi"/>
                <w:sz w:val="18"/>
                <w:szCs w:val="18"/>
              </w:rPr>
              <w:t>Pollockm</w:t>
            </w:r>
            <w:proofErr w:type="spellEnd"/>
            <w:r w:rsidRPr="00AC5EC7">
              <w:rPr>
                <w:rFonts w:asciiTheme="minorHAnsi" w:hAnsiTheme="minorHAnsi" w:cstheme="minorBidi"/>
                <w:sz w:val="18"/>
                <w:szCs w:val="18"/>
              </w:rPr>
              <w:t xml:space="preserve"> et al., 2023</w:t>
            </w:r>
          </w:p>
        </w:tc>
        <w:tc>
          <w:tcPr>
            <w:tcW w:w="1984" w:type="dxa"/>
            <w:hideMark/>
          </w:tcPr>
          <w:p w14:paraId="13EFB377" w14:textId="6A415A71"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7D30E4">
              <w:rPr>
                <w:rFonts w:asciiTheme="minorHAnsi" w:hAnsiTheme="minorHAnsi" w:cstheme="minorBidi"/>
                <w:sz w:val="18"/>
                <w:szCs w:val="18"/>
              </w:rPr>
              <w:t xml:space="preserve">Assess if the </w:t>
            </w:r>
            <w:proofErr w:type="spellStart"/>
            <w:r w:rsidRPr="007D30E4">
              <w:rPr>
                <w:rFonts w:asciiTheme="minorHAnsi" w:hAnsiTheme="minorHAnsi" w:cstheme="minorBidi"/>
                <w:sz w:val="18"/>
                <w:szCs w:val="18"/>
              </w:rPr>
              <w:t>MyKidneyCoach</w:t>
            </w:r>
            <w:proofErr w:type="spellEnd"/>
            <w:r w:rsidRPr="007D30E4">
              <w:rPr>
                <w:rFonts w:asciiTheme="minorHAnsi" w:hAnsiTheme="minorHAnsi" w:cstheme="minorBidi"/>
                <w:sz w:val="18"/>
                <w:szCs w:val="18"/>
              </w:rPr>
              <w:t xml:space="preserve"> app enhanced patient activation, engagement, and dietary habits in a diverse kidney transplant (KT) population</w:t>
            </w:r>
          </w:p>
        </w:tc>
        <w:tc>
          <w:tcPr>
            <w:tcW w:w="1418" w:type="dxa"/>
            <w:hideMark/>
          </w:tcPr>
          <w:p w14:paraId="6DC49DDD"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2AE92BFC"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4E493066"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68D28854"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6FC4DF18"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9</w:t>
            </w:r>
          </w:p>
        </w:tc>
        <w:tc>
          <w:tcPr>
            <w:tcW w:w="992" w:type="dxa"/>
            <w:hideMark/>
          </w:tcPr>
          <w:p w14:paraId="6EAFA117"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62C3D57B" w14:textId="70ED45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proofErr w:type="spellStart"/>
            <w:r w:rsidRPr="002454AD">
              <w:rPr>
                <w:rFonts w:asciiTheme="minorHAnsi" w:hAnsiTheme="minorHAnsi" w:cstheme="minorBidi"/>
                <w:sz w:val="18"/>
                <w:szCs w:val="18"/>
              </w:rPr>
              <w:t>MyKidneyCoach</w:t>
            </w:r>
            <w:proofErr w:type="spellEnd"/>
            <w:r w:rsidRPr="002454AD">
              <w:rPr>
                <w:rFonts w:asciiTheme="minorHAnsi" w:hAnsiTheme="minorHAnsi" w:cstheme="minorBidi"/>
                <w:sz w:val="18"/>
                <w:szCs w:val="18"/>
              </w:rPr>
              <w:t xml:space="preserve"> had high user acceptance and minimal dropout, with enhancements seen in patient-reported outcomes. Both Black and non-Black users showed better self-management skills, indicating a potential in reducing healthcare disparities in KT.</w:t>
            </w:r>
          </w:p>
        </w:tc>
      </w:tr>
      <w:tr w:rsidR="00766F5C" w:rsidRPr="00AC5EC7" w14:paraId="4970EBA1" w14:textId="77777777" w:rsidTr="26F64964">
        <w:trPr>
          <w:trHeight w:val="25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28842513"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46</w:t>
            </w:r>
          </w:p>
        </w:tc>
        <w:tc>
          <w:tcPr>
            <w:tcW w:w="993" w:type="dxa"/>
            <w:hideMark/>
          </w:tcPr>
          <w:p w14:paraId="708F04B8"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Reber et al., 2018</w:t>
            </w:r>
          </w:p>
        </w:tc>
        <w:tc>
          <w:tcPr>
            <w:tcW w:w="1984" w:type="dxa"/>
            <w:hideMark/>
          </w:tcPr>
          <w:p w14:paraId="39B4F73D" w14:textId="010C1241"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364F30">
              <w:rPr>
                <w:rFonts w:asciiTheme="minorHAnsi" w:hAnsiTheme="minorHAnsi" w:cstheme="minorHAnsi"/>
                <w:sz w:val="18"/>
                <w:szCs w:val="18"/>
              </w:rPr>
              <w:t xml:space="preserve">Identify RTRs </w:t>
            </w:r>
            <w:proofErr w:type="spellStart"/>
            <w:r w:rsidRPr="00364F30">
              <w:rPr>
                <w:rFonts w:asciiTheme="minorHAnsi" w:hAnsiTheme="minorHAnsi" w:cstheme="minorHAnsi"/>
                <w:sz w:val="18"/>
                <w:szCs w:val="18"/>
              </w:rPr>
              <w:t>favoring</w:t>
            </w:r>
            <w:proofErr w:type="spellEnd"/>
            <w:r w:rsidRPr="00364F30">
              <w:rPr>
                <w:rFonts w:asciiTheme="minorHAnsi" w:hAnsiTheme="minorHAnsi" w:cstheme="minorHAnsi"/>
                <w:sz w:val="18"/>
                <w:szCs w:val="18"/>
              </w:rPr>
              <w:t xml:space="preserve"> and benefiting from mobile technologies like smartphones, potentially suited for mHealth interventions.</w:t>
            </w:r>
          </w:p>
        </w:tc>
        <w:tc>
          <w:tcPr>
            <w:tcW w:w="1418" w:type="dxa"/>
            <w:hideMark/>
          </w:tcPr>
          <w:p w14:paraId="6E7DA451"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6515AA5D"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Renal</w:t>
            </w:r>
          </w:p>
        </w:tc>
        <w:tc>
          <w:tcPr>
            <w:tcW w:w="1275" w:type="dxa"/>
            <w:hideMark/>
          </w:tcPr>
          <w:p w14:paraId="0B35A40E"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23E360A3"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64FF25D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109</w:t>
            </w:r>
          </w:p>
        </w:tc>
        <w:tc>
          <w:tcPr>
            <w:tcW w:w="992" w:type="dxa"/>
            <w:hideMark/>
          </w:tcPr>
          <w:p w14:paraId="2B5C17D4"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Germany</w:t>
            </w:r>
          </w:p>
        </w:tc>
        <w:tc>
          <w:tcPr>
            <w:tcW w:w="4395" w:type="dxa"/>
            <w:hideMark/>
          </w:tcPr>
          <w:p w14:paraId="070AEE9F" w14:textId="49B0886B"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477E3D">
              <w:rPr>
                <w:rFonts w:asciiTheme="minorHAnsi" w:hAnsiTheme="minorHAnsi" w:cstheme="minorBidi"/>
                <w:sz w:val="18"/>
                <w:szCs w:val="18"/>
              </w:rPr>
              <w:t>Young adult patients may benefit considerably from mobile health strategies. Additionally, a higher education level and typical cognitive function support an inclination toward mobile technology. These factors should be considered in crafting mHealth interventions for RTRs. Further research on potential barriers and desired technological features is crucial to tailor apps to patients' requirements for effective mHealth interventions.</w:t>
            </w:r>
          </w:p>
        </w:tc>
      </w:tr>
      <w:tr w:rsidR="00D84311" w:rsidRPr="00AC5EC7" w14:paraId="61D6B8C1" w14:textId="77777777" w:rsidTr="26F64964">
        <w:trPr>
          <w:cnfStyle w:val="000000100000" w:firstRow="0" w:lastRow="0" w:firstColumn="0" w:lastColumn="0" w:oddVBand="0" w:evenVBand="0" w:oddHBand="1" w:evenHBand="0" w:firstRowFirstColumn="0" w:firstRowLastColumn="0" w:lastRowFirstColumn="0" w:lastRowLastColumn="0"/>
          <w:trHeight w:val="25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0C0C5D3A"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47</w:t>
            </w:r>
          </w:p>
        </w:tc>
        <w:tc>
          <w:tcPr>
            <w:tcW w:w="993" w:type="dxa"/>
            <w:hideMark/>
          </w:tcPr>
          <w:p w14:paraId="51613676"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Sayegh et al., 2022</w:t>
            </w:r>
          </w:p>
        </w:tc>
        <w:tc>
          <w:tcPr>
            <w:tcW w:w="1984" w:type="dxa"/>
            <w:hideMark/>
          </w:tcPr>
          <w:p w14:paraId="19733625" w14:textId="5884F1B1"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DD3CAF">
              <w:rPr>
                <w:rFonts w:asciiTheme="minorHAnsi" w:hAnsiTheme="minorHAnsi" w:cstheme="minorBidi"/>
                <w:sz w:val="18"/>
                <w:szCs w:val="18"/>
              </w:rPr>
              <w:t>Assess the suitability and viability of a short mobile health (mHealth) intervention and its influence on medication adherence in Adolescent and Young Adult (AYA) liver transplant recipients.</w:t>
            </w:r>
          </w:p>
        </w:tc>
        <w:tc>
          <w:tcPr>
            <w:tcW w:w="1418" w:type="dxa"/>
            <w:hideMark/>
          </w:tcPr>
          <w:p w14:paraId="73F0E4C8"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Mixed methods</w:t>
            </w:r>
          </w:p>
        </w:tc>
        <w:tc>
          <w:tcPr>
            <w:tcW w:w="1134" w:type="dxa"/>
            <w:hideMark/>
          </w:tcPr>
          <w:p w14:paraId="7B85C776"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5641EEF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3A79E96D"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71FCD70E"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35</w:t>
            </w:r>
          </w:p>
        </w:tc>
        <w:tc>
          <w:tcPr>
            <w:tcW w:w="992" w:type="dxa"/>
            <w:hideMark/>
          </w:tcPr>
          <w:p w14:paraId="0BD339D6"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415E830F" w14:textId="0819963D"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3329DA">
              <w:rPr>
                <w:rFonts w:asciiTheme="minorHAnsi" w:hAnsiTheme="minorHAnsi" w:cstheme="minorBidi"/>
                <w:sz w:val="18"/>
                <w:szCs w:val="18"/>
              </w:rPr>
              <w:t>The findings indicate that sending text messages to patients regarding positive health markers was well-received and could potentially enhance self-management of illness in AYA individuals with refinement.</w:t>
            </w:r>
          </w:p>
        </w:tc>
      </w:tr>
      <w:tr w:rsidR="00766F5C" w:rsidRPr="00AC5EC7" w14:paraId="7D3A93CD" w14:textId="77777777" w:rsidTr="26F64964">
        <w:trPr>
          <w:trHeight w:val="13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057AA9F2"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lastRenderedPageBreak/>
              <w:t>48</w:t>
            </w:r>
          </w:p>
        </w:tc>
        <w:tc>
          <w:tcPr>
            <w:tcW w:w="993" w:type="dxa"/>
            <w:hideMark/>
          </w:tcPr>
          <w:p w14:paraId="4DD6569F"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Sidhu et al., 2019</w:t>
            </w:r>
          </w:p>
        </w:tc>
        <w:tc>
          <w:tcPr>
            <w:tcW w:w="1984" w:type="dxa"/>
            <w:hideMark/>
          </w:tcPr>
          <w:p w14:paraId="32C5E3F6" w14:textId="46FB99F2"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2C27C0">
              <w:rPr>
                <w:rFonts w:asciiTheme="minorHAnsi" w:hAnsiTheme="minorHAnsi" w:cstheme="minorBidi"/>
                <w:sz w:val="18"/>
                <w:szCs w:val="18"/>
              </w:rPr>
              <w:t>Assess the effects of telehealth versus face-to-face follow-up on lung transplant recipients.</w:t>
            </w:r>
          </w:p>
        </w:tc>
        <w:tc>
          <w:tcPr>
            <w:tcW w:w="1418" w:type="dxa"/>
            <w:hideMark/>
          </w:tcPr>
          <w:p w14:paraId="6CC711CE"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w:t>
            </w:r>
          </w:p>
        </w:tc>
        <w:tc>
          <w:tcPr>
            <w:tcW w:w="1134" w:type="dxa"/>
            <w:hideMark/>
          </w:tcPr>
          <w:p w14:paraId="2C0309F1"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lung</w:t>
            </w:r>
          </w:p>
        </w:tc>
        <w:tc>
          <w:tcPr>
            <w:tcW w:w="1275" w:type="dxa"/>
            <w:hideMark/>
          </w:tcPr>
          <w:p w14:paraId="0BA13101"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41E1ADA8"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09CFEC03"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204</w:t>
            </w:r>
          </w:p>
        </w:tc>
        <w:tc>
          <w:tcPr>
            <w:tcW w:w="992" w:type="dxa"/>
            <w:hideMark/>
          </w:tcPr>
          <w:p w14:paraId="089DEABD"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Canada</w:t>
            </w:r>
          </w:p>
        </w:tc>
        <w:tc>
          <w:tcPr>
            <w:tcW w:w="4395" w:type="dxa"/>
            <w:hideMark/>
          </w:tcPr>
          <w:p w14:paraId="2D42F841" w14:textId="4E283122"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432894">
              <w:rPr>
                <w:rFonts w:asciiTheme="minorHAnsi" w:hAnsiTheme="minorHAnsi" w:cstheme="minorBidi"/>
                <w:sz w:val="18"/>
                <w:szCs w:val="18"/>
              </w:rPr>
              <w:t xml:space="preserve">Telehealth proves safe and effective for specific transplant recipients, improving care access and lessening time and financial strain, particularly for patients distant from primary transplant </w:t>
            </w:r>
            <w:r w:rsidR="002A7329" w:rsidRPr="00432894">
              <w:rPr>
                <w:rFonts w:asciiTheme="minorHAnsi" w:hAnsiTheme="minorHAnsi" w:cstheme="minorBidi"/>
                <w:sz w:val="18"/>
                <w:szCs w:val="18"/>
              </w:rPr>
              <w:t>centres</w:t>
            </w:r>
            <w:r w:rsidRPr="00432894">
              <w:rPr>
                <w:rFonts w:asciiTheme="minorHAnsi" w:hAnsiTheme="minorHAnsi" w:cstheme="minorBidi"/>
                <w:sz w:val="18"/>
                <w:szCs w:val="18"/>
              </w:rPr>
              <w:t>.</w:t>
            </w:r>
          </w:p>
        </w:tc>
      </w:tr>
      <w:tr w:rsidR="00D84311" w:rsidRPr="00AC5EC7" w14:paraId="433EA1AD" w14:textId="77777777" w:rsidTr="004038C1">
        <w:trPr>
          <w:cnfStyle w:val="000000100000" w:firstRow="0" w:lastRow="0" w:firstColumn="0" w:lastColumn="0" w:oddVBand="0" w:evenVBand="0" w:oddHBand="1" w:evenHBand="0" w:firstRowFirstColumn="0" w:firstRowLastColumn="0" w:lastRowFirstColumn="0" w:lastRowLastColumn="0"/>
          <w:trHeight w:val="2116"/>
        </w:trPr>
        <w:tc>
          <w:tcPr>
            <w:cnfStyle w:val="001000000000" w:firstRow="0" w:lastRow="0" w:firstColumn="1" w:lastColumn="0" w:oddVBand="0" w:evenVBand="0" w:oddHBand="0" w:evenHBand="0" w:firstRowFirstColumn="0" w:firstRowLastColumn="0" w:lastRowFirstColumn="0" w:lastRowLastColumn="0"/>
            <w:tcW w:w="567" w:type="dxa"/>
            <w:noWrap/>
            <w:hideMark/>
          </w:tcPr>
          <w:p w14:paraId="4B451689"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49</w:t>
            </w:r>
          </w:p>
        </w:tc>
        <w:tc>
          <w:tcPr>
            <w:tcW w:w="993" w:type="dxa"/>
            <w:hideMark/>
          </w:tcPr>
          <w:p w14:paraId="347E516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Skeens et al., 2022</w:t>
            </w:r>
          </w:p>
        </w:tc>
        <w:tc>
          <w:tcPr>
            <w:tcW w:w="1984" w:type="dxa"/>
            <w:hideMark/>
          </w:tcPr>
          <w:p w14:paraId="6D048DEA" w14:textId="76F1BBF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7E750F">
              <w:rPr>
                <w:rFonts w:asciiTheme="minorHAnsi" w:hAnsiTheme="minorHAnsi" w:cstheme="minorBidi"/>
                <w:sz w:val="18"/>
                <w:szCs w:val="18"/>
              </w:rPr>
              <w:t>Evaluate the practicality and usability of a mHealth app (BMT4me) aimed at enhancing adherence to immunosuppressant medication and monitoring symptoms in children after HSCT.</w:t>
            </w:r>
          </w:p>
        </w:tc>
        <w:tc>
          <w:tcPr>
            <w:tcW w:w="1418" w:type="dxa"/>
            <w:hideMark/>
          </w:tcPr>
          <w:p w14:paraId="62C53321"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Mixed methods - Qualitative &amp; Quantitative</w:t>
            </w:r>
          </w:p>
        </w:tc>
        <w:tc>
          <w:tcPr>
            <w:tcW w:w="1134" w:type="dxa"/>
            <w:hideMark/>
          </w:tcPr>
          <w:p w14:paraId="42477332"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Hematopoietic Stem Cell Transplant</w:t>
            </w:r>
          </w:p>
        </w:tc>
        <w:tc>
          <w:tcPr>
            <w:tcW w:w="1275" w:type="dxa"/>
            <w:hideMark/>
          </w:tcPr>
          <w:p w14:paraId="4A1B28D2"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0EF9CA19" w14:textId="32C4F209"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Caregivers of </w:t>
            </w:r>
            <w:r w:rsidR="00DE25B8" w:rsidRPr="00AC5EC7">
              <w:rPr>
                <w:rFonts w:asciiTheme="minorHAnsi" w:hAnsiTheme="minorHAnsi" w:cstheme="minorHAnsi"/>
                <w:sz w:val="18"/>
                <w:szCs w:val="18"/>
              </w:rPr>
              <w:t>Paediatric</w:t>
            </w:r>
            <w:r w:rsidRPr="00AC5EC7">
              <w:rPr>
                <w:rFonts w:asciiTheme="minorHAnsi" w:hAnsiTheme="minorHAnsi" w:cstheme="minorHAnsi"/>
                <w:sz w:val="18"/>
                <w:szCs w:val="18"/>
              </w:rPr>
              <w:t xml:space="preserve"> Patients</w:t>
            </w:r>
          </w:p>
        </w:tc>
        <w:tc>
          <w:tcPr>
            <w:tcW w:w="1134" w:type="dxa"/>
            <w:hideMark/>
          </w:tcPr>
          <w:p w14:paraId="1FCAD157"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15</w:t>
            </w:r>
          </w:p>
        </w:tc>
        <w:tc>
          <w:tcPr>
            <w:tcW w:w="992" w:type="dxa"/>
            <w:hideMark/>
          </w:tcPr>
          <w:p w14:paraId="42CDA92F"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66E03ADA" w14:textId="3ADE12E4"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4038C1">
              <w:rPr>
                <w:rFonts w:asciiTheme="minorHAnsi" w:hAnsiTheme="minorHAnsi" w:cstheme="minorBidi"/>
                <w:sz w:val="18"/>
                <w:szCs w:val="18"/>
              </w:rPr>
              <w:t>This protocol outlines a mixed methods study focusing on developing and deploying a smartphone app for caregivers of children undergoing HSCT. The app aims to enhance immunosuppressant adherence and symptom monitoring post-discharge. Study results will guide further app refinement and assess the feasibility of a pilot randomized controlled trial assessing its impact on clinical outcomes.</w:t>
            </w:r>
          </w:p>
        </w:tc>
      </w:tr>
      <w:tr w:rsidR="00766F5C" w:rsidRPr="00AC5EC7" w14:paraId="7889A6F9" w14:textId="77777777" w:rsidTr="26F64964">
        <w:trPr>
          <w:trHeight w:val="208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4CD3393"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50</w:t>
            </w:r>
          </w:p>
        </w:tc>
        <w:tc>
          <w:tcPr>
            <w:tcW w:w="993" w:type="dxa"/>
            <w:hideMark/>
          </w:tcPr>
          <w:p w14:paraId="5F40846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Tang et al., 2022</w:t>
            </w:r>
          </w:p>
        </w:tc>
        <w:tc>
          <w:tcPr>
            <w:tcW w:w="1984" w:type="dxa"/>
            <w:hideMark/>
          </w:tcPr>
          <w:p w14:paraId="4924B392" w14:textId="3F20A91F"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E938B2">
              <w:rPr>
                <w:rFonts w:asciiTheme="minorHAnsi" w:hAnsiTheme="minorHAnsi" w:cstheme="minorBidi"/>
                <w:sz w:val="18"/>
                <w:szCs w:val="18"/>
              </w:rPr>
              <w:t>Detail the viewpoints and encounters with eHealth within kidney transplant recipients.</w:t>
            </w:r>
          </w:p>
        </w:tc>
        <w:tc>
          <w:tcPr>
            <w:tcW w:w="1418" w:type="dxa"/>
            <w:hideMark/>
          </w:tcPr>
          <w:p w14:paraId="2009B272"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2F0F810D"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00D6AE10"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Electronic app/devices (eHealth)</w:t>
            </w:r>
          </w:p>
        </w:tc>
        <w:tc>
          <w:tcPr>
            <w:tcW w:w="1276" w:type="dxa"/>
            <w:hideMark/>
          </w:tcPr>
          <w:p w14:paraId="46E0433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47FD061"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30</w:t>
            </w:r>
          </w:p>
        </w:tc>
        <w:tc>
          <w:tcPr>
            <w:tcW w:w="992" w:type="dxa"/>
            <w:hideMark/>
          </w:tcPr>
          <w:p w14:paraId="5669E30B"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Australia</w:t>
            </w:r>
          </w:p>
        </w:tc>
        <w:tc>
          <w:tcPr>
            <w:tcW w:w="4395" w:type="dxa"/>
            <w:hideMark/>
          </w:tcPr>
          <w:p w14:paraId="3737F39D" w14:textId="1E012059"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C50595">
              <w:rPr>
                <w:rFonts w:asciiTheme="minorHAnsi" w:hAnsiTheme="minorHAnsi" w:cstheme="minorBidi"/>
                <w:sz w:val="18"/>
                <w:szCs w:val="18"/>
              </w:rPr>
              <w:t>Recipients recognized eHealth's potential for aiding healthcare and self-care but faced tech navigation issues and worried about privacy and misinformation. User-friendly, tailored, and secure eHealth systems could enhance satisfaction and outcomes.</w:t>
            </w:r>
          </w:p>
        </w:tc>
      </w:tr>
      <w:tr w:rsidR="00D84311" w:rsidRPr="00AC5EC7" w14:paraId="22C9A713" w14:textId="77777777" w:rsidTr="00A856E5">
        <w:trPr>
          <w:cnfStyle w:val="000000100000" w:firstRow="0" w:lastRow="0" w:firstColumn="0" w:lastColumn="0" w:oddVBand="0" w:evenVBand="0" w:oddHBand="1" w:evenHBand="0" w:firstRowFirstColumn="0" w:firstRowLastColumn="0" w:lastRowFirstColumn="0" w:lastRowLastColumn="0"/>
          <w:trHeight w:val="1420"/>
        </w:trPr>
        <w:tc>
          <w:tcPr>
            <w:cnfStyle w:val="001000000000" w:firstRow="0" w:lastRow="0" w:firstColumn="1" w:lastColumn="0" w:oddVBand="0" w:evenVBand="0" w:oddHBand="0" w:evenHBand="0" w:firstRowFirstColumn="0" w:firstRowLastColumn="0" w:lastRowFirstColumn="0" w:lastRowLastColumn="0"/>
            <w:tcW w:w="567" w:type="dxa"/>
            <w:noWrap/>
            <w:hideMark/>
          </w:tcPr>
          <w:p w14:paraId="53D78F99"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51</w:t>
            </w:r>
          </w:p>
        </w:tc>
        <w:tc>
          <w:tcPr>
            <w:tcW w:w="993" w:type="dxa"/>
            <w:hideMark/>
          </w:tcPr>
          <w:p w14:paraId="0FACC51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Thiessen et al., 2020</w:t>
            </w:r>
          </w:p>
        </w:tc>
        <w:tc>
          <w:tcPr>
            <w:tcW w:w="1984" w:type="dxa"/>
            <w:hideMark/>
          </w:tcPr>
          <w:p w14:paraId="7210C08A" w14:textId="02FDA38B"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D73288">
              <w:rPr>
                <w:rFonts w:asciiTheme="minorHAnsi" w:hAnsiTheme="minorHAnsi" w:cstheme="minorBidi"/>
                <w:sz w:val="18"/>
                <w:szCs w:val="18"/>
              </w:rPr>
              <w:t>An observational review of the abdominal transplant program at the University of California.</w:t>
            </w:r>
          </w:p>
        </w:tc>
        <w:tc>
          <w:tcPr>
            <w:tcW w:w="1418" w:type="dxa"/>
            <w:hideMark/>
          </w:tcPr>
          <w:p w14:paraId="07B76426"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Descriptive study</w:t>
            </w:r>
          </w:p>
        </w:tc>
        <w:tc>
          <w:tcPr>
            <w:tcW w:w="1134" w:type="dxa"/>
            <w:hideMark/>
          </w:tcPr>
          <w:p w14:paraId="2189BC94"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 Liver, pancreas</w:t>
            </w:r>
          </w:p>
        </w:tc>
        <w:tc>
          <w:tcPr>
            <w:tcW w:w="1275" w:type="dxa"/>
            <w:hideMark/>
          </w:tcPr>
          <w:p w14:paraId="3C144B23"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71936197"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Transplant Clinic</w:t>
            </w:r>
          </w:p>
        </w:tc>
        <w:tc>
          <w:tcPr>
            <w:tcW w:w="1134" w:type="dxa"/>
            <w:hideMark/>
          </w:tcPr>
          <w:p w14:paraId="3E13E2EE"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w:t>
            </w:r>
          </w:p>
        </w:tc>
        <w:tc>
          <w:tcPr>
            <w:tcW w:w="992" w:type="dxa"/>
            <w:hideMark/>
          </w:tcPr>
          <w:p w14:paraId="1BF58EB8"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3670DC8C" w14:textId="74E1004D"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0B3137">
              <w:rPr>
                <w:rFonts w:asciiTheme="minorHAnsi" w:hAnsiTheme="minorHAnsi" w:cstheme="minorBidi"/>
                <w:sz w:val="18"/>
                <w:szCs w:val="18"/>
              </w:rPr>
              <w:t>Each transplant program is distinct, necessitating a tailored approach to sustain crucial transplantation services. The authors' experience highlights specific areas needing attention in these programs, offering potential solutions applicable to ensure ongoing transplantation during the COVID-19 era.</w:t>
            </w:r>
          </w:p>
        </w:tc>
      </w:tr>
      <w:tr w:rsidR="00766F5C" w:rsidRPr="00AC5EC7" w14:paraId="1D7063DF" w14:textId="77777777" w:rsidTr="00C51433">
        <w:trPr>
          <w:trHeight w:val="2541"/>
        </w:trPr>
        <w:tc>
          <w:tcPr>
            <w:cnfStyle w:val="001000000000" w:firstRow="0" w:lastRow="0" w:firstColumn="1" w:lastColumn="0" w:oddVBand="0" w:evenVBand="0" w:oddHBand="0" w:evenHBand="0" w:firstRowFirstColumn="0" w:firstRowLastColumn="0" w:lastRowFirstColumn="0" w:lastRowLastColumn="0"/>
            <w:tcW w:w="567" w:type="dxa"/>
            <w:noWrap/>
            <w:hideMark/>
          </w:tcPr>
          <w:p w14:paraId="2D1B50EE"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lastRenderedPageBreak/>
              <w:t>52</w:t>
            </w:r>
          </w:p>
        </w:tc>
        <w:tc>
          <w:tcPr>
            <w:tcW w:w="993" w:type="dxa"/>
            <w:hideMark/>
          </w:tcPr>
          <w:p w14:paraId="0BFC89D0"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Vanhoof et al., 2018</w:t>
            </w:r>
          </w:p>
        </w:tc>
        <w:tc>
          <w:tcPr>
            <w:tcW w:w="1984" w:type="dxa"/>
            <w:hideMark/>
          </w:tcPr>
          <w:p w14:paraId="723FB1BF" w14:textId="3B286351"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D64D05">
              <w:rPr>
                <w:rFonts w:asciiTheme="minorHAnsi" w:hAnsiTheme="minorHAnsi" w:cstheme="minorBidi"/>
                <w:sz w:val="18"/>
                <w:szCs w:val="18"/>
              </w:rPr>
              <w:t>To (a) choose an IHT platform for a self-management aid, (b) gauge transplant patients' readiness to utilize IHT for self-management support, and (c) examine transplant patients' opinions regarding potential IHT functions.</w:t>
            </w:r>
          </w:p>
        </w:tc>
        <w:tc>
          <w:tcPr>
            <w:tcW w:w="1418" w:type="dxa"/>
            <w:hideMark/>
          </w:tcPr>
          <w:p w14:paraId="1092EDA4"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Descriptive Study</w:t>
            </w:r>
          </w:p>
        </w:tc>
        <w:tc>
          <w:tcPr>
            <w:tcW w:w="1134" w:type="dxa"/>
            <w:hideMark/>
          </w:tcPr>
          <w:p w14:paraId="6FB36CCA"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heart, lung, liver, kidney</w:t>
            </w:r>
          </w:p>
        </w:tc>
        <w:tc>
          <w:tcPr>
            <w:tcW w:w="1275" w:type="dxa"/>
            <w:hideMark/>
          </w:tcPr>
          <w:p w14:paraId="516174C6" w14:textId="48860E1F"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Others (Interactive Health </w:t>
            </w:r>
            <w:r w:rsidR="00521ACC" w:rsidRPr="00AC5EC7">
              <w:rPr>
                <w:rFonts w:asciiTheme="minorHAnsi" w:hAnsiTheme="minorHAnsi" w:cstheme="minorHAnsi"/>
                <w:sz w:val="18"/>
                <w:szCs w:val="18"/>
              </w:rPr>
              <w:t>Technology</w:t>
            </w:r>
            <w:r w:rsidRPr="00AC5EC7">
              <w:rPr>
                <w:rFonts w:asciiTheme="minorHAnsi" w:hAnsiTheme="minorHAnsi" w:cstheme="minorHAnsi"/>
                <w:sz w:val="18"/>
                <w:szCs w:val="18"/>
              </w:rPr>
              <w:t>)</w:t>
            </w:r>
          </w:p>
        </w:tc>
        <w:tc>
          <w:tcPr>
            <w:tcW w:w="1276" w:type="dxa"/>
            <w:hideMark/>
          </w:tcPr>
          <w:p w14:paraId="22C99F48"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2BF04E58"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122</w:t>
            </w:r>
          </w:p>
        </w:tc>
        <w:tc>
          <w:tcPr>
            <w:tcW w:w="992" w:type="dxa"/>
            <w:hideMark/>
          </w:tcPr>
          <w:p w14:paraId="3CFA60DB"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Belgium</w:t>
            </w:r>
          </w:p>
        </w:tc>
        <w:tc>
          <w:tcPr>
            <w:tcW w:w="4395" w:type="dxa"/>
            <w:hideMark/>
          </w:tcPr>
          <w:p w14:paraId="6C62980F" w14:textId="59D8A6B5"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4D079E">
              <w:rPr>
                <w:rFonts w:asciiTheme="minorHAnsi" w:hAnsiTheme="minorHAnsi" w:cstheme="minorBidi"/>
                <w:sz w:val="18"/>
                <w:szCs w:val="18"/>
              </w:rPr>
              <w:t>Studying transplant patients' ICT ownership and usage revealed that computers and the Internet, not smartphones, are the optimal platforms for self-management interventions. Though patients are generally receptive to IHT, considering patient acceptance factors and their preferred IHT features is crucial in further IHT development. This initial step in human-</w:t>
            </w:r>
            <w:r w:rsidR="002A7329" w:rsidRPr="004D079E">
              <w:rPr>
                <w:rFonts w:asciiTheme="minorHAnsi" w:hAnsiTheme="minorHAnsi" w:cstheme="minorBidi"/>
                <w:sz w:val="18"/>
                <w:szCs w:val="18"/>
              </w:rPr>
              <w:t>cantered</w:t>
            </w:r>
            <w:r w:rsidRPr="004D079E">
              <w:rPr>
                <w:rFonts w:asciiTheme="minorHAnsi" w:hAnsiTheme="minorHAnsi" w:cstheme="minorBidi"/>
                <w:sz w:val="18"/>
                <w:szCs w:val="18"/>
              </w:rPr>
              <w:t xml:space="preserve"> design is pivotal for designers creating or utilizing IHTs.</w:t>
            </w:r>
          </w:p>
        </w:tc>
      </w:tr>
      <w:tr w:rsidR="00D84311" w:rsidRPr="00AC5EC7" w14:paraId="30F690BD" w14:textId="77777777" w:rsidTr="00C51433">
        <w:trPr>
          <w:cnfStyle w:val="000000100000" w:firstRow="0" w:lastRow="0" w:firstColumn="0" w:lastColumn="0" w:oddVBand="0" w:evenVBand="0" w:oddHBand="1" w:evenHBand="0" w:firstRowFirstColumn="0" w:firstRowLastColumn="0" w:lastRowFirstColumn="0" w:lastRowLastColumn="0"/>
          <w:trHeight w:val="1791"/>
        </w:trPr>
        <w:tc>
          <w:tcPr>
            <w:cnfStyle w:val="001000000000" w:firstRow="0" w:lastRow="0" w:firstColumn="1" w:lastColumn="0" w:oddVBand="0" w:evenVBand="0" w:oddHBand="0" w:evenHBand="0" w:firstRowFirstColumn="0" w:firstRowLastColumn="0" w:lastRowFirstColumn="0" w:lastRowLastColumn="0"/>
            <w:tcW w:w="567" w:type="dxa"/>
            <w:noWrap/>
            <w:hideMark/>
          </w:tcPr>
          <w:p w14:paraId="7BB4358E"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53</w:t>
            </w:r>
          </w:p>
        </w:tc>
        <w:tc>
          <w:tcPr>
            <w:tcW w:w="993" w:type="dxa"/>
            <w:hideMark/>
          </w:tcPr>
          <w:p w14:paraId="4B7776B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Vaughn et al., 2020</w:t>
            </w:r>
          </w:p>
        </w:tc>
        <w:tc>
          <w:tcPr>
            <w:tcW w:w="1984" w:type="dxa"/>
            <w:hideMark/>
          </w:tcPr>
          <w:p w14:paraId="4112BE39" w14:textId="4C22DBEF"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2E6017">
              <w:rPr>
                <w:rFonts w:asciiTheme="minorHAnsi" w:hAnsiTheme="minorHAnsi" w:cstheme="minorBidi"/>
                <w:sz w:val="18"/>
                <w:szCs w:val="18"/>
              </w:rPr>
              <w:t>To examine the viability of incorporating mHealth tech for monitoring symptom data in PBMT patients and assess the study's structure, assessments, and protocols.</w:t>
            </w:r>
          </w:p>
        </w:tc>
        <w:tc>
          <w:tcPr>
            <w:tcW w:w="1418" w:type="dxa"/>
            <w:hideMark/>
          </w:tcPr>
          <w:p w14:paraId="071865D4"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Qualitative</w:t>
            </w:r>
          </w:p>
        </w:tc>
        <w:tc>
          <w:tcPr>
            <w:tcW w:w="1134" w:type="dxa"/>
            <w:hideMark/>
          </w:tcPr>
          <w:p w14:paraId="4E0736AE" w14:textId="678059B9" w:rsidR="00D84311" w:rsidRPr="00AC5EC7" w:rsidRDefault="00DE25B8"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Paediatric</w:t>
            </w:r>
            <w:r w:rsidR="00D84311" w:rsidRPr="00AC5EC7">
              <w:rPr>
                <w:rFonts w:asciiTheme="minorHAnsi" w:hAnsiTheme="minorHAnsi" w:cstheme="minorHAnsi"/>
                <w:sz w:val="18"/>
                <w:szCs w:val="18"/>
              </w:rPr>
              <w:t xml:space="preserve"> blood and marrow transplant</w:t>
            </w:r>
          </w:p>
        </w:tc>
        <w:tc>
          <w:tcPr>
            <w:tcW w:w="1275" w:type="dxa"/>
            <w:hideMark/>
          </w:tcPr>
          <w:p w14:paraId="05C981B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mHealth</w:t>
            </w:r>
          </w:p>
        </w:tc>
        <w:tc>
          <w:tcPr>
            <w:tcW w:w="1276" w:type="dxa"/>
            <w:hideMark/>
          </w:tcPr>
          <w:p w14:paraId="1E80F390"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540C9EBF"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7</w:t>
            </w:r>
          </w:p>
        </w:tc>
        <w:tc>
          <w:tcPr>
            <w:tcW w:w="992" w:type="dxa"/>
            <w:hideMark/>
          </w:tcPr>
          <w:p w14:paraId="0332F183"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US</w:t>
            </w:r>
          </w:p>
        </w:tc>
        <w:tc>
          <w:tcPr>
            <w:tcW w:w="4395" w:type="dxa"/>
            <w:hideMark/>
          </w:tcPr>
          <w:p w14:paraId="5467E630" w14:textId="4C0E5638"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51433">
              <w:rPr>
                <w:rFonts w:asciiTheme="minorHAnsi" w:hAnsiTheme="minorHAnsi" w:cstheme="minorHAnsi"/>
                <w:sz w:val="18"/>
                <w:szCs w:val="18"/>
              </w:rPr>
              <w:t>Gathering frequent, long-term symptom data from kids and showing mobile tech acceptance indicates its feasibility. Our results also show how these technologies help gather symptom data for better understanding and devising symptom management strategies.</w:t>
            </w:r>
          </w:p>
        </w:tc>
      </w:tr>
      <w:tr w:rsidR="00766F5C" w:rsidRPr="00AC5EC7" w14:paraId="47418341" w14:textId="77777777" w:rsidTr="26F64964">
        <w:trPr>
          <w:trHeight w:val="1600"/>
        </w:trPr>
        <w:tc>
          <w:tcPr>
            <w:cnfStyle w:val="001000000000" w:firstRow="0" w:lastRow="0" w:firstColumn="1" w:lastColumn="0" w:oddVBand="0" w:evenVBand="0" w:oddHBand="0" w:evenHBand="0" w:firstRowFirstColumn="0" w:firstRowLastColumn="0" w:lastRowFirstColumn="0" w:lastRowLastColumn="0"/>
            <w:tcW w:w="567" w:type="dxa"/>
            <w:noWrap/>
            <w:hideMark/>
          </w:tcPr>
          <w:p w14:paraId="7E1B7035"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54</w:t>
            </w:r>
          </w:p>
        </w:tc>
        <w:tc>
          <w:tcPr>
            <w:tcW w:w="993" w:type="dxa"/>
            <w:hideMark/>
          </w:tcPr>
          <w:p w14:paraId="7DACA161"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Wang et al., 2019</w:t>
            </w:r>
          </w:p>
        </w:tc>
        <w:tc>
          <w:tcPr>
            <w:tcW w:w="1984" w:type="dxa"/>
            <w:hideMark/>
          </w:tcPr>
          <w:p w14:paraId="62B7F74E" w14:textId="3F1A0652"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6765CD">
              <w:rPr>
                <w:rFonts w:asciiTheme="minorHAnsi" w:hAnsiTheme="minorHAnsi" w:cstheme="minorBidi"/>
                <w:sz w:val="18"/>
                <w:szCs w:val="18"/>
              </w:rPr>
              <w:t>Investigates the potential for customization considering patients' medical status and health literacy.</w:t>
            </w:r>
          </w:p>
        </w:tc>
        <w:tc>
          <w:tcPr>
            <w:tcW w:w="1418" w:type="dxa"/>
            <w:hideMark/>
          </w:tcPr>
          <w:p w14:paraId="469748EC"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Mixed Methods</w:t>
            </w:r>
          </w:p>
        </w:tc>
        <w:tc>
          <w:tcPr>
            <w:tcW w:w="1134" w:type="dxa"/>
            <w:hideMark/>
          </w:tcPr>
          <w:p w14:paraId="34D55A8E"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Kidney</w:t>
            </w:r>
          </w:p>
        </w:tc>
        <w:tc>
          <w:tcPr>
            <w:tcW w:w="1275" w:type="dxa"/>
            <w:hideMark/>
          </w:tcPr>
          <w:p w14:paraId="77FFC4BC" w14:textId="41FF0498"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Web-based </w:t>
            </w:r>
            <w:r w:rsidR="002A7329" w:rsidRPr="00AC5EC7">
              <w:rPr>
                <w:rFonts w:asciiTheme="minorHAnsi" w:hAnsiTheme="minorHAnsi" w:cstheme="minorHAnsi"/>
                <w:sz w:val="18"/>
                <w:szCs w:val="18"/>
              </w:rPr>
              <w:t>portal</w:t>
            </w:r>
            <w:r w:rsidRPr="00AC5EC7">
              <w:rPr>
                <w:rFonts w:asciiTheme="minorHAnsi" w:hAnsiTheme="minorHAnsi" w:cstheme="minorHAnsi"/>
                <w:sz w:val="18"/>
                <w:szCs w:val="18"/>
              </w:rPr>
              <w:t xml:space="preserve"> (self-management support system)</w:t>
            </w:r>
          </w:p>
        </w:tc>
        <w:tc>
          <w:tcPr>
            <w:tcW w:w="1276" w:type="dxa"/>
            <w:hideMark/>
          </w:tcPr>
          <w:p w14:paraId="2A2B679E"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Patients</w:t>
            </w:r>
          </w:p>
        </w:tc>
        <w:tc>
          <w:tcPr>
            <w:tcW w:w="1134" w:type="dxa"/>
            <w:hideMark/>
          </w:tcPr>
          <w:p w14:paraId="5E32F3E2"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49</w:t>
            </w:r>
          </w:p>
        </w:tc>
        <w:tc>
          <w:tcPr>
            <w:tcW w:w="992" w:type="dxa"/>
            <w:hideMark/>
          </w:tcPr>
          <w:p w14:paraId="63C31CFC" w14:textId="77777777"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Netherlands</w:t>
            </w:r>
          </w:p>
        </w:tc>
        <w:tc>
          <w:tcPr>
            <w:tcW w:w="4395" w:type="dxa"/>
            <w:hideMark/>
          </w:tcPr>
          <w:p w14:paraId="4F3BE15D" w14:textId="7E535A2E" w:rsidR="00D84311" w:rsidRPr="00AC5EC7" w:rsidRDefault="00D84311" w:rsidP="00D843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18"/>
                <w:szCs w:val="18"/>
              </w:rPr>
            </w:pPr>
            <w:r w:rsidRPr="00DE0102">
              <w:rPr>
                <w:rFonts w:asciiTheme="minorHAnsi" w:hAnsiTheme="minorHAnsi" w:cstheme="minorBidi"/>
                <w:sz w:val="18"/>
                <w:szCs w:val="18"/>
              </w:rPr>
              <w:t>Data indicates that when creating an SMSS, the communication approach should align with patients' experiences and medical conditions.</w:t>
            </w:r>
          </w:p>
        </w:tc>
      </w:tr>
      <w:tr w:rsidR="00D84311" w:rsidRPr="00ED3A7E" w14:paraId="18D77D26" w14:textId="77777777" w:rsidTr="26F64964">
        <w:trPr>
          <w:cnfStyle w:val="000000100000" w:firstRow="0" w:lastRow="0" w:firstColumn="0" w:lastColumn="0" w:oddVBand="0" w:evenVBand="0" w:oddHBand="1" w:evenHBand="0" w:firstRowFirstColumn="0" w:firstRowLastColumn="0" w:lastRowFirstColumn="0" w:lastRowLastColumn="0"/>
          <w:trHeight w:val="1640"/>
        </w:trPr>
        <w:tc>
          <w:tcPr>
            <w:cnfStyle w:val="001000000000" w:firstRow="0" w:lastRow="0" w:firstColumn="1" w:lastColumn="0" w:oddVBand="0" w:evenVBand="0" w:oddHBand="0" w:evenHBand="0" w:firstRowFirstColumn="0" w:firstRowLastColumn="0" w:lastRowFirstColumn="0" w:lastRowLastColumn="0"/>
            <w:tcW w:w="567" w:type="dxa"/>
            <w:noWrap/>
            <w:hideMark/>
          </w:tcPr>
          <w:p w14:paraId="37551F9E" w14:textId="77777777" w:rsidR="00D84311" w:rsidRPr="00AC5EC7" w:rsidRDefault="00D84311" w:rsidP="00D84311">
            <w:pPr>
              <w:rPr>
                <w:rFonts w:asciiTheme="minorHAnsi" w:hAnsiTheme="minorHAnsi" w:cstheme="minorHAnsi"/>
                <w:sz w:val="18"/>
                <w:szCs w:val="18"/>
              </w:rPr>
            </w:pPr>
            <w:r w:rsidRPr="00AC5EC7">
              <w:rPr>
                <w:rFonts w:asciiTheme="minorHAnsi" w:hAnsiTheme="minorHAnsi" w:cstheme="minorHAnsi"/>
                <w:sz w:val="18"/>
                <w:szCs w:val="18"/>
              </w:rPr>
              <w:t>55</w:t>
            </w:r>
          </w:p>
        </w:tc>
        <w:tc>
          <w:tcPr>
            <w:tcW w:w="993" w:type="dxa"/>
            <w:hideMark/>
          </w:tcPr>
          <w:p w14:paraId="57AAC36B"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AC5EC7">
              <w:rPr>
                <w:rFonts w:asciiTheme="minorHAnsi" w:hAnsiTheme="minorHAnsi" w:cstheme="minorBidi"/>
                <w:sz w:val="18"/>
                <w:szCs w:val="18"/>
              </w:rPr>
              <w:t>Xu-Stettner et al., 2023</w:t>
            </w:r>
          </w:p>
        </w:tc>
        <w:tc>
          <w:tcPr>
            <w:tcW w:w="1984" w:type="dxa"/>
            <w:hideMark/>
          </w:tcPr>
          <w:p w14:paraId="4D17C39A" w14:textId="42206DBB"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4C5076">
              <w:rPr>
                <w:rFonts w:asciiTheme="minorHAnsi" w:hAnsiTheme="minorHAnsi" w:cstheme="minorBidi"/>
                <w:sz w:val="18"/>
                <w:szCs w:val="18"/>
              </w:rPr>
              <w:t>Highlight the significance of treatment choices made by transplant pharmacists concerning telehealth versus in-person clinic visits.</w:t>
            </w:r>
          </w:p>
        </w:tc>
        <w:tc>
          <w:tcPr>
            <w:tcW w:w="1418" w:type="dxa"/>
            <w:hideMark/>
          </w:tcPr>
          <w:p w14:paraId="23B7BBB8"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Quantitative - Descriptive comparative evaluation</w:t>
            </w:r>
          </w:p>
        </w:tc>
        <w:tc>
          <w:tcPr>
            <w:tcW w:w="1134" w:type="dxa"/>
            <w:hideMark/>
          </w:tcPr>
          <w:p w14:paraId="5AA95457"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Organ - liver</w:t>
            </w:r>
          </w:p>
        </w:tc>
        <w:tc>
          <w:tcPr>
            <w:tcW w:w="1275" w:type="dxa"/>
            <w:hideMark/>
          </w:tcPr>
          <w:p w14:paraId="2D1566EC"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Telehealth</w:t>
            </w:r>
          </w:p>
        </w:tc>
        <w:tc>
          <w:tcPr>
            <w:tcW w:w="1276" w:type="dxa"/>
            <w:hideMark/>
          </w:tcPr>
          <w:p w14:paraId="291A32FE"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Providers/Pharmacists of transplant patients</w:t>
            </w:r>
          </w:p>
        </w:tc>
        <w:tc>
          <w:tcPr>
            <w:tcW w:w="1134" w:type="dxa"/>
            <w:hideMark/>
          </w:tcPr>
          <w:p w14:paraId="6D230A25" w14:textId="77777777"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28</w:t>
            </w:r>
          </w:p>
        </w:tc>
        <w:tc>
          <w:tcPr>
            <w:tcW w:w="992" w:type="dxa"/>
            <w:hideMark/>
          </w:tcPr>
          <w:p w14:paraId="74491F68" w14:textId="72689C93" w:rsidR="00D84311" w:rsidRPr="00AC5EC7"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C5EC7">
              <w:rPr>
                <w:rFonts w:asciiTheme="minorHAnsi" w:hAnsiTheme="minorHAnsi" w:cstheme="minorHAnsi"/>
                <w:sz w:val="18"/>
                <w:szCs w:val="18"/>
              </w:rPr>
              <w:t xml:space="preserve">US </w:t>
            </w:r>
          </w:p>
        </w:tc>
        <w:tc>
          <w:tcPr>
            <w:tcW w:w="4395" w:type="dxa"/>
            <w:hideMark/>
          </w:tcPr>
          <w:p w14:paraId="3446BD43" w14:textId="3CAB7D2C" w:rsidR="00D84311" w:rsidRPr="00ED3A7E" w:rsidRDefault="00D84311" w:rsidP="00D8431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18"/>
                <w:szCs w:val="18"/>
              </w:rPr>
            </w:pPr>
            <w:r w:rsidRPr="005E4130">
              <w:rPr>
                <w:rFonts w:asciiTheme="minorHAnsi" w:hAnsiTheme="minorHAnsi" w:cstheme="minorBidi"/>
                <w:sz w:val="18"/>
                <w:szCs w:val="18"/>
              </w:rPr>
              <w:t>Transplant pharmacists can offer similarly crucial recommendations via telehealth as they do during in-clinic visits, considering both the total and critical treatment decisions.</w:t>
            </w:r>
          </w:p>
        </w:tc>
      </w:tr>
    </w:tbl>
    <w:p w14:paraId="20BDB70C" w14:textId="77777777" w:rsidR="00ED3A7E" w:rsidRDefault="00ED3A7E" w:rsidP="00ED3A7E">
      <w:pPr>
        <w:rPr>
          <w:rFonts w:ascii="Helvetica Neue" w:hAnsi="Helvetica Neue" w:cs="Helvetica Neue"/>
          <w:sz w:val="26"/>
          <w:szCs w:val="26"/>
          <w:lang w:val="en-GB"/>
        </w:rPr>
      </w:pPr>
    </w:p>
    <w:p w14:paraId="68DE416C" w14:textId="77777777" w:rsidR="00770FD9" w:rsidRDefault="00770FD9" w:rsidP="00ED3A7E">
      <w:pPr>
        <w:rPr>
          <w:rFonts w:ascii="Helvetica Neue" w:hAnsi="Helvetica Neue" w:cs="Helvetica Neue"/>
          <w:sz w:val="26"/>
          <w:szCs w:val="26"/>
          <w:lang w:val="en-GB"/>
        </w:rPr>
      </w:pPr>
    </w:p>
    <w:p w14:paraId="6EF263BE" w14:textId="077FD7CD" w:rsidR="00770FD9" w:rsidRDefault="00770FD9" w:rsidP="00770FD9">
      <w:pPr>
        <w:pStyle w:val="Caption"/>
        <w:keepNext/>
      </w:pPr>
      <w:r>
        <w:lastRenderedPageBreak/>
        <w:t>Appendix B PRISMA 27-ITEM CHECKLIST</w:t>
      </w:r>
    </w:p>
    <w:tbl>
      <w:tblPr>
        <w:tblW w:w="15200" w:type="dxa"/>
        <w:tblBorders>
          <w:top w:val="nil"/>
          <w:left w:val="nil"/>
          <w:bottom w:val="nil"/>
          <w:right w:val="nil"/>
        </w:tblBorders>
        <w:tblLook w:val="0000" w:firstRow="0" w:lastRow="0" w:firstColumn="0" w:lastColumn="0" w:noHBand="0" w:noVBand="0"/>
      </w:tblPr>
      <w:tblGrid>
        <w:gridCol w:w="1539"/>
        <w:gridCol w:w="587"/>
        <w:gridCol w:w="11627"/>
        <w:gridCol w:w="1447"/>
      </w:tblGrid>
      <w:tr w:rsidR="00F73437" w:rsidRPr="00A3501E" w14:paraId="7E77F648" w14:textId="77777777" w:rsidTr="00EA4612">
        <w:trPr>
          <w:trHeight w:val="536"/>
          <w:tblHeader/>
        </w:trPr>
        <w:tc>
          <w:tcPr>
            <w:tcW w:w="1551"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3E96582" w14:textId="77777777" w:rsidR="00770FD9" w:rsidRPr="00A3501E" w:rsidRDefault="00770FD9" w:rsidP="008055B5">
            <w:pPr>
              <w:pStyle w:val="Default"/>
              <w:rPr>
                <w:rFonts w:ascii="Arial" w:hAnsi="Arial" w:cs="Arial"/>
                <w:color w:val="FFFFFF"/>
                <w:sz w:val="18"/>
                <w:szCs w:val="18"/>
              </w:rPr>
            </w:pPr>
            <w:r w:rsidRPr="00A3501E">
              <w:rPr>
                <w:rFonts w:ascii="Arial" w:hAnsi="Arial" w:cs="Arial"/>
                <w:b/>
                <w:bCs/>
                <w:color w:val="FFFFFF"/>
                <w:sz w:val="18"/>
                <w:szCs w:val="18"/>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BE8253D" w14:textId="77777777" w:rsidR="00770FD9" w:rsidRPr="00A3501E" w:rsidRDefault="00770FD9" w:rsidP="008055B5">
            <w:pPr>
              <w:pStyle w:val="Default"/>
              <w:rPr>
                <w:rFonts w:ascii="Arial" w:hAnsi="Arial" w:cs="Arial"/>
                <w:b/>
                <w:bCs/>
                <w:color w:val="FFFFFF"/>
                <w:sz w:val="18"/>
                <w:szCs w:val="18"/>
              </w:rPr>
            </w:pPr>
            <w:r w:rsidRPr="00A3501E">
              <w:rPr>
                <w:rFonts w:ascii="Arial" w:hAnsi="Arial" w:cs="Arial"/>
                <w:b/>
                <w:bCs/>
                <w:color w:val="FFFFFF"/>
                <w:sz w:val="18"/>
                <w:szCs w:val="18"/>
              </w:rPr>
              <w:t>Item #</w:t>
            </w:r>
          </w:p>
        </w:tc>
        <w:tc>
          <w:tcPr>
            <w:tcW w:w="1231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63E9560C" w14:textId="77777777" w:rsidR="00770FD9" w:rsidRPr="00A3501E" w:rsidRDefault="00770FD9" w:rsidP="008055B5">
            <w:pPr>
              <w:pStyle w:val="Default"/>
              <w:rPr>
                <w:rFonts w:ascii="Arial" w:hAnsi="Arial" w:cs="Arial"/>
                <w:color w:val="FFFFFF"/>
                <w:sz w:val="18"/>
                <w:szCs w:val="18"/>
              </w:rPr>
            </w:pPr>
            <w:r w:rsidRPr="00A3501E">
              <w:rPr>
                <w:rFonts w:ascii="Arial" w:hAnsi="Arial" w:cs="Arial"/>
                <w:b/>
                <w:bCs/>
                <w:color w:val="FFFFFF"/>
                <w:sz w:val="18"/>
                <w:szCs w:val="18"/>
              </w:rPr>
              <w:t xml:space="preserve">Checklist item </w:t>
            </w:r>
          </w:p>
        </w:tc>
        <w:tc>
          <w:tcPr>
            <w:tcW w:w="747"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0996EFBE" w14:textId="70B403E2" w:rsidR="00770FD9" w:rsidRPr="00A3501E" w:rsidRDefault="00770FD9" w:rsidP="008055B5">
            <w:pPr>
              <w:pStyle w:val="Default"/>
              <w:jc w:val="center"/>
              <w:rPr>
                <w:rFonts w:ascii="Arial" w:hAnsi="Arial" w:cs="Arial"/>
                <w:color w:val="FFFFFF"/>
                <w:sz w:val="18"/>
                <w:szCs w:val="18"/>
              </w:rPr>
            </w:pPr>
            <w:r w:rsidRPr="00A3501E">
              <w:rPr>
                <w:rFonts w:ascii="Arial" w:hAnsi="Arial" w:cs="Arial"/>
                <w:b/>
                <w:bCs/>
                <w:color w:val="FFFFFF"/>
                <w:sz w:val="18"/>
                <w:szCs w:val="18"/>
              </w:rPr>
              <w:t>Location/Page number where item is reported</w:t>
            </w:r>
          </w:p>
        </w:tc>
      </w:tr>
      <w:tr w:rsidR="00770FD9" w:rsidRPr="00A3501E" w14:paraId="0EF99009"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B301314"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 xml:space="preserve">TITLE </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5E58C7E5" w14:textId="77777777" w:rsidR="00770FD9" w:rsidRPr="00A3501E" w:rsidRDefault="00770FD9" w:rsidP="008055B5">
            <w:pPr>
              <w:pStyle w:val="Default"/>
              <w:jc w:val="center"/>
              <w:rPr>
                <w:rFonts w:ascii="Arial" w:hAnsi="Arial" w:cs="Arial"/>
                <w:color w:val="auto"/>
                <w:sz w:val="18"/>
                <w:szCs w:val="18"/>
              </w:rPr>
            </w:pPr>
          </w:p>
        </w:tc>
      </w:tr>
      <w:tr w:rsidR="00770FD9" w:rsidRPr="00A3501E" w14:paraId="510BAAD1" w14:textId="77777777" w:rsidTr="00EA4612">
        <w:trPr>
          <w:trHeight w:val="48"/>
        </w:trPr>
        <w:tc>
          <w:tcPr>
            <w:tcW w:w="1551" w:type="dxa"/>
            <w:tcBorders>
              <w:top w:val="single" w:sz="5" w:space="0" w:color="000000"/>
              <w:left w:val="single" w:sz="5" w:space="0" w:color="000000"/>
              <w:bottom w:val="double" w:sz="2" w:space="0" w:color="FFFFCC"/>
              <w:right w:val="single" w:sz="5" w:space="0" w:color="000000"/>
            </w:tcBorders>
          </w:tcPr>
          <w:p w14:paraId="171755B4"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753FA936"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w:t>
            </w:r>
          </w:p>
        </w:tc>
        <w:tc>
          <w:tcPr>
            <w:tcW w:w="12315" w:type="dxa"/>
            <w:tcBorders>
              <w:top w:val="single" w:sz="5" w:space="0" w:color="000000"/>
              <w:left w:val="single" w:sz="5" w:space="0" w:color="000000"/>
              <w:bottom w:val="double" w:sz="5" w:space="0" w:color="000000"/>
              <w:right w:val="single" w:sz="5" w:space="0" w:color="000000"/>
            </w:tcBorders>
          </w:tcPr>
          <w:p w14:paraId="264B801E"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Identify the report as a systematic review.</w:t>
            </w:r>
          </w:p>
        </w:tc>
        <w:tc>
          <w:tcPr>
            <w:tcW w:w="747" w:type="dxa"/>
            <w:tcBorders>
              <w:top w:val="single" w:sz="5" w:space="0" w:color="000000"/>
              <w:left w:val="single" w:sz="5" w:space="0" w:color="000000"/>
              <w:bottom w:val="double" w:sz="5" w:space="0" w:color="000000"/>
              <w:right w:val="single" w:sz="5" w:space="0" w:color="000000"/>
            </w:tcBorders>
          </w:tcPr>
          <w:p w14:paraId="397ED059" w14:textId="0E16E050"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P.1</w:t>
            </w:r>
          </w:p>
        </w:tc>
      </w:tr>
      <w:tr w:rsidR="00770FD9" w:rsidRPr="00A3501E" w14:paraId="61D912AB"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7A4EE84"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 xml:space="preserve">ABSTRACT </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1D5F0896" w14:textId="77777777" w:rsidR="00770FD9" w:rsidRPr="00A3501E" w:rsidRDefault="00770FD9" w:rsidP="008055B5">
            <w:pPr>
              <w:pStyle w:val="Default"/>
              <w:jc w:val="center"/>
              <w:rPr>
                <w:rFonts w:ascii="Arial" w:hAnsi="Arial" w:cs="Arial"/>
                <w:color w:val="auto"/>
                <w:sz w:val="18"/>
                <w:szCs w:val="18"/>
              </w:rPr>
            </w:pPr>
          </w:p>
        </w:tc>
      </w:tr>
      <w:tr w:rsidR="00770FD9" w:rsidRPr="00A3501E" w14:paraId="5473EBB7" w14:textId="77777777" w:rsidTr="00EA4612">
        <w:trPr>
          <w:trHeight w:val="48"/>
        </w:trPr>
        <w:tc>
          <w:tcPr>
            <w:tcW w:w="1551" w:type="dxa"/>
            <w:tcBorders>
              <w:top w:val="single" w:sz="5" w:space="0" w:color="000000"/>
              <w:left w:val="single" w:sz="5" w:space="0" w:color="000000"/>
              <w:bottom w:val="double" w:sz="2" w:space="0" w:color="FFFFCC"/>
              <w:right w:val="single" w:sz="5" w:space="0" w:color="000000"/>
            </w:tcBorders>
          </w:tcPr>
          <w:p w14:paraId="5FAE2274"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366CB168"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2</w:t>
            </w:r>
          </w:p>
        </w:tc>
        <w:tc>
          <w:tcPr>
            <w:tcW w:w="12315" w:type="dxa"/>
            <w:tcBorders>
              <w:top w:val="single" w:sz="5" w:space="0" w:color="000000"/>
              <w:left w:val="single" w:sz="5" w:space="0" w:color="000000"/>
              <w:bottom w:val="double" w:sz="5" w:space="0" w:color="000000"/>
              <w:right w:val="single" w:sz="5" w:space="0" w:color="000000"/>
            </w:tcBorders>
          </w:tcPr>
          <w:p w14:paraId="02DEA087"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See the PRISMA 2020 for Abstracts checklist. Provide a structured summary of your review, addressing the background, objectives, data sources, study eligibility criteria, participants, interventions, study appraisal, synthesis methods, results, limitations, conclusions, and implications of key findings.</w:t>
            </w:r>
          </w:p>
        </w:tc>
        <w:tc>
          <w:tcPr>
            <w:tcW w:w="747" w:type="dxa"/>
            <w:tcBorders>
              <w:top w:val="single" w:sz="5" w:space="0" w:color="000000"/>
              <w:left w:val="single" w:sz="5" w:space="0" w:color="000000"/>
              <w:bottom w:val="double" w:sz="5" w:space="0" w:color="000000"/>
              <w:right w:val="single" w:sz="5" w:space="0" w:color="000000"/>
            </w:tcBorders>
          </w:tcPr>
          <w:p w14:paraId="31C101EF" w14:textId="49631CBB"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w:t>
            </w:r>
          </w:p>
        </w:tc>
      </w:tr>
      <w:tr w:rsidR="00770FD9" w:rsidRPr="00A3501E" w14:paraId="5BCC52CC"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E26BDAB"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 xml:space="preserve">INTRODUCTION </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2F47426E" w14:textId="77777777" w:rsidR="00770FD9" w:rsidRPr="00A3501E" w:rsidRDefault="00770FD9" w:rsidP="008055B5">
            <w:pPr>
              <w:pStyle w:val="Default"/>
              <w:jc w:val="center"/>
              <w:rPr>
                <w:rFonts w:ascii="Arial" w:hAnsi="Arial" w:cs="Arial"/>
                <w:color w:val="auto"/>
                <w:sz w:val="18"/>
                <w:szCs w:val="18"/>
              </w:rPr>
            </w:pPr>
          </w:p>
        </w:tc>
      </w:tr>
      <w:tr w:rsidR="00770FD9" w:rsidRPr="00A3501E" w14:paraId="7E6CD60B" w14:textId="77777777" w:rsidTr="00EA4612">
        <w:trPr>
          <w:trHeight w:val="48"/>
        </w:trPr>
        <w:tc>
          <w:tcPr>
            <w:tcW w:w="1551" w:type="dxa"/>
            <w:tcBorders>
              <w:top w:val="single" w:sz="5" w:space="0" w:color="000000"/>
              <w:left w:val="single" w:sz="5" w:space="0" w:color="000000"/>
              <w:bottom w:val="single" w:sz="5" w:space="0" w:color="000000"/>
              <w:right w:val="single" w:sz="5" w:space="0" w:color="000000"/>
            </w:tcBorders>
          </w:tcPr>
          <w:p w14:paraId="489137F9"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061D1976"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3</w:t>
            </w:r>
          </w:p>
        </w:tc>
        <w:tc>
          <w:tcPr>
            <w:tcW w:w="12315" w:type="dxa"/>
            <w:tcBorders>
              <w:top w:val="single" w:sz="5" w:space="0" w:color="000000"/>
              <w:left w:val="single" w:sz="5" w:space="0" w:color="000000"/>
              <w:bottom w:val="single" w:sz="5" w:space="0" w:color="000000"/>
              <w:right w:val="single" w:sz="5" w:space="0" w:color="000000"/>
            </w:tcBorders>
          </w:tcPr>
          <w:p w14:paraId="25667AB7"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Describe the rationale for the review in the context of existing knowledge.</w:t>
            </w:r>
          </w:p>
        </w:tc>
        <w:tc>
          <w:tcPr>
            <w:tcW w:w="747" w:type="dxa"/>
            <w:tcBorders>
              <w:top w:val="single" w:sz="5" w:space="0" w:color="000000"/>
              <w:left w:val="single" w:sz="5" w:space="0" w:color="000000"/>
              <w:bottom w:val="single" w:sz="5" w:space="0" w:color="000000"/>
              <w:right w:val="single" w:sz="5" w:space="0" w:color="000000"/>
            </w:tcBorders>
          </w:tcPr>
          <w:p w14:paraId="677E96D2" w14:textId="4AA0650A"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w:t>
            </w:r>
            <w:r w:rsidR="00D33C9F">
              <w:rPr>
                <w:rFonts w:ascii="Arial" w:hAnsi="Arial" w:cs="Arial"/>
                <w:color w:val="auto"/>
                <w:sz w:val="18"/>
                <w:szCs w:val="18"/>
              </w:rPr>
              <w:t>9-11</w:t>
            </w:r>
          </w:p>
        </w:tc>
      </w:tr>
      <w:tr w:rsidR="00770FD9" w:rsidRPr="00A3501E" w14:paraId="0339D572" w14:textId="77777777" w:rsidTr="00EA4612">
        <w:trPr>
          <w:trHeight w:val="48"/>
        </w:trPr>
        <w:tc>
          <w:tcPr>
            <w:tcW w:w="1551" w:type="dxa"/>
            <w:tcBorders>
              <w:top w:val="single" w:sz="5" w:space="0" w:color="000000"/>
              <w:left w:val="single" w:sz="5" w:space="0" w:color="000000"/>
              <w:bottom w:val="double" w:sz="2" w:space="0" w:color="FFFFCC"/>
              <w:right w:val="single" w:sz="5" w:space="0" w:color="000000"/>
            </w:tcBorders>
          </w:tcPr>
          <w:p w14:paraId="305C6972"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64460138"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4</w:t>
            </w:r>
          </w:p>
        </w:tc>
        <w:tc>
          <w:tcPr>
            <w:tcW w:w="12315" w:type="dxa"/>
            <w:tcBorders>
              <w:top w:val="single" w:sz="5" w:space="0" w:color="000000"/>
              <w:left w:val="single" w:sz="5" w:space="0" w:color="000000"/>
              <w:bottom w:val="double" w:sz="5" w:space="0" w:color="000000"/>
              <w:right w:val="single" w:sz="5" w:space="0" w:color="000000"/>
            </w:tcBorders>
          </w:tcPr>
          <w:p w14:paraId="6CA9B422"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Provide an explicit statement of the objective(s) or question(s) the review addresses.</w:t>
            </w:r>
          </w:p>
        </w:tc>
        <w:tc>
          <w:tcPr>
            <w:tcW w:w="747" w:type="dxa"/>
            <w:tcBorders>
              <w:top w:val="single" w:sz="5" w:space="0" w:color="000000"/>
              <w:left w:val="single" w:sz="5" w:space="0" w:color="000000"/>
              <w:bottom w:val="double" w:sz="5" w:space="0" w:color="000000"/>
              <w:right w:val="single" w:sz="5" w:space="0" w:color="000000"/>
            </w:tcBorders>
          </w:tcPr>
          <w:p w14:paraId="457060AE" w14:textId="56DB7217"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P.11</w:t>
            </w:r>
            <w:r w:rsidR="00D33C9F">
              <w:rPr>
                <w:rFonts w:ascii="Arial" w:hAnsi="Arial" w:cs="Arial"/>
                <w:color w:val="auto"/>
                <w:sz w:val="18"/>
                <w:szCs w:val="18"/>
              </w:rPr>
              <w:t>-12</w:t>
            </w:r>
          </w:p>
        </w:tc>
      </w:tr>
      <w:tr w:rsidR="00770FD9" w:rsidRPr="00A3501E" w14:paraId="1D9A9292"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CBE2EE9"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 xml:space="preserve">METHODS </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071A78D7" w14:textId="77777777" w:rsidR="00770FD9" w:rsidRPr="00A3501E" w:rsidRDefault="00770FD9" w:rsidP="008055B5">
            <w:pPr>
              <w:pStyle w:val="Default"/>
              <w:jc w:val="center"/>
              <w:rPr>
                <w:rFonts w:ascii="Arial" w:hAnsi="Arial" w:cs="Arial"/>
                <w:color w:val="auto"/>
                <w:sz w:val="18"/>
                <w:szCs w:val="18"/>
              </w:rPr>
            </w:pPr>
          </w:p>
        </w:tc>
      </w:tr>
      <w:tr w:rsidR="00770FD9" w:rsidRPr="00A3501E" w14:paraId="1233773D" w14:textId="77777777" w:rsidTr="00EA4612">
        <w:trPr>
          <w:trHeight w:val="48"/>
        </w:trPr>
        <w:tc>
          <w:tcPr>
            <w:tcW w:w="1551" w:type="dxa"/>
            <w:tcBorders>
              <w:top w:val="single" w:sz="5" w:space="0" w:color="000000"/>
              <w:left w:val="single" w:sz="5" w:space="0" w:color="000000"/>
              <w:bottom w:val="single" w:sz="5" w:space="0" w:color="000000"/>
              <w:right w:val="single" w:sz="5" w:space="0" w:color="000000"/>
            </w:tcBorders>
          </w:tcPr>
          <w:p w14:paraId="4DF5A2EF"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637897FE"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5</w:t>
            </w:r>
          </w:p>
        </w:tc>
        <w:tc>
          <w:tcPr>
            <w:tcW w:w="12315" w:type="dxa"/>
            <w:tcBorders>
              <w:top w:val="single" w:sz="5" w:space="0" w:color="000000"/>
              <w:left w:val="single" w:sz="5" w:space="0" w:color="000000"/>
              <w:bottom w:val="single" w:sz="5" w:space="0" w:color="000000"/>
              <w:right w:val="single" w:sz="5" w:space="0" w:color="000000"/>
            </w:tcBorders>
          </w:tcPr>
          <w:p w14:paraId="246BDE11"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Specify the inclusion and exclusion criteria for the review and how studies were grouped for the syntheses.</w:t>
            </w:r>
          </w:p>
        </w:tc>
        <w:tc>
          <w:tcPr>
            <w:tcW w:w="747" w:type="dxa"/>
            <w:tcBorders>
              <w:top w:val="single" w:sz="5" w:space="0" w:color="000000"/>
              <w:left w:val="single" w:sz="5" w:space="0" w:color="000000"/>
              <w:bottom w:val="single" w:sz="5" w:space="0" w:color="000000"/>
              <w:right w:val="single" w:sz="5" w:space="0" w:color="000000"/>
            </w:tcBorders>
          </w:tcPr>
          <w:p w14:paraId="5932F024" w14:textId="5B2F8B1A"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P.22</w:t>
            </w:r>
            <w:r w:rsidR="00D33C9F">
              <w:rPr>
                <w:rFonts w:ascii="Arial" w:hAnsi="Arial" w:cs="Arial"/>
                <w:color w:val="auto"/>
                <w:sz w:val="18"/>
                <w:szCs w:val="18"/>
              </w:rPr>
              <w:t>-24</w:t>
            </w:r>
          </w:p>
        </w:tc>
      </w:tr>
      <w:tr w:rsidR="00770FD9" w:rsidRPr="00A3501E" w14:paraId="6F7F3B2D" w14:textId="77777777" w:rsidTr="00EA4612">
        <w:trPr>
          <w:trHeight w:val="191"/>
        </w:trPr>
        <w:tc>
          <w:tcPr>
            <w:tcW w:w="1551" w:type="dxa"/>
            <w:tcBorders>
              <w:top w:val="single" w:sz="5" w:space="0" w:color="000000"/>
              <w:left w:val="single" w:sz="5" w:space="0" w:color="000000"/>
              <w:bottom w:val="single" w:sz="5" w:space="0" w:color="000000"/>
              <w:right w:val="single" w:sz="5" w:space="0" w:color="000000"/>
            </w:tcBorders>
          </w:tcPr>
          <w:p w14:paraId="5B7210B0"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41F70C40"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6</w:t>
            </w:r>
          </w:p>
        </w:tc>
        <w:tc>
          <w:tcPr>
            <w:tcW w:w="12315" w:type="dxa"/>
            <w:tcBorders>
              <w:top w:val="single" w:sz="5" w:space="0" w:color="000000"/>
              <w:left w:val="single" w:sz="5" w:space="0" w:color="000000"/>
              <w:bottom w:val="single" w:sz="5" w:space="0" w:color="000000"/>
              <w:right w:val="single" w:sz="5" w:space="0" w:color="000000"/>
            </w:tcBorders>
          </w:tcPr>
          <w:p w14:paraId="3D9DC4B3"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747" w:type="dxa"/>
            <w:tcBorders>
              <w:top w:val="single" w:sz="5" w:space="0" w:color="000000"/>
              <w:left w:val="single" w:sz="5" w:space="0" w:color="000000"/>
              <w:bottom w:val="single" w:sz="5" w:space="0" w:color="000000"/>
              <w:right w:val="single" w:sz="5" w:space="0" w:color="000000"/>
            </w:tcBorders>
          </w:tcPr>
          <w:p w14:paraId="688FCB82" w14:textId="5451DE7E"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w:t>
            </w:r>
            <w:r w:rsidR="00D33C9F">
              <w:rPr>
                <w:rFonts w:ascii="Arial" w:hAnsi="Arial" w:cs="Arial"/>
                <w:color w:val="auto"/>
                <w:sz w:val="18"/>
                <w:szCs w:val="18"/>
              </w:rPr>
              <w:t>2</w:t>
            </w:r>
          </w:p>
        </w:tc>
      </w:tr>
      <w:tr w:rsidR="00770FD9" w:rsidRPr="00A3501E" w14:paraId="6C16DBCB" w14:textId="77777777" w:rsidTr="00EA4612">
        <w:trPr>
          <w:trHeight w:val="97"/>
        </w:trPr>
        <w:tc>
          <w:tcPr>
            <w:tcW w:w="1551" w:type="dxa"/>
            <w:tcBorders>
              <w:top w:val="single" w:sz="5" w:space="0" w:color="000000"/>
              <w:left w:val="single" w:sz="5" w:space="0" w:color="000000"/>
              <w:bottom w:val="single" w:sz="5" w:space="0" w:color="000000"/>
              <w:right w:val="single" w:sz="5" w:space="0" w:color="000000"/>
            </w:tcBorders>
          </w:tcPr>
          <w:p w14:paraId="7F0E1E56"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5BAEC625"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7</w:t>
            </w:r>
          </w:p>
        </w:tc>
        <w:tc>
          <w:tcPr>
            <w:tcW w:w="12315" w:type="dxa"/>
            <w:tcBorders>
              <w:top w:val="single" w:sz="5" w:space="0" w:color="000000"/>
              <w:left w:val="single" w:sz="5" w:space="0" w:color="000000"/>
              <w:bottom w:val="single" w:sz="5" w:space="0" w:color="000000"/>
              <w:right w:val="single" w:sz="5" w:space="0" w:color="000000"/>
            </w:tcBorders>
          </w:tcPr>
          <w:p w14:paraId="5AF471DA"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Present the full search strategies for all databases, registers and websites, including any filters and limits used.</w:t>
            </w:r>
          </w:p>
        </w:tc>
        <w:tc>
          <w:tcPr>
            <w:tcW w:w="747" w:type="dxa"/>
            <w:tcBorders>
              <w:top w:val="single" w:sz="5" w:space="0" w:color="000000"/>
              <w:left w:val="single" w:sz="5" w:space="0" w:color="000000"/>
              <w:bottom w:val="single" w:sz="5" w:space="0" w:color="000000"/>
              <w:right w:val="single" w:sz="5" w:space="0" w:color="000000"/>
            </w:tcBorders>
          </w:tcPr>
          <w:p w14:paraId="6EC08E10" w14:textId="1BC4C7D0"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w:t>
            </w:r>
            <w:r w:rsidR="00D33C9F">
              <w:rPr>
                <w:rFonts w:ascii="Arial" w:hAnsi="Arial" w:cs="Arial"/>
                <w:color w:val="auto"/>
                <w:sz w:val="18"/>
                <w:szCs w:val="18"/>
              </w:rPr>
              <w:t>21-22</w:t>
            </w:r>
          </w:p>
        </w:tc>
      </w:tr>
      <w:tr w:rsidR="00770FD9" w:rsidRPr="00A3501E" w14:paraId="0C96FA83" w14:textId="77777777" w:rsidTr="00EA4612">
        <w:trPr>
          <w:trHeight w:val="48"/>
        </w:trPr>
        <w:tc>
          <w:tcPr>
            <w:tcW w:w="1551" w:type="dxa"/>
            <w:tcBorders>
              <w:top w:val="single" w:sz="5" w:space="0" w:color="000000"/>
              <w:left w:val="single" w:sz="5" w:space="0" w:color="000000"/>
              <w:bottom w:val="single" w:sz="5" w:space="0" w:color="000000"/>
              <w:right w:val="single" w:sz="5" w:space="0" w:color="000000"/>
            </w:tcBorders>
          </w:tcPr>
          <w:p w14:paraId="43FAEECF"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0CA862FA"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8</w:t>
            </w:r>
          </w:p>
        </w:tc>
        <w:tc>
          <w:tcPr>
            <w:tcW w:w="12315" w:type="dxa"/>
            <w:tcBorders>
              <w:top w:val="single" w:sz="5" w:space="0" w:color="000000"/>
              <w:left w:val="single" w:sz="5" w:space="0" w:color="000000"/>
              <w:bottom w:val="single" w:sz="5" w:space="0" w:color="000000"/>
              <w:right w:val="single" w:sz="5" w:space="0" w:color="000000"/>
            </w:tcBorders>
          </w:tcPr>
          <w:p w14:paraId="32E9DA40"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747" w:type="dxa"/>
            <w:tcBorders>
              <w:top w:val="single" w:sz="5" w:space="0" w:color="000000"/>
              <w:left w:val="single" w:sz="5" w:space="0" w:color="000000"/>
              <w:bottom w:val="single" w:sz="5" w:space="0" w:color="000000"/>
              <w:right w:val="single" w:sz="5" w:space="0" w:color="000000"/>
            </w:tcBorders>
          </w:tcPr>
          <w:p w14:paraId="5066A363" w14:textId="7E9969CA"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w:t>
            </w:r>
            <w:r w:rsidR="00D33C9F">
              <w:rPr>
                <w:rFonts w:ascii="Arial" w:hAnsi="Arial" w:cs="Arial"/>
                <w:color w:val="auto"/>
                <w:sz w:val="18"/>
                <w:szCs w:val="18"/>
              </w:rPr>
              <w:t>2</w:t>
            </w:r>
          </w:p>
        </w:tc>
      </w:tr>
      <w:tr w:rsidR="00770FD9" w:rsidRPr="00A3501E" w14:paraId="65A1A61C" w14:textId="77777777" w:rsidTr="00EA4612">
        <w:trPr>
          <w:trHeight w:val="152"/>
        </w:trPr>
        <w:tc>
          <w:tcPr>
            <w:tcW w:w="1551" w:type="dxa"/>
            <w:tcBorders>
              <w:top w:val="single" w:sz="5" w:space="0" w:color="000000"/>
              <w:left w:val="single" w:sz="5" w:space="0" w:color="000000"/>
              <w:bottom w:val="single" w:sz="5" w:space="0" w:color="000000"/>
              <w:right w:val="single" w:sz="5" w:space="0" w:color="000000"/>
            </w:tcBorders>
          </w:tcPr>
          <w:p w14:paraId="17153C7F"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24BEA3DD"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9</w:t>
            </w:r>
          </w:p>
        </w:tc>
        <w:tc>
          <w:tcPr>
            <w:tcW w:w="12315" w:type="dxa"/>
            <w:tcBorders>
              <w:top w:val="single" w:sz="5" w:space="0" w:color="000000"/>
              <w:left w:val="single" w:sz="5" w:space="0" w:color="000000"/>
              <w:bottom w:val="single" w:sz="5" w:space="0" w:color="000000"/>
              <w:right w:val="single" w:sz="5" w:space="0" w:color="000000"/>
            </w:tcBorders>
          </w:tcPr>
          <w:p w14:paraId="40A112F4"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747" w:type="dxa"/>
            <w:tcBorders>
              <w:top w:val="single" w:sz="5" w:space="0" w:color="000000"/>
              <w:left w:val="single" w:sz="5" w:space="0" w:color="000000"/>
              <w:bottom w:val="single" w:sz="5" w:space="0" w:color="000000"/>
              <w:right w:val="single" w:sz="5" w:space="0" w:color="000000"/>
            </w:tcBorders>
          </w:tcPr>
          <w:p w14:paraId="7E60E0EB" w14:textId="36BED54C"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w:t>
            </w:r>
            <w:r w:rsidR="00D33C9F">
              <w:rPr>
                <w:rFonts w:ascii="Arial" w:hAnsi="Arial" w:cs="Arial"/>
                <w:color w:val="auto"/>
                <w:sz w:val="18"/>
                <w:szCs w:val="18"/>
              </w:rPr>
              <w:t>2-23</w:t>
            </w:r>
          </w:p>
        </w:tc>
      </w:tr>
      <w:tr w:rsidR="00770FD9" w:rsidRPr="00A3501E" w14:paraId="5C51A72F" w14:textId="77777777" w:rsidTr="00EA4612">
        <w:trPr>
          <w:trHeight w:val="48"/>
        </w:trPr>
        <w:tc>
          <w:tcPr>
            <w:tcW w:w="1551" w:type="dxa"/>
            <w:vMerge w:val="restart"/>
            <w:tcBorders>
              <w:top w:val="single" w:sz="5" w:space="0" w:color="000000"/>
              <w:left w:val="single" w:sz="5" w:space="0" w:color="000000"/>
              <w:right w:val="single" w:sz="5" w:space="0" w:color="000000"/>
            </w:tcBorders>
          </w:tcPr>
          <w:p w14:paraId="056E5B10"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5A834F3"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10a</w:t>
            </w:r>
          </w:p>
        </w:tc>
        <w:tc>
          <w:tcPr>
            <w:tcW w:w="12315" w:type="dxa"/>
            <w:tcBorders>
              <w:top w:val="single" w:sz="5" w:space="0" w:color="000000"/>
              <w:left w:val="single" w:sz="5" w:space="0" w:color="000000"/>
              <w:bottom w:val="single" w:sz="5" w:space="0" w:color="000000"/>
              <w:right w:val="single" w:sz="5" w:space="0" w:color="000000"/>
            </w:tcBorders>
          </w:tcPr>
          <w:p w14:paraId="51043AB3"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747" w:type="dxa"/>
            <w:tcBorders>
              <w:top w:val="single" w:sz="5" w:space="0" w:color="000000"/>
              <w:left w:val="single" w:sz="5" w:space="0" w:color="000000"/>
              <w:bottom w:val="single" w:sz="5" w:space="0" w:color="000000"/>
              <w:right w:val="single" w:sz="5" w:space="0" w:color="000000"/>
            </w:tcBorders>
          </w:tcPr>
          <w:p w14:paraId="2A4CB893" w14:textId="76485C6F"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w:t>
            </w:r>
            <w:r w:rsidR="00D33C9F">
              <w:rPr>
                <w:rFonts w:ascii="Arial" w:hAnsi="Arial" w:cs="Arial"/>
                <w:color w:val="auto"/>
                <w:sz w:val="18"/>
                <w:szCs w:val="18"/>
              </w:rPr>
              <w:t>39</w:t>
            </w:r>
          </w:p>
        </w:tc>
      </w:tr>
      <w:tr w:rsidR="00770FD9" w:rsidRPr="00A3501E" w14:paraId="56ECFEF3" w14:textId="77777777" w:rsidTr="00EA4612">
        <w:trPr>
          <w:trHeight w:val="48"/>
        </w:trPr>
        <w:tc>
          <w:tcPr>
            <w:tcW w:w="1551" w:type="dxa"/>
            <w:vMerge/>
            <w:tcBorders>
              <w:left w:val="single" w:sz="5" w:space="0" w:color="000000"/>
              <w:bottom w:val="single" w:sz="5" w:space="0" w:color="000000"/>
              <w:right w:val="single" w:sz="5" w:space="0" w:color="000000"/>
            </w:tcBorders>
          </w:tcPr>
          <w:p w14:paraId="4387905D" w14:textId="77777777" w:rsidR="00770FD9" w:rsidRPr="00A3501E" w:rsidRDefault="00770FD9" w:rsidP="008055B5">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2BA14E7"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10b</w:t>
            </w:r>
          </w:p>
        </w:tc>
        <w:tc>
          <w:tcPr>
            <w:tcW w:w="12315" w:type="dxa"/>
            <w:tcBorders>
              <w:top w:val="single" w:sz="5" w:space="0" w:color="000000"/>
              <w:left w:val="single" w:sz="5" w:space="0" w:color="000000"/>
              <w:bottom w:val="single" w:sz="5" w:space="0" w:color="000000"/>
              <w:right w:val="single" w:sz="5" w:space="0" w:color="000000"/>
            </w:tcBorders>
          </w:tcPr>
          <w:p w14:paraId="77C0C8F1"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747" w:type="dxa"/>
            <w:tcBorders>
              <w:top w:val="single" w:sz="5" w:space="0" w:color="000000"/>
              <w:left w:val="single" w:sz="5" w:space="0" w:color="000000"/>
              <w:bottom w:val="single" w:sz="5" w:space="0" w:color="000000"/>
              <w:right w:val="single" w:sz="5" w:space="0" w:color="000000"/>
            </w:tcBorders>
          </w:tcPr>
          <w:p w14:paraId="39E9BC63" w14:textId="1079C6A0"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P.24</w:t>
            </w:r>
          </w:p>
        </w:tc>
      </w:tr>
      <w:tr w:rsidR="00770FD9" w:rsidRPr="00A3501E" w14:paraId="347754DD" w14:textId="77777777" w:rsidTr="00EA4612">
        <w:trPr>
          <w:trHeight w:val="48"/>
        </w:trPr>
        <w:tc>
          <w:tcPr>
            <w:tcW w:w="1551" w:type="dxa"/>
            <w:tcBorders>
              <w:top w:val="single" w:sz="5" w:space="0" w:color="000000"/>
              <w:left w:val="single" w:sz="5" w:space="0" w:color="000000"/>
              <w:bottom w:val="single" w:sz="5" w:space="0" w:color="000000"/>
              <w:right w:val="single" w:sz="5" w:space="0" w:color="000000"/>
            </w:tcBorders>
          </w:tcPr>
          <w:p w14:paraId="5CFD9A13"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080CB707"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11</w:t>
            </w:r>
          </w:p>
        </w:tc>
        <w:tc>
          <w:tcPr>
            <w:tcW w:w="12315" w:type="dxa"/>
            <w:tcBorders>
              <w:top w:val="single" w:sz="5" w:space="0" w:color="000000"/>
              <w:left w:val="single" w:sz="5" w:space="0" w:color="000000"/>
              <w:bottom w:val="single" w:sz="5" w:space="0" w:color="000000"/>
              <w:right w:val="single" w:sz="5" w:space="0" w:color="000000"/>
            </w:tcBorders>
          </w:tcPr>
          <w:p w14:paraId="6AD63F23"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747" w:type="dxa"/>
            <w:tcBorders>
              <w:top w:val="single" w:sz="5" w:space="0" w:color="000000"/>
              <w:left w:val="single" w:sz="5" w:space="0" w:color="000000"/>
              <w:bottom w:val="single" w:sz="5" w:space="0" w:color="000000"/>
              <w:right w:val="single" w:sz="5" w:space="0" w:color="000000"/>
            </w:tcBorders>
          </w:tcPr>
          <w:p w14:paraId="38411960" w14:textId="6E7B8A64"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w:t>
            </w:r>
            <w:r w:rsidR="00D33C9F">
              <w:rPr>
                <w:rFonts w:ascii="Arial" w:hAnsi="Arial" w:cs="Arial"/>
                <w:color w:val="auto"/>
                <w:sz w:val="18"/>
                <w:szCs w:val="18"/>
              </w:rPr>
              <w:t>3</w:t>
            </w:r>
          </w:p>
        </w:tc>
      </w:tr>
      <w:tr w:rsidR="00770FD9" w:rsidRPr="00A3501E" w14:paraId="6B856E5A" w14:textId="77777777" w:rsidTr="00EA4612">
        <w:trPr>
          <w:trHeight w:val="48"/>
        </w:trPr>
        <w:tc>
          <w:tcPr>
            <w:tcW w:w="1551" w:type="dxa"/>
            <w:vMerge w:val="restart"/>
            <w:tcBorders>
              <w:top w:val="single" w:sz="5" w:space="0" w:color="000000"/>
              <w:left w:val="single" w:sz="5" w:space="0" w:color="000000"/>
              <w:right w:val="single" w:sz="5" w:space="0" w:color="000000"/>
            </w:tcBorders>
          </w:tcPr>
          <w:p w14:paraId="3759399B"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7503B943"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13a</w:t>
            </w:r>
          </w:p>
        </w:tc>
        <w:tc>
          <w:tcPr>
            <w:tcW w:w="12315" w:type="dxa"/>
            <w:tcBorders>
              <w:top w:val="single" w:sz="5" w:space="0" w:color="000000"/>
              <w:left w:val="single" w:sz="5" w:space="0" w:color="000000"/>
              <w:bottom w:val="single" w:sz="5" w:space="0" w:color="000000"/>
              <w:right w:val="single" w:sz="5" w:space="0" w:color="000000"/>
            </w:tcBorders>
          </w:tcPr>
          <w:p w14:paraId="2AE723E5"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747" w:type="dxa"/>
            <w:tcBorders>
              <w:top w:val="single" w:sz="5" w:space="0" w:color="000000"/>
              <w:left w:val="single" w:sz="5" w:space="0" w:color="000000"/>
              <w:bottom w:val="single" w:sz="5" w:space="0" w:color="000000"/>
              <w:right w:val="single" w:sz="5" w:space="0" w:color="000000"/>
            </w:tcBorders>
          </w:tcPr>
          <w:p w14:paraId="0058D8E5" w14:textId="03982E76" w:rsidR="00770FD9" w:rsidRPr="00A3501E" w:rsidRDefault="00F73437"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P.23</w:t>
            </w:r>
          </w:p>
        </w:tc>
      </w:tr>
      <w:tr w:rsidR="00770FD9" w:rsidRPr="00A3501E" w14:paraId="2751761C" w14:textId="77777777" w:rsidTr="00EA4612">
        <w:trPr>
          <w:trHeight w:val="48"/>
        </w:trPr>
        <w:tc>
          <w:tcPr>
            <w:tcW w:w="1551" w:type="dxa"/>
            <w:vMerge/>
            <w:tcBorders>
              <w:left w:val="single" w:sz="5" w:space="0" w:color="000000"/>
              <w:right w:val="single" w:sz="5" w:space="0" w:color="000000"/>
            </w:tcBorders>
          </w:tcPr>
          <w:p w14:paraId="4ACFC720" w14:textId="77777777" w:rsidR="00770FD9" w:rsidRPr="00A3501E" w:rsidRDefault="00770FD9" w:rsidP="008055B5">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016EA9F"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13c</w:t>
            </w:r>
          </w:p>
        </w:tc>
        <w:tc>
          <w:tcPr>
            <w:tcW w:w="12315" w:type="dxa"/>
            <w:tcBorders>
              <w:top w:val="single" w:sz="5" w:space="0" w:color="000000"/>
              <w:left w:val="single" w:sz="5" w:space="0" w:color="000000"/>
              <w:bottom w:val="single" w:sz="5" w:space="0" w:color="000000"/>
              <w:right w:val="single" w:sz="5" w:space="0" w:color="000000"/>
            </w:tcBorders>
          </w:tcPr>
          <w:p w14:paraId="2A33A0FE"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Describe any methods used to tabulate or visually display results of individual studies and syntheses.</w:t>
            </w:r>
          </w:p>
        </w:tc>
        <w:tc>
          <w:tcPr>
            <w:tcW w:w="747" w:type="dxa"/>
            <w:tcBorders>
              <w:top w:val="single" w:sz="5" w:space="0" w:color="000000"/>
              <w:left w:val="single" w:sz="5" w:space="0" w:color="000000"/>
              <w:bottom w:val="single" w:sz="5" w:space="0" w:color="000000"/>
              <w:right w:val="single" w:sz="5" w:space="0" w:color="000000"/>
            </w:tcBorders>
          </w:tcPr>
          <w:p w14:paraId="19B3F1D7" w14:textId="05CC9F20" w:rsidR="00770FD9" w:rsidRPr="00A3501E" w:rsidRDefault="00F73437"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P.25-39</w:t>
            </w:r>
          </w:p>
        </w:tc>
      </w:tr>
      <w:tr w:rsidR="00770FD9" w:rsidRPr="00A3501E" w14:paraId="0AA0B907"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85707BB"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 xml:space="preserve">RESULTS </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0DD04982" w14:textId="77777777" w:rsidR="00770FD9" w:rsidRPr="00A3501E" w:rsidRDefault="00770FD9" w:rsidP="008055B5">
            <w:pPr>
              <w:pStyle w:val="Default"/>
              <w:jc w:val="center"/>
              <w:rPr>
                <w:rFonts w:ascii="Arial" w:hAnsi="Arial" w:cs="Arial"/>
                <w:color w:val="auto"/>
                <w:sz w:val="18"/>
                <w:szCs w:val="18"/>
              </w:rPr>
            </w:pPr>
          </w:p>
        </w:tc>
      </w:tr>
      <w:tr w:rsidR="00770FD9" w:rsidRPr="00A3501E" w14:paraId="24D1F0E0" w14:textId="77777777" w:rsidTr="00EA4612">
        <w:trPr>
          <w:trHeight w:val="48"/>
        </w:trPr>
        <w:tc>
          <w:tcPr>
            <w:tcW w:w="1551" w:type="dxa"/>
            <w:vMerge w:val="restart"/>
            <w:tcBorders>
              <w:top w:val="single" w:sz="5" w:space="0" w:color="000000"/>
              <w:left w:val="single" w:sz="5" w:space="0" w:color="000000"/>
              <w:right w:val="single" w:sz="5" w:space="0" w:color="000000"/>
            </w:tcBorders>
          </w:tcPr>
          <w:p w14:paraId="52E6E8E1"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7F80E76F"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16a</w:t>
            </w:r>
          </w:p>
        </w:tc>
        <w:tc>
          <w:tcPr>
            <w:tcW w:w="12315" w:type="dxa"/>
            <w:tcBorders>
              <w:top w:val="single" w:sz="5" w:space="0" w:color="000000"/>
              <w:left w:val="single" w:sz="5" w:space="0" w:color="000000"/>
              <w:bottom w:val="single" w:sz="5" w:space="0" w:color="000000"/>
              <w:right w:val="single" w:sz="5" w:space="0" w:color="000000"/>
            </w:tcBorders>
          </w:tcPr>
          <w:p w14:paraId="0F3B9C84"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Describe the results of the search and selection process, from the number of records identified in the search to the number of studies included in the review, ideally using a flow diagram.</w:t>
            </w:r>
          </w:p>
        </w:tc>
        <w:tc>
          <w:tcPr>
            <w:tcW w:w="747" w:type="dxa"/>
            <w:tcBorders>
              <w:top w:val="single" w:sz="5" w:space="0" w:color="000000"/>
              <w:left w:val="single" w:sz="5" w:space="0" w:color="000000"/>
              <w:bottom w:val="single" w:sz="5" w:space="0" w:color="000000"/>
              <w:right w:val="single" w:sz="5" w:space="0" w:color="000000"/>
            </w:tcBorders>
          </w:tcPr>
          <w:p w14:paraId="7CF02BEC" w14:textId="7CE61279"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P.21</w:t>
            </w:r>
          </w:p>
        </w:tc>
      </w:tr>
      <w:tr w:rsidR="00770FD9" w:rsidRPr="00A3501E" w14:paraId="7C534B40" w14:textId="77777777" w:rsidTr="00EA4612">
        <w:trPr>
          <w:trHeight w:val="48"/>
        </w:trPr>
        <w:tc>
          <w:tcPr>
            <w:tcW w:w="1551" w:type="dxa"/>
            <w:vMerge/>
            <w:tcBorders>
              <w:left w:val="single" w:sz="5" w:space="0" w:color="000000"/>
              <w:bottom w:val="single" w:sz="5" w:space="0" w:color="000000"/>
              <w:right w:val="single" w:sz="5" w:space="0" w:color="000000"/>
            </w:tcBorders>
          </w:tcPr>
          <w:p w14:paraId="251289AF" w14:textId="77777777" w:rsidR="00770FD9" w:rsidRPr="00A3501E" w:rsidRDefault="00770FD9" w:rsidP="008055B5">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38BCEA"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16b</w:t>
            </w:r>
          </w:p>
        </w:tc>
        <w:tc>
          <w:tcPr>
            <w:tcW w:w="12315" w:type="dxa"/>
            <w:tcBorders>
              <w:top w:val="single" w:sz="5" w:space="0" w:color="000000"/>
              <w:left w:val="single" w:sz="5" w:space="0" w:color="000000"/>
              <w:bottom w:val="single" w:sz="5" w:space="0" w:color="000000"/>
              <w:right w:val="single" w:sz="5" w:space="0" w:color="000000"/>
            </w:tcBorders>
          </w:tcPr>
          <w:p w14:paraId="42B43BA4"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Cite studies that might appear to meet the inclusion criteria, but which were excluded, and explain why they were excluded.</w:t>
            </w:r>
          </w:p>
        </w:tc>
        <w:tc>
          <w:tcPr>
            <w:tcW w:w="747" w:type="dxa"/>
            <w:tcBorders>
              <w:top w:val="single" w:sz="5" w:space="0" w:color="000000"/>
              <w:left w:val="single" w:sz="5" w:space="0" w:color="000000"/>
              <w:bottom w:val="single" w:sz="5" w:space="0" w:color="000000"/>
              <w:right w:val="single" w:sz="5" w:space="0" w:color="000000"/>
            </w:tcBorders>
          </w:tcPr>
          <w:p w14:paraId="1760EC3B" w14:textId="215F9DED"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P.21</w:t>
            </w:r>
          </w:p>
        </w:tc>
      </w:tr>
      <w:tr w:rsidR="00770FD9" w:rsidRPr="00A3501E" w14:paraId="6110DF5C" w14:textId="77777777" w:rsidTr="00EA4612">
        <w:trPr>
          <w:trHeight w:val="103"/>
        </w:trPr>
        <w:tc>
          <w:tcPr>
            <w:tcW w:w="1551" w:type="dxa"/>
            <w:tcBorders>
              <w:top w:val="single" w:sz="5" w:space="0" w:color="000000"/>
              <w:left w:val="single" w:sz="5" w:space="0" w:color="000000"/>
              <w:bottom w:val="single" w:sz="5" w:space="0" w:color="000000"/>
              <w:right w:val="single" w:sz="5" w:space="0" w:color="000000"/>
            </w:tcBorders>
          </w:tcPr>
          <w:p w14:paraId="227AE2D1"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5F5C3C79"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17</w:t>
            </w:r>
          </w:p>
        </w:tc>
        <w:tc>
          <w:tcPr>
            <w:tcW w:w="12315" w:type="dxa"/>
            <w:tcBorders>
              <w:top w:val="single" w:sz="5" w:space="0" w:color="000000"/>
              <w:left w:val="single" w:sz="5" w:space="0" w:color="000000"/>
              <w:bottom w:val="single" w:sz="5" w:space="0" w:color="000000"/>
              <w:right w:val="single" w:sz="5" w:space="0" w:color="000000"/>
            </w:tcBorders>
          </w:tcPr>
          <w:p w14:paraId="7088D1E9"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Cite each included study and present its characteristics.</w:t>
            </w:r>
          </w:p>
        </w:tc>
        <w:tc>
          <w:tcPr>
            <w:tcW w:w="747" w:type="dxa"/>
            <w:tcBorders>
              <w:top w:val="single" w:sz="5" w:space="0" w:color="000000"/>
              <w:left w:val="single" w:sz="5" w:space="0" w:color="000000"/>
              <w:bottom w:val="single" w:sz="5" w:space="0" w:color="000000"/>
              <w:right w:val="single" w:sz="5" w:space="0" w:color="000000"/>
            </w:tcBorders>
          </w:tcPr>
          <w:p w14:paraId="4BE9BD52" w14:textId="6C3A4B36" w:rsidR="00770FD9" w:rsidRPr="00A3501E" w:rsidRDefault="00770FD9"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P.25</w:t>
            </w:r>
          </w:p>
        </w:tc>
      </w:tr>
      <w:tr w:rsidR="00770FD9" w:rsidRPr="00A3501E" w14:paraId="7DFE84DE"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577FBA7"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 xml:space="preserve">DISCUSSION </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26FE1F2B" w14:textId="77777777" w:rsidR="00770FD9" w:rsidRPr="00A3501E" w:rsidRDefault="00770FD9" w:rsidP="008055B5">
            <w:pPr>
              <w:pStyle w:val="Default"/>
              <w:jc w:val="center"/>
              <w:rPr>
                <w:rFonts w:ascii="Arial" w:hAnsi="Arial" w:cs="Arial"/>
                <w:color w:val="auto"/>
                <w:sz w:val="18"/>
                <w:szCs w:val="18"/>
              </w:rPr>
            </w:pPr>
          </w:p>
        </w:tc>
      </w:tr>
      <w:tr w:rsidR="00770FD9" w:rsidRPr="00A3501E" w14:paraId="09B70C4D" w14:textId="77777777" w:rsidTr="00EA4612">
        <w:trPr>
          <w:trHeight w:val="48"/>
        </w:trPr>
        <w:tc>
          <w:tcPr>
            <w:tcW w:w="1551" w:type="dxa"/>
            <w:vMerge w:val="restart"/>
            <w:tcBorders>
              <w:top w:val="single" w:sz="5" w:space="0" w:color="000000"/>
              <w:left w:val="single" w:sz="5" w:space="0" w:color="000000"/>
              <w:right w:val="single" w:sz="5" w:space="0" w:color="000000"/>
            </w:tcBorders>
          </w:tcPr>
          <w:p w14:paraId="283C2718"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26B49385"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23a</w:t>
            </w:r>
          </w:p>
        </w:tc>
        <w:tc>
          <w:tcPr>
            <w:tcW w:w="12315" w:type="dxa"/>
            <w:tcBorders>
              <w:top w:val="single" w:sz="5" w:space="0" w:color="000000"/>
              <w:left w:val="single" w:sz="5" w:space="0" w:color="000000"/>
              <w:bottom w:val="single" w:sz="5" w:space="0" w:color="000000"/>
              <w:right w:val="single" w:sz="5" w:space="0" w:color="000000"/>
            </w:tcBorders>
          </w:tcPr>
          <w:p w14:paraId="788C19F3"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Provide a general interpretation of the results in the context of other evidence.</w:t>
            </w:r>
          </w:p>
        </w:tc>
        <w:tc>
          <w:tcPr>
            <w:tcW w:w="747" w:type="dxa"/>
            <w:tcBorders>
              <w:top w:val="single" w:sz="5" w:space="0" w:color="000000"/>
              <w:left w:val="single" w:sz="5" w:space="0" w:color="000000"/>
              <w:bottom w:val="single" w:sz="5" w:space="0" w:color="000000"/>
              <w:right w:val="single" w:sz="5" w:space="0" w:color="000000"/>
            </w:tcBorders>
          </w:tcPr>
          <w:p w14:paraId="31CC67CE" w14:textId="4CEB38AF" w:rsidR="00770FD9" w:rsidRPr="00A3501E" w:rsidRDefault="0009073D" w:rsidP="008055B5">
            <w:pPr>
              <w:pStyle w:val="Default"/>
              <w:spacing w:before="40" w:after="40"/>
              <w:jc w:val="center"/>
              <w:rPr>
                <w:rFonts w:ascii="Arial" w:hAnsi="Arial" w:cs="Arial"/>
                <w:color w:val="auto"/>
                <w:sz w:val="18"/>
                <w:szCs w:val="18"/>
              </w:rPr>
            </w:pPr>
            <w:r>
              <w:rPr>
                <w:rFonts w:ascii="Arial" w:hAnsi="Arial" w:cs="Arial"/>
                <w:color w:val="auto"/>
                <w:sz w:val="18"/>
                <w:szCs w:val="18"/>
              </w:rPr>
              <w:t>P.</w:t>
            </w:r>
            <w:r w:rsidR="00770FD9" w:rsidRPr="00A3501E">
              <w:rPr>
                <w:rFonts w:ascii="Arial" w:hAnsi="Arial" w:cs="Arial"/>
                <w:color w:val="auto"/>
                <w:sz w:val="18"/>
                <w:szCs w:val="18"/>
              </w:rPr>
              <w:t>2</w:t>
            </w:r>
            <w:r>
              <w:rPr>
                <w:rFonts w:ascii="Arial" w:hAnsi="Arial" w:cs="Arial"/>
                <w:color w:val="auto"/>
                <w:sz w:val="18"/>
                <w:szCs w:val="18"/>
              </w:rPr>
              <w:t>3-37</w:t>
            </w:r>
          </w:p>
        </w:tc>
      </w:tr>
      <w:tr w:rsidR="00770FD9" w:rsidRPr="00A3501E" w14:paraId="4A0F7D5B" w14:textId="77777777" w:rsidTr="00EA4612">
        <w:trPr>
          <w:trHeight w:val="48"/>
        </w:trPr>
        <w:tc>
          <w:tcPr>
            <w:tcW w:w="1551" w:type="dxa"/>
            <w:vMerge/>
            <w:tcBorders>
              <w:left w:val="single" w:sz="5" w:space="0" w:color="000000"/>
              <w:right w:val="single" w:sz="5" w:space="0" w:color="000000"/>
            </w:tcBorders>
          </w:tcPr>
          <w:p w14:paraId="4E5F9DDE" w14:textId="77777777" w:rsidR="00770FD9" w:rsidRPr="00A3501E" w:rsidRDefault="00770FD9" w:rsidP="008055B5">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5383AD2"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23b</w:t>
            </w:r>
          </w:p>
        </w:tc>
        <w:tc>
          <w:tcPr>
            <w:tcW w:w="12315" w:type="dxa"/>
            <w:tcBorders>
              <w:top w:val="single" w:sz="5" w:space="0" w:color="000000"/>
              <w:left w:val="single" w:sz="5" w:space="0" w:color="000000"/>
              <w:bottom w:val="single" w:sz="5" w:space="0" w:color="000000"/>
              <w:right w:val="single" w:sz="5" w:space="0" w:color="000000"/>
            </w:tcBorders>
          </w:tcPr>
          <w:p w14:paraId="193556B8"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Discuss any limitations of the evidence included in the review.</w:t>
            </w:r>
          </w:p>
        </w:tc>
        <w:tc>
          <w:tcPr>
            <w:tcW w:w="747" w:type="dxa"/>
            <w:tcBorders>
              <w:top w:val="single" w:sz="5" w:space="0" w:color="000000"/>
              <w:left w:val="single" w:sz="5" w:space="0" w:color="000000"/>
              <w:bottom w:val="single" w:sz="5" w:space="0" w:color="000000"/>
              <w:right w:val="single" w:sz="5" w:space="0" w:color="000000"/>
            </w:tcBorders>
          </w:tcPr>
          <w:p w14:paraId="2E4C8ED0" w14:textId="6A0D3596" w:rsidR="00770FD9" w:rsidRPr="00A3501E" w:rsidRDefault="0009073D" w:rsidP="008055B5">
            <w:pPr>
              <w:pStyle w:val="Default"/>
              <w:spacing w:before="40" w:after="40"/>
              <w:jc w:val="center"/>
              <w:rPr>
                <w:rFonts w:ascii="Arial" w:hAnsi="Arial" w:cs="Arial"/>
                <w:color w:val="auto"/>
                <w:sz w:val="18"/>
                <w:szCs w:val="18"/>
              </w:rPr>
            </w:pPr>
            <w:r>
              <w:rPr>
                <w:rFonts w:ascii="Arial" w:hAnsi="Arial" w:cs="Arial"/>
                <w:color w:val="auto"/>
                <w:sz w:val="18"/>
                <w:szCs w:val="18"/>
              </w:rPr>
              <w:t>P.</w:t>
            </w:r>
            <w:r w:rsidR="00770FD9" w:rsidRPr="00A3501E">
              <w:rPr>
                <w:rFonts w:ascii="Arial" w:hAnsi="Arial" w:cs="Arial"/>
                <w:color w:val="auto"/>
                <w:sz w:val="18"/>
                <w:szCs w:val="18"/>
              </w:rPr>
              <w:t>4</w:t>
            </w:r>
            <w:r>
              <w:rPr>
                <w:rFonts w:ascii="Arial" w:hAnsi="Arial" w:cs="Arial"/>
                <w:color w:val="auto"/>
                <w:sz w:val="18"/>
                <w:szCs w:val="18"/>
              </w:rPr>
              <w:t>6-47</w:t>
            </w:r>
          </w:p>
        </w:tc>
      </w:tr>
      <w:tr w:rsidR="00770FD9" w:rsidRPr="00A3501E" w14:paraId="42C1A9E1" w14:textId="77777777" w:rsidTr="00EA4612">
        <w:trPr>
          <w:trHeight w:val="48"/>
        </w:trPr>
        <w:tc>
          <w:tcPr>
            <w:tcW w:w="1551" w:type="dxa"/>
            <w:vMerge/>
            <w:tcBorders>
              <w:left w:val="single" w:sz="5" w:space="0" w:color="000000"/>
              <w:right w:val="single" w:sz="5" w:space="0" w:color="000000"/>
            </w:tcBorders>
          </w:tcPr>
          <w:p w14:paraId="4F48E3F3" w14:textId="77777777" w:rsidR="00770FD9" w:rsidRPr="00A3501E" w:rsidRDefault="00770FD9" w:rsidP="008055B5">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3A5DBD97"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23c</w:t>
            </w:r>
          </w:p>
        </w:tc>
        <w:tc>
          <w:tcPr>
            <w:tcW w:w="12315" w:type="dxa"/>
            <w:tcBorders>
              <w:top w:val="single" w:sz="5" w:space="0" w:color="000000"/>
              <w:left w:val="single" w:sz="5" w:space="0" w:color="000000"/>
              <w:bottom w:val="single" w:sz="5" w:space="0" w:color="000000"/>
              <w:right w:val="single" w:sz="5" w:space="0" w:color="000000"/>
            </w:tcBorders>
          </w:tcPr>
          <w:p w14:paraId="393F1B4E"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Discuss any limitations of the review processes used.</w:t>
            </w:r>
          </w:p>
        </w:tc>
        <w:tc>
          <w:tcPr>
            <w:tcW w:w="747" w:type="dxa"/>
            <w:tcBorders>
              <w:top w:val="single" w:sz="5" w:space="0" w:color="000000"/>
              <w:left w:val="single" w:sz="5" w:space="0" w:color="000000"/>
              <w:bottom w:val="single" w:sz="5" w:space="0" w:color="000000"/>
              <w:right w:val="single" w:sz="5" w:space="0" w:color="000000"/>
            </w:tcBorders>
          </w:tcPr>
          <w:p w14:paraId="450743D2" w14:textId="2D685487" w:rsidR="00770FD9" w:rsidRPr="00A3501E" w:rsidRDefault="0009073D" w:rsidP="008055B5">
            <w:pPr>
              <w:pStyle w:val="Default"/>
              <w:spacing w:before="40" w:after="40"/>
              <w:jc w:val="center"/>
              <w:rPr>
                <w:rFonts w:ascii="Arial" w:hAnsi="Arial" w:cs="Arial"/>
                <w:color w:val="auto"/>
                <w:sz w:val="18"/>
                <w:szCs w:val="18"/>
              </w:rPr>
            </w:pPr>
            <w:r>
              <w:rPr>
                <w:rFonts w:ascii="Arial" w:hAnsi="Arial" w:cs="Arial"/>
                <w:color w:val="auto"/>
                <w:sz w:val="18"/>
                <w:szCs w:val="18"/>
              </w:rPr>
              <w:t>P.</w:t>
            </w:r>
            <w:r w:rsidR="00770FD9" w:rsidRPr="00A3501E">
              <w:rPr>
                <w:rFonts w:ascii="Arial" w:hAnsi="Arial" w:cs="Arial"/>
                <w:color w:val="auto"/>
                <w:sz w:val="18"/>
                <w:szCs w:val="18"/>
              </w:rPr>
              <w:t>4</w:t>
            </w:r>
            <w:r>
              <w:rPr>
                <w:rFonts w:ascii="Arial" w:hAnsi="Arial" w:cs="Arial"/>
                <w:color w:val="auto"/>
                <w:sz w:val="18"/>
                <w:szCs w:val="18"/>
              </w:rPr>
              <w:t>7</w:t>
            </w:r>
          </w:p>
        </w:tc>
      </w:tr>
      <w:tr w:rsidR="00770FD9" w:rsidRPr="00A3501E" w14:paraId="0C4661A0" w14:textId="77777777" w:rsidTr="00EA4612">
        <w:trPr>
          <w:trHeight w:val="48"/>
        </w:trPr>
        <w:tc>
          <w:tcPr>
            <w:tcW w:w="1551" w:type="dxa"/>
            <w:vMerge/>
            <w:tcBorders>
              <w:left w:val="single" w:sz="5" w:space="0" w:color="000000"/>
              <w:bottom w:val="single" w:sz="4" w:space="0" w:color="auto"/>
              <w:right w:val="single" w:sz="5" w:space="0" w:color="000000"/>
            </w:tcBorders>
          </w:tcPr>
          <w:p w14:paraId="1A9EE75F" w14:textId="77777777" w:rsidR="00770FD9" w:rsidRPr="00A3501E" w:rsidRDefault="00770FD9" w:rsidP="008055B5">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5D1ED7B0"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23d</w:t>
            </w:r>
          </w:p>
        </w:tc>
        <w:tc>
          <w:tcPr>
            <w:tcW w:w="12315" w:type="dxa"/>
            <w:tcBorders>
              <w:top w:val="single" w:sz="5" w:space="0" w:color="000000"/>
              <w:left w:val="single" w:sz="4" w:space="0" w:color="auto"/>
              <w:bottom w:val="double" w:sz="5" w:space="0" w:color="000000"/>
              <w:right w:val="single" w:sz="5" w:space="0" w:color="000000"/>
            </w:tcBorders>
          </w:tcPr>
          <w:p w14:paraId="03457347"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Discuss implications of the results for practice, policy, and future research.</w:t>
            </w:r>
          </w:p>
        </w:tc>
        <w:tc>
          <w:tcPr>
            <w:tcW w:w="747" w:type="dxa"/>
            <w:tcBorders>
              <w:top w:val="single" w:sz="5" w:space="0" w:color="000000"/>
              <w:left w:val="single" w:sz="5" w:space="0" w:color="000000"/>
              <w:bottom w:val="double" w:sz="5" w:space="0" w:color="000000"/>
              <w:right w:val="single" w:sz="5" w:space="0" w:color="000000"/>
            </w:tcBorders>
          </w:tcPr>
          <w:p w14:paraId="1A641355" w14:textId="64409AF6" w:rsidR="00770FD9" w:rsidRPr="00A3501E" w:rsidRDefault="0009073D" w:rsidP="008055B5">
            <w:pPr>
              <w:pStyle w:val="Default"/>
              <w:spacing w:before="40" w:after="40"/>
              <w:jc w:val="center"/>
              <w:rPr>
                <w:rFonts w:ascii="Arial" w:hAnsi="Arial" w:cs="Arial"/>
                <w:color w:val="auto"/>
                <w:sz w:val="18"/>
                <w:szCs w:val="18"/>
              </w:rPr>
            </w:pPr>
            <w:r>
              <w:rPr>
                <w:rFonts w:ascii="Arial" w:hAnsi="Arial" w:cs="Arial"/>
                <w:color w:val="auto"/>
                <w:sz w:val="18"/>
                <w:szCs w:val="18"/>
              </w:rPr>
              <w:t>P.</w:t>
            </w:r>
            <w:r w:rsidR="00770FD9" w:rsidRPr="00A3501E">
              <w:rPr>
                <w:rFonts w:ascii="Arial" w:hAnsi="Arial" w:cs="Arial"/>
                <w:color w:val="auto"/>
                <w:sz w:val="18"/>
                <w:szCs w:val="18"/>
              </w:rPr>
              <w:t>4</w:t>
            </w:r>
            <w:r>
              <w:rPr>
                <w:rFonts w:ascii="Arial" w:hAnsi="Arial" w:cs="Arial"/>
                <w:color w:val="auto"/>
                <w:sz w:val="18"/>
                <w:szCs w:val="18"/>
              </w:rPr>
              <w:t>7-50</w:t>
            </w:r>
          </w:p>
        </w:tc>
      </w:tr>
      <w:tr w:rsidR="00770FD9" w:rsidRPr="00A3501E" w14:paraId="4E14F098" w14:textId="77777777" w:rsidTr="00EA4612">
        <w:trPr>
          <w:trHeight w:val="24"/>
        </w:trPr>
        <w:tc>
          <w:tcPr>
            <w:tcW w:w="144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31BF505" w14:textId="77777777" w:rsidR="00770FD9" w:rsidRPr="00A3501E" w:rsidRDefault="00770FD9" w:rsidP="008055B5">
            <w:pPr>
              <w:pStyle w:val="Default"/>
              <w:rPr>
                <w:rFonts w:ascii="Arial" w:hAnsi="Arial" w:cs="Arial"/>
                <w:sz w:val="18"/>
                <w:szCs w:val="18"/>
              </w:rPr>
            </w:pPr>
            <w:r w:rsidRPr="00A3501E">
              <w:rPr>
                <w:rFonts w:ascii="Arial" w:hAnsi="Arial" w:cs="Arial"/>
                <w:b/>
                <w:bCs/>
                <w:sz w:val="18"/>
                <w:szCs w:val="18"/>
              </w:rPr>
              <w:t>OTHER INFORMATION</w:t>
            </w:r>
          </w:p>
        </w:tc>
        <w:tc>
          <w:tcPr>
            <w:tcW w:w="747" w:type="dxa"/>
            <w:tcBorders>
              <w:top w:val="double" w:sz="5" w:space="0" w:color="000000"/>
              <w:left w:val="single" w:sz="5" w:space="0" w:color="000000"/>
              <w:bottom w:val="single" w:sz="5" w:space="0" w:color="000000"/>
              <w:right w:val="single" w:sz="5" w:space="0" w:color="000000"/>
            </w:tcBorders>
            <w:shd w:val="clear" w:color="auto" w:fill="FFFFCC"/>
          </w:tcPr>
          <w:p w14:paraId="629375A4" w14:textId="77777777" w:rsidR="00770FD9" w:rsidRPr="00A3501E" w:rsidRDefault="00770FD9" w:rsidP="008055B5">
            <w:pPr>
              <w:pStyle w:val="Default"/>
              <w:jc w:val="center"/>
              <w:rPr>
                <w:rFonts w:ascii="Arial" w:hAnsi="Arial" w:cs="Arial"/>
                <w:color w:val="auto"/>
                <w:sz w:val="18"/>
                <w:szCs w:val="18"/>
              </w:rPr>
            </w:pPr>
          </w:p>
        </w:tc>
      </w:tr>
      <w:tr w:rsidR="00770FD9" w:rsidRPr="004C1685" w14:paraId="147DD33B" w14:textId="77777777" w:rsidTr="00EA4612">
        <w:trPr>
          <w:trHeight w:val="219"/>
        </w:trPr>
        <w:tc>
          <w:tcPr>
            <w:tcW w:w="1551" w:type="dxa"/>
            <w:tcBorders>
              <w:top w:val="single" w:sz="5" w:space="0" w:color="000000"/>
              <w:left w:val="single" w:sz="5" w:space="0" w:color="000000"/>
              <w:bottom w:val="double" w:sz="5" w:space="0" w:color="000000"/>
              <w:right w:val="single" w:sz="5" w:space="0" w:color="000000"/>
            </w:tcBorders>
          </w:tcPr>
          <w:p w14:paraId="1A418BF8"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5FA3718C" w14:textId="77777777" w:rsidR="00770FD9" w:rsidRPr="00A3501E" w:rsidRDefault="00770FD9" w:rsidP="008055B5">
            <w:pPr>
              <w:pStyle w:val="Default"/>
              <w:spacing w:before="40" w:after="40"/>
              <w:jc w:val="right"/>
              <w:rPr>
                <w:rFonts w:ascii="Arial" w:hAnsi="Arial" w:cs="Arial"/>
                <w:sz w:val="18"/>
                <w:szCs w:val="18"/>
              </w:rPr>
            </w:pPr>
            <w:r w:rsidRPr="00A3501E">
              <w:rPr>
                <w:rFonts w:ascii="Arial" w:hAnsi="Arial" w:cs="Arial"/>
                <w:sz w:val="18"/>
                <w:szCs w:val="18"/>
              </w:rPr>
              <w:t>27</w:t>
            </w:r>
          </w:p>
        </w:tc>
        <w:tc>
          <w:tcPr>
            <w:tcW w:w="12315" w:type="dxa"/>
            <w:tcBorders>
              <w:top w:val="single" w:sz="5" w:space="0" w:color="000000"/>
              <w:left w:val="single" w:sz="5" w:space="0" w:color="000000"/>
              <w:bottom w:val="double" w:sz="5" w:space="0" w:color="000000"/>
              <w:right w:val="single" w:sz="5" w:space="0" w:color="000000"/>
            </w:tcBorders>
          </w:tcPr>
          <w:p w14:paraId="1C47FA81" w14:textId="77777777" w:rsidR="00770FD9" w:rsidRPr="00A3501E" w:rsidRDefault="00770FD9" w:rsidP="008055B5">
            <w:pPr>
              <w:pStyle w:val="Default"/>
              <w:spacing w:before="40" w:after="40"/>
              <w:rPr>
                <w:rFonts w:ascii="Arial" w:hAnsi="Arial" w:cs="Arial"/>
                <w:sz w:val="18"/>
                <w:szCs w:val="18"/>
              </w:rPr>
            </w:pPr>
            <w:r w:rsidRPr="00A3501E">
              <w:rPr>
                <w:rFonts w:ascii="Arial" w:hAnsi="Arial" w:cs="Arial"/>
                <w:sz w:val="18"/>
                <w:szCs w:val="18"/>
              </w:rPr>
              <w:t xml:space="preserve">Report which of the following are publicly available and where they can be </w:t>
            </w:r>
            <w:proofErr w:type="gramStart"/>
            <w:r w:rsidRPr="00A3501E">
              <w:rPr>
                <w:rFonts w:ascii="Arial" w:hAnsi="Arial" w:cs="Arial"/>
                <w:sz w:val="18"/>
                <w:szCs w:val="18"/>
              </w:rPr>
              <w:t>found:</w:t>
            </w:r>
            <w:proofErr w:type="gramEnd"/>
            <w:r w:rsidRPr="00A3501E">
              <w:rPr>
                <w:rFonts w:ascii="Arial" w:hAnsi="Arial" w:cs="Arial"/>
                <w:sz w:val="18"/>
                <w:szCs w:val="18"/>
              </w:rPr>
              <w:t xml:space="preserve"> template data collection forms; data extracted from included studies; data used for all analyses; analytic code; any other materials used in the review.</w:t>
            </w:r>
          </w:p>
        </w:tc>
        <w:tc>
          <w:tcPr>
            <w:tcW w:w="747" w:type="dxa"/>
            <w:tcBorders>
              <w:top w:val="single" w:sz="5" w:space="0" w:color="000000"/>
              <w:left w:val="single" w:sz="5" w:space="0" w:color="000000"/>
              <w:bottom w:val="double" w:sz="5" w:space="0" w:color="000000"/>
              <w:right w:val="single" w:sz="5" w:space="0" w:color="000000"/>
            </w:tcBorders>
          </w:tcPr>
          <w:p w14:paraId="1061D6E5" w14:textId="712E3B04" w:rsidR="00770FD9" w:rsidRPr="00A3501E" w:rsidRDefault="00A513ED" w:rsidP="008055B5">
            <w:pPr>
              <w:pStyle w:val="Default"/>
              <w:spacing w:before="40" w:after="40"/>
              <w:jc w:val="center"/>
              <w:rPr>
                <w:rFonts w:ascii="Arial" w:hAnsi="Arial" w:cs="Arial"/>
                <w:color w:val="auto"/>
                <w:sz w:val="18"/>
                <w:szCs w:val="18"/>
              </w:rPr>
            </w:pPr>
            <w:r w:rsidRPr="00A3501E">
              <w:rPr>
                <w:rFonts w:ascii="Arial" w:hAnsi="Arial" w:cs="Arial"/>
                <w:color w:val="auto"/>
                <w:sz w:val="18"/>
                <w:szCs w:val="18"/>
              </w:rPr>
              <w:t>P.61-75</w:t>
            </w:r>
          </w:p>
        </w:tc>
      </w:tr>
    </w:tbl>
    <w:p w14:paraId="3A1D2F36" w14:textId="77777777" w:rsidR="00770FD9" w:rsidRDefault="00770FD9" w:rsidP="00770FD9">
      <w:pPr>
        <w:jc w:val="both"/>
        <w:rPr>
          <w:rFonts w:eastAsia="Times New Roman"/>
          <w:lang w:eastAsia="en-GB"/>
        </w:rPr>
      </w:pPr>
    </w:p>
    <w:p w14:paraId="04516792" w14:textId="0E841454" w:rsidR="00DC2BD6" w:rsidRPr="00D33C9F" w:rsidRDefault="00DC2BD6" w:rsidP="00DC2BD6">
      <w:pPr>
        <w:spacing w:line="240" w:lineRule="auto"/>
        <w:jc w:val="both"/>
        <w:rPr>
          <w:rFonts w:asciiTheme="minorHAnsi" w:eastAsia="Times New Roman" w:hAnsiTheme="minorHAnsi" w:cstheme="minorHAnsi"/>
          <w:i/>
          <w:iCs/>
          <w:lang w:val="en-GB" w:eastAsia="en-GB"/>
        </w:rPr>
      </w:pPr>
      <w:r w:rsidRPr="00D33C9F">
        <w:rPr>
          <w:rFonts w:asciiTheme="minorHAnsi" w:eastAsia="Times New Roman" w:hAnsiTheme="minorHAnsi" w:cstheme="minorHAnsi"/>
          <w:i/>
          <w:iCs/>
          <w:lang w:eastAsia="en-GB"/>
        </w:rPr>
        <w:t xml:space="preserve">Note: </w:t>
      </w:r>
      <w:r w:rsidRPr="00D33C9F">
        <w:rPr>
          <w:rFonts w:asciiTheme="minorHAnsi" w:eastAsia="Times New Roman" w:hAnsiTheme="minorHAnsi" w:cstheme="minorHAnsi"/>
          <w:i/>
          <w:iCs/>
          <w:lang w:val="en-GB" w:eastAsia="en-GB"/>
        </w:rPr>
        <w:t>The review analysis was based on the objectives of the study, the type of questions being asked, and the nature of the data available in the literature, therefore certain PRISMA items were not applicable.</w:t>
      </w:r>
    </w:p>
    <w:p w14:paraId="3B99ED16" w14:textId="41FEEBCF" w:rsidR="00770FD9" w:rsidRPr="00ED3A7E" w:rsidRDefault="00770FD9" w:rsidP="00DC2BD6">
      <w:pPr>
        <w:spacing w:line="240" w:lineRule="auto"/>
        <w:jc w:val="both"/>
        <w:rPr>
          <w:rFonts w:ascii="Helvetica Neue" w:hAnsi="Helvetica Neue" w:cs="Helvetica Neue"/>
          <w:sz w:val="26"/>
          <w:szCs w:val="26"/>
          <w:lang w:val="en-GB"/>
        </w:rPr>
        <w:sectPr w:rsidR="00770FD9" w:rsidRPr="00ED3A7E" w:rsidSect="001124D5">
          <w:pgSz w:w="16838" w:h="11906" w:orient="landscape"/>
          <w:pgMar w:top="1134" w:right="1134" w:bottom="2268" w:left="1134" w:header="709" w:footer="709" w:gutter="0"/>
          <w:cols w:space="708"/>
          <w:titlePg/>
          <w:docGrid w:linePitch="360"/>
        </w:sectPr>
      </w:pPr>
    </w:p>
    <w:p w14:paraId="15EC5A68" w14:textId="77777777" w:rsidR="00AC3633" w:rsidRDefault="00AC3633" w:rsidP="00294B86"/>
    <w:sectPr w:rsidR="00AC3633" w:rsidSect="001124D5">
      <w:pgSz w:w="11906" w:h="16838"/>
      <w:pgMar w:top="1134" w:right="1134" w:bottom="1134"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F8ADE7" w14:textId="77777777" w:rsidR="00792999" w:rsidRDefault="00792999" w:rsidP="006702C8">
      <w:pPr>
        <w:spacing w:after="0" w:line="240" w:lineRule="auto"/>
      </w:pPr>
      <w:r>
        <w:separator/>
      </w:r>
    </w:p>
  </w:endnote>
  <w:endnote w:type="continuationSeparator" w:id="0">
    <w:p w14:paraId="5BF44C34" w14:textId="77777777" w:rsidR="00792999" w:rsidRDefault="00792999" w:rsidP="006702C8">
      <w:pPr>
        <w:spacing w:after="0" w:line="240" w:lineRule="auto"/>
      </w:pPr>
      <w:r>
        <w:continuationSeparator/>
      </w:r>
    </w:p>
  </w:endnote>
  <w:endnote w:type="continuationNotice" w:id="1">
    <w:p w14:paraId="44BE19AD" w14:textId="77777777" w:rsidR="00792999" w:rsidRDefault="007929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Helvetica Neue">
    <w:altName w:val="Sylfaen"/>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31778" w14:textId="7868AC46" w:rsidR="006702C8" w:rsidRDefault="006702C8" w:rsidP="13EF34EE">
    <w:pPr>
      <w:pStyle w:val="Footer"/>
      <w:framePr w:wrap="none" w:vAnchor="text" w:hAnchor="margin" w:xAlign="right" w:y="1"/>
      <w:rPr>
        <w:rStyle w:val="PageNumber"/>
        <w:highlight w:val="white"/>
      </w:rPr>
    </w:pPr>
    <w:r w:rsidRPr="13EF34EE">
      <w:rPr>
        <w:rStyle w:val="PageNumber"/>
        <w:highlight w:val="white"/>
      </w:rPr>
      <w:fldChar w:fldCharType="begin"/>
    </w:r>
    <w:r w:rsidRPr="13EF34EE">
      <w:rPr>
        <w:rStyle w:val="PageNumber"/>
      </w:rPr>
      <w:instrText xml:space="preserve"> PAGE </w:instrText>
    </w:r>
    <w:r w:rsidRPr="13EF34EE">
      <w:rPr>
        <w:rStyle w:val="PageNumber"/>
        <w:highlight w:val="white"/>
      </w:rPr>
      <w:fldChar w:fldCharType="separate"/>
    </w:r>
    <w:r w:rsidR="00D916AC">
      <w:rPr>
        <w:rStyle w:val="PageNumber"/>
        <w:noProof/>
      </w:rPr>
      <w:t>3</w:t>
    </w:r>
    <w:r w:rsidRPr="13EF34EE">
      <w:rPr>
        <w:rStyle w:val="PageNumber"/>
        <w:highlight w:val="white"/>
      </w:rPr>
      <w:fldChar w:fldCharType="end"/>
    </w:r>
  </w:p>
  <w:p w14:paraId="222EB784" w14:textId="77777777" w:rsidR="006702C8" w:rsidRDefault="006702C8" w:rsidP="006702C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17C6D" w14:textId="11047C38" w:rsidR="006702C8" w:rsidRDefault="006702C8" w:rsidP="13EF34EE">
    <w:pPr>
      <w:pStyle w:val="Footer"/>
      <w:framePr w:wrap="none" w:vAnchor="text" w:hAnchor="margin" w:xAlign="right" w:y="1"/>
      <w:rPr>
        <w:rStyle w:val="PageNumber"/>
        <w:highlight w:val="white"/>
      </w:rPr>
    </w:pPr>
    <w:r w:rsidRPr="13EF34EE">
      <w:rPr>
        <w:rStyle w:val="PageNumber"/>
        <w:noProof/>
        <w:highlight w:val="white"/>
      </w:rPr>
      <w:fldChar w:fldCharType="begin"/>
    </w:r>
    <w:r w:rsidRPr="13EF34EE">
      <w:rPr>
        <w:rStyle w:val="PageNumber"/>
      </w:rPr>
      <w:instrText xml:space="preserve"> PAGE </w:instrText>
    </w:r>
    <w:r w:rsidRPr="13EF34EE">
      <w:rPr>
        <w:rStyle w:val="PageNumber"/>
      </w:rPr>
      <w:fldChar w:fldCharType="separate"/>
    </w:r>
    <w:r w:rsidR="13EF34EE" w:rsidRPr="13EF34EE">
      <w:rPr>
        <w:rStyle w:val="PageNumber"/>
        <w:noProof/>
        <w:highlight w:val="white"/>
      </w:rPr>
      <w:t>1</w:t>
    </w:r>
    <w:r w:rsidRPr="13EF34EE">
      <w:rPr>
        <w:rStyle w:val="PageNumber"/>
        <w:noProof/>
        <w:highlight w:val="white"/>
      </w:rPr>
      <w:fldChar w:fldCharType="end"/>
    </w:r>
  </w:p>
  <w:p w14:paraId="441C5479" w14:textId="77777777" w:rsidR="006702C8" w:rsidRDefault="006702C8" w:rsidP="006702C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1D0C5" w14:textId="77777777" w:rsidR="00792999" w:rsidRDefault="00792999" w:rsidP="006702C8">
      <w:pPr>
        <w:spacing w:after="0" w:line="240" w:lineRule="auto"/>
      </w:pPr>
      <w:r>
        <w:separator/>
      </w:r>
    </w:p>
  </w:footnote>
  <w:footnote w:type="continuationSeparator" w:id="0">
    <w:p w14:paraId="1F4D9DD6" w14:textId="77777777" w:rsidR="00792999" w:rsidRDefault="00792999" w:rsidP="006702C8">
      <w:pPr>
        <w:spacing w:after="0" w:line="240" w:lineRule="auto"/>
      </w:pPr>
      <w:r>
        <w:continuationSeparator/>
      </w:r>
    </w:p>
  </w:footnote>
  <w:footnote w:type="continuationNotice" w:id="1">
    <w:p w14:paraId="232DEEFE" w14:textId="77777777" w:rsidR="00792999" w:rsidRDefault="0079299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E1875"/>
    <w:multiLevelType w:val="multilevel"/>
    <w:tmpl w:val="9AAEAE3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0B168C"/>
    <w:multiLevelType w:val="hybridMultilevel"/>
    <w:tmpl w:val="52CE1D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8537DF"/>
    <w:multiLevelType w:val="hybridMultilevel"/>
    <w:tmpl w:val="C3EE1C5C"/>
    <w:lvl w:ilvl="0" w:tplc="CB2CE834">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3F6AB2E"/>
    <w:multiLevelType w:val="hybridMultilevel"/>
    <w:tmpl w:val="F3AEF386"/>
    <w:lvl w:ilvl="0" w:tplc="066A7C46">
      <w:start w:val="1"/>
      <w:numFmt w:val="lowerLetter"/>
      <w:lvlText w:val="%1."/>
      <w:lvlJc w:val="left"/>
      <w:pPr>
        <w:ind w:left="720" w:hanging="360"/>
      </w:pPr>
    </w:lvl>
    <w:lvl w:ilvl="1" w:tplc="211A3008">
      <w:start w:val="1"/>
      <w:numFmt w:val="lowerLetter"/>
      <w:lvlText w:val="%2."/>
      <w:lvlJc w:val="left"/>
      <w:pPr>
        <w:ind w:left="1440" w:hanging="360"/>
      </w:pPr>
    </w:lvl>
    <w:lvl w:ilvl="2" w:tplc="06926198">
      <w:start w:val="1"/>
      <w:numFmt w:val="lowerRoman"/>
      <w:lvlText w:val="%3."/>
      <w:lvlJc w:val="right"/>
      <w:pPr>
        <w:ind w:left="2160" w:hanging="180"/>
      </w:pPr>
    </w:lvl>
    <w:lvl w:ilvl="3" w:tplc="97C28826">
      <w:start w:val="1"/>
      <w:numFmt w:val="decimal"/>
      <w:lvlText w:val="%4."/>
      <w:lvlJc w:val="left"/>
      <w:pPr>
        <w:ind w:left="2880" w:hanging="360"/>
      </w:pPr>
    </w:lvl>
    <w:lvl w:ilvl="4" w:tplc="790C537E">
      <w:start w:val="1"/>
      <w:numFmt w:val="lowerLetter"/>
      <w:lvlText w:val="%5."/>
      <w:lvlJc w:val="left"/>
      <w:pPr>
        <w:ind w:left="3600" w:hanging="360"/>
      </w:pPr>
    </w:lvl>
    <w:lvl w:ilvl="5" w:tplc="57E687F2">
      <w:start w:val="1"/>
      <w:numFmt w:val="lowerRoman"/>
      <w:lvlText w:val="%6."/>
      <w:lvlJc w:val="right"/>
      <w:pPr>
        <w:ind w:left="4320" w:hanging="180"/>
      </w:pPr>
    </w:lvl>
    <w:lvl w:ilvl="6" w:tplc="F454E91C">
      <w:start w:val="1"/>
      <w:numFmt w:val="decimal"/>
      <w:lvlText w:val="%7."/>
      <w:lvlJc w:val="left"/>
      <w:pPr>
        <w:ind w:left="5040" w:hanging="360"/>
      </w:pPr>
    </w:lvl>
    <w:lvl w:ilvl="7" w:tplc="70B2D408">
      <w:start w:val="1"/>
      <w:numFmt w:val="lowerLetter"/>
      <w:lvlText w:val="%8."/>
      <w:lvlJc w:val="left"/>
      <w:pPr>
        <w:ind w:left="5760" w:hanging="360"/>
      </w:pPr>
    </w:lvl>
    <w:lvl w:ilvl="8" w:tplc="C39496F6">
      <w:start w:val="1"/>
      <w:numFmt w:val="lowerRoman"/>
      <w:lvlText w:val="%9."/>
      <w:lvlJc w:val="right"/>
      <w:pPr>
        <w:ind w:left="6480" w:hanging="180"/>
      </w:pPr>
    </w:lvl>
  </w:abstractNum>
  <w:abstractNum w:abstractNumId="4" w15:restartNumberingAfterBreak="0">
    <w:nsid w:val="14BB78D5"/>
    <w:multiLevelType w:val="multilevel"/>
    <w:tmpl w:val="6728D9A8"/>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rPr>
        <w:rFonts w:hint="default"/>
      </w:rPr>
    </w:lvl>
    <w:lvl w:ilvl="2" w:tentative="1">
      <w:start w:val="1"/>
      <w:numFmt w:val="decimal"/>
      <w:lvlText w:val="%3."/>
      <w:lvlJc w:val="left"/>
      <w:pPr>
        <w:tabs>
          <w:tab w:val="num" w:pos="2160"/>
        </w:tabs>
        <w:ind w:left="2160" w:hanging="360"/>
      </w:pPr>
      <w:rPr>
        <w:rFonts w:hint="default"/>
      </w:rPr>
    </w:lvl>
    <w:lvl w:ilvl="3" w:tentative="1">
      <w:start w:val="1"/>
      <w:numFmt w:val="decimal"/>
      <w:lvlText w:val="%4."/>
      <w:lvlJc w:val="left"/>
      <w:pPr>
        <w:tabs>
          <w:tab w:val="num" w:pos="2880"/>
        </w:tabs>
        <w:ind w:left="2880" w:hanging="360"/>
      </w:pPr>
      <w:rPr>
        <w:rFonts w:hint="default"/>
      </w:rPr>
    </w:lvl>
    <w:lvl w:ilvl="4" w:tentative="1">
      <w:start w:val="1"/>
      <w:numFmt w:val="decimal"/>
      <w:lvlText w:val="%5."/>
      <w:lvlJc w:val="left"/>
      <w:pPr>
        <w:tabs>
          <w:tab w:val="num" w:pos="3600"/>
        </w:tabs>
        <w:ind w:left="3600" w:hanging="360"/>
      </w:pPr>
      <w:rPr>
        <w:rFonts w:hint="default"/>
      </w:rPr>
    </w:lvl>
    <w:lvl w:ilvl="5" w:tentative="1">
      <w:start w:val="1"/>
      <w:numFmt w:val="decimal"/>
      <w:lvlText w:val="%6."/>
      <w:lvlJc w:val="left"/>
      <w:pPr>
        <w:tabs>
          <w:tab w:val="num" w:pos="4320"/>
        </w:tabs>
        <w:ind w:left="4320" w:hanging="360"/>
      </w:pPr>
      <w:rPr>
        <w:rFonts w:hint="default"/>
      </w:rPr>
    </w:lvl>
    <w:lvl w:ilvl="6" w:tentative="1">
      <w:start w:val="1"/>
      <w:numFmt w:val="decimal"/>
      <w:lvlText w:val="%7."/>
      <w:lvlJc w:val="left"/>
      <w:pPr>
        <w:tabs>
          <w:tab w:val="num" w:pos="5040"/>
        </w:tabs>
        <w:ind w:left="5040" w:hanging="360"/>
      </w:pPr>
      <w:rPr>
        <w:rFonts w:hint="default"/>
      </w:rPr>
    </w:lvl>
    <w:lvl w:ilvl="7" w:tentative="1">
      <w:start w:val="1"/>
      <w:numFmt w:val="decimal"/>
      <w:lvlText w:val="%8."/>
      <w:lvlJc w:val="left"/>
      <w:pPr>
        <w:tabs>
          <w:tab w:val="num" w:pos="5760"/>
        </w:tabs>
        <w:ind w:left="5760" w:hanging="360"/>
      </w:pPr>
      <w:rPr>
        <w:rFonts w:hint="default"/>
      </w:rPr>
    </w:lvl>
    <w:lvl w:ilvl="8" w:tentative="1">
      <w:start w:val="1"/>
      <w:numFmt w:val="decimal"/>
      <w:lvlText w:val="%9."/>
      <w:lvlJc w:val="left"/>
      <w:pPr>
        <w:tabs>
          <w:tab w:val="num" w:pos="6480"/>
        </w:tabs>
        <w:ind w:left="6480" w:hanging="360"/>
      </w:pPr>
      <w:rPr>
        <w:rFonts w:hint="default"/>
      </w:rPr>
    </w:lvl>
  </w:abstractNum>
  <w:abstractNum w:abstractNumId="5" w15:restartNumberingAfterBreak="0">
    <w:nsid w:val="1AB427C7"/>
    <w:multiLevelType w:val="hybridMultilevel"/>
    <w:tmpl w:val="A53A10B8"/>
    <w:lvl w:ilvl="0" w:tplc="D2FE0BC4">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E96A7E"/>
    <w:multiLevelType w:val="hybridMultilevel"/>
    <w:tmpl w:val="B244530E"/>
    <w:lvl w:ilvl="0" w:tplc="D4F0A782">
      <w:start w:val="1"/>
      <w:numFmt w:val="bullet"/>
      <w:lvlText w:val=""/>
      <w:lvlJc w:val="left"/>
      <w:pPr>
        <w:ind w:left="720" w:hanging="360"/>
      </w:pPr>
      <w:rPr>
        <w:rFonts w:ascii="Symbol" w:hAnsi="Symbol" w:hint="default"/>
      </w:rPr>
    </w:lvl>
    <w:lvl w:ilvl="1" w:tplc="B8F0536A">
      <w:start w:val="1"/>
      <w:numFmt w:val="decimal"/>
      <w:lvlText w:val="%2."/>
      <w:lvlJc w:val="left"/>
      <w:pPr>
        <w:ind w:left="1440" w:hanging="360"/>
      </w:pPr>
      <w:rPr>
        <w:rFonts w:hint="default"/>
      </w:rPr>
    </w:lvl>
    <w:lvl w:ilvl="2" w:tplc="7B96C41E">
      <w:start w:val="1"/>
      <w:numFmt w:val="bullet"/>
      <w:lvlText w:val=""/>
      <w:lvlJc w:val="left"/>
      <w:pPr>
        <w:ind w:left="2160" w:hanging="360"/>
      </w:pPr>
      <w:rPr>
        <w:rFonts w:ascii="Wingdings" w:hAnsi="Wingdings" w:hint="default"/>
      </w:rPr>
    </w:lvl>
    <w:lvl w:ilvl="3" w:tplc="5CE05034">
      <w:start w:val="1"/>
      <w:numFmt w:val="bullet"/>
      <w:lvlText w:val=""/>
      <w:lvlJc w:val="left"/>
      <w:pPr>
        <w:ind w:left="2880" w:hanging="360"/>
      </w:pPr>
      <w:rPr>
        <w:rFonts w:ascii="Symbol" w:hAnsi="Symbol" w:hint="default"/>
      </w:rPr>
    </w:lvl>
    <w:lvl w:ilvl="4" w:tplc="2E12E958">
      <w:start w:val="1"/>
      <w:numFmt w:val="bullet"/>
      <w:lvlText w:val="o"/>
      <w:lvlJc w:val="left"/>
      <w:pPr>
        <w:ind w:left="3600" w:hanging="360"/>
      </w:pPr>
      <w:rPr>
        <w:rFonts w:ascii="Courier New" w:hAnsi="Courier New" w:hint="default"/>
      </w:rPr>
    </w:lvl>
    <w:lvl w:ilvl="5" w:tplc="9D08EDAE">
      <w:start w:val="1"/>
      <w:numFmt w:val="bullet"/>
      <w:lvlText w:val=""/>
      <w:lvlJc w:val="left"/>
      <w:pPr>
        <w:ind w:left="4320" w:hanging="360"/>
      </w:pPr>
      <w:rPr>
        <w:rFonts w:ascii="Wingdings" w:hAnsi="Wingdings" w:hint="default"/>
      </w:rPr>
    </w:lvl>
    <w:lvl w:ilvl="6" w:tplc="AA0E83BA">
      <w:start w:val="1"/>
      <w:numFmt w:val="bullet"/>
      <w:lvlText w:val=""/>
      <w:lvlJc w:val="left"/>
      <w:pPr>
        <w:ind w:left="5040" w:hanging="360"/>
      </w:pPr>
      <w:rPr>
        <w:rFonts w:ascii="Symbol" w:hAnsi="Symbol" w:hint="default"/>
      </w:rPr>
    </w:lvl>
    <w:lvl w:ilvl="7" w:tplc="ED961CD8">
      <w:start w:val="1"/>
      <w:numFmt w:val="bullet"/>
      <w:lvlText w:val="o"/>
      <w:lvlJc w:val="left"/>
      <w:pPr>
        <w:ind w:left="5760" w:hanging="360"/>
      </w:pPr>
      <w:rPr>
        <w:rFonts w:ascii="Courier New" w:hAnsi="Courier New" w:hint="default"/>
      </w:rPr>
    </w:lvl>
    <w:lvl w:ilvl="8" w:tplc="FF784728">
      <w:start w:val="1"/>
      <w:numFmt w:val="bullet"/>
      <w:lvlText w:val=""/>
      <w:lvlJc w:val="left"/>
      <w:pPr>
        <w:ind w:left="6480" w:hanging="360"/>
      </w:pPr>
      <w:rPr>
        <w:rFonts w:ascii="Wingdings" w:hAnsi="Wingdings" w:hint="default"/>
      </w:rPr>
    </w:lvl>
  </w:abstractNum>
  <w:abstractNum w:abstractNumId="7" w15:restartNumberingAfterBreak="0">
    <w:nsid w:val="350D7A87"/>
    <w:multiLevelType w:val="multilevel"/>
    <w:tmpl w:val="9AAEAE3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730C2EC"/>
    <w:multiLevelType w:val="hybridMultilevel"/>
    <w:tmpl w:val="5A3ACD56"/>
    <w:lvl w:ilvl="0" w:tplc="FFF2A738">
      <w:start w:val="1"/>
      <w:numFmt w:val="decimal"/>
      <w:lvlText w:val="%1."/>
      <w:lvlJc w:val="left"/>
      <w:pPr>
        <w:ind w:left="720" w:hanging="360"/>
      </w:pPr>
    </w:lvl>
    <w:lvl w:ilvl="1" w:tplc="802CB28C">
      <w:start w:val="1"/>
      <w:numFmt w:val="lowerLetter"/>
      <w:lvlText w:val="%2."/>
      <w:lvlJc w:val="left"/>
      <w:pPr>
        <w:ind w:left="1440" w:hanging="360"/>
      </w:pPr>
    </w:lvl>
    <w:lvl w:ilvl="2" w:tplc="2B362E9A">
      <w:start w:val="1"/>
      <w:numFmt w:val="lowerRoman"/>
      <w:lvlText w:val="%3."/>
      <w:lvlJc w:val="right"/>
      <w:pPr>
        <w:ind w:left="2160" w:hanging="180"/>
      </w:pPr>
    </w:lvl>
    <w:lvl w:ilvl="3" w:tplc="2318C964">
      <w:start w:val="1"/>
      <w:numFmt w:val="decimal"/>
      <w:lvlText w:val="%4."/>
      <w:lvlJc w:val="left"/>
      <w:pPr>
        <w:ind w:left="2880" w:hanging="360"/>
      </w:pPr>
    </w:lvl>
    <w:lvl w:ilvl="4" w:tplc="BFCEEDCE">
      <w:start w:val="1"/>
      <w:numFmt w:val="lowerLetter"/>
      <w:lvlText w:val="%5."/>
      <w:lvlJc w:val="left"/>
      <w:pPr>
        <w:ind w:left="3600" w:hanging="360"/>
      </w:pPr>
    </w:lvl>
    <w:lvl w:ilvl="5" w:tplc="8CD684A2">
      <w:start w:val="1"/>
      <w:numFmt w:val="lowerRoman"/>
      <w:lvlText w:val="%6."/>
      <w:lvlJc w:val="right"/>
      <w:pPr>
        <w:ind w:left="4320" w:hanging="180"/>
      </w:pPr>
    </w:lvl>
    <w:lvl w:ilvl="6" w:tplc="AC12D21A">
      <w:start w:val="1"/>
      <w:numFmt w:val="decimal"/>
      <w:lvlText w:val="%7."/>
      <w:lvlJc w:val="left"/>
      <w:pPr>
        <w:ind w:left="5040" w:hanging="360"/>
      </w:pPr>
    </w:lvl>
    <w:lvl w:ilvl="7" w:tplc="E59299A6">
      <w:start w:val="1"/>
      <w:numFmt w:val="lowerLetter"/>
      <w:lvlText w:val="%8."/>
      <w:lvlJc w:val="left"/>
      <w:pPr>
        <w:ind w:left="5760" w:hanging="360"/>
      </w:pPr>
    </w:lvl>
    <w:lvl w:ilvl="8" w:tplc="E666581A">
      <w:start w:val="1"/>
      <w:numFmt w:val="lowerRoman"/>
      <w:lvlText w:val="%9."/>
      <w:lvlJc w:val="right"/>
      <w:pPr>
        <w:ind w:left="6480" w:hanging="180"/>
      </w:pPr>
    </w:lvl>
  </w:abstractNum>
  <w:abstractNum w:abstractNumId="9" w15:restartNumberingAfterBreak="0">
    <w:nsid w:val="3A0D47F4"/>
    <w:multiLevelType w:val="hybridMultilevel"/>
    <w:tmpl w:val="414434C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41965C16"/>
    <w:multiLevelType w:val="hybridMultilevel"/>
    <w:tmpl w:val="FF2E42D2"/>
    <w:lvl w:ilvl="0" w:tplc="0809000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 w15:restartNumberingAfterBreak="0">
    <w:nsid w:val="427F50E3"/>
    <w:multiLevelType w:val="hybridMultilevel"/>
    <w:tmpl w:val="824648B2"/>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37C3E2E"/>
    <w:multiLevelType w:val="hybridMultilevel"/>
    <w:tmpl w:val="450E78E8"/>
    <w:lvl w:ilvl="0" w:tplc="1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75609B7"/>
    <w:multiLevelType w:val="hybridMultilevel"/>
    <w:tmpl w:val="E7F40FF2"/>
    <w:lvl w:ilvl="0" w:tplc="247E73DA">
      <w:start w:val="1"/>
      <w:numFmt w:val="decimal"/>
      <w:lvlText w:val="%1."/>
      <w:lvlJc w:val="left"/>
      <w:pPr>
        <w:ind w:left="720" w:hanging="360"/>
      </w:pPr>
    </w:lvl>
    <w:lvl w:ilvl="1" w:tplc="179AE940">
      <w:start w:val="1"/>
      <w:numFmt w:val="lowerLetter"/>
      <w:lvlText w:val="%2."/>
      <w:lvlJc w:val="left"/>
      <w:pPr>
        <w:ind w:left="1440" w:hanging="360"/>
      </w:pPr>
    </w:lvl>
    <w:lvl w:ilvl="2" w:tplc="D7DCBD42">
      <w:start w:val="1"/>
      <w:numFmt w:val="lowerRoman"/>
      <w:lvlText w:val="%3."/>
      <w:lvlJc w:val="right"/>
      <w:pPr>
        <w:ind w:left="2160" w:hanging="180"/>
      </w:pPr>
    </w:lvl>
    <w:lvl w:ilvl="3" w:tplc="2DCE9C44">
      <w:start w:val="1"/>
      <w:numFmt w:val="decimal"/>
      <w:lvlText w:val="%4."/>
      <w:lvlJc w:val="left"/>
      <w:pPr>
        <w:ind w:left="2880" w:hanging="360"/>
      </w:pPr>
    </w:lvl>
    <w:lvl w:ilvl="4" w:tplc="5F6ACA92">
      <w:start w:val="1"/>
      <w:numFmt w:val="lowerLetter"/>
      <w:lvlText w:val="%5."/>
      <w:lvlJc w:val="left"/>
      <w:pPr>
        <w:ind w:left="3600" w:hanging="360"/>
      </w:pPr>
    </w:lvl>
    <w:lvl w:ilvl="5" w:tplc="E81652F8">
      <w:start w:val="1"/>
      <w:numFmt w:val="lowerRoman"/>
      <w:lvlText w:val="%6."/>
      <w:lvlJc w:val="right"/>
      <w:pPr>
        <w:ind w:left="4320" w:hanging="180"/>
      </w:pPr>
    </w:lvl>
    <w:lvl w:ilvl="6" w:tplc="4ABECFDA">
      <w:start w:val="1"/>
      <w:numFmt w:val="decimal"/>
      <w:lvlText w:val="%7."/>
      <w:lvlJc w:val="left"/>
      <w:pPr>
        <w:ind w:left="5040" w:hanging="360"/>
      </w:pPr>
    </w:lvl>
    <w:lvl w:ilvl="7" w:tplc="70C229CA">
      <w:start w:val="1"/>
      <w:numFmt w:val="lowerLetter"/>
      <w:lvlText w:val="%8."/>
      <w:lvlJc w:val="left"/>
      <w:pPr>
        <w:ind w:left="5760" w:hanging="360"/>
      </w:pPr>
    </w:lvl>
    <w:lvl w:ilvl="8" w:tplc="8E9A4BE6">
      <w:start w:val="1"/>
      <w:numFmt w:val="lowerRoman"/>
      <w:lvlText w:val="%9."/>
      <w:lvlJc w:val="right"/>
      <w:pPr>
        <w:ind w:left="6480" w:hanging="180"/>
      </w:pPr>
    </w:lvl>
  </w:abstractNum>
  <w:abstractNum w:abstractNumId="14" w15:restartNumberingAfterBreak="0">
    <w:nsid w:val="482C0D35"/>
    <w:multiLevelType w:val="multilevel"/>
    <w:tmpl w:val="E578E984"/>
    <w:lvl w:ilvl="0">
      <w:start w:val="1"/>
      <w:numFmt w:val="none"/>
      <w:suff w:val="space"/>
      <w:lvlText w:val=""/>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4BE84A79"/>
    <w:multiLevelType w:val="hybridMultilevel"/>
    <w:tmpl w:val="C6DA0B2A"/>
    <w:lvl w:ilvl="0" w:tplc="D0586A04">
      <w:start w:val="1"/>
      <w:numFmt w:val="decimal"/>
      <w:lvlText w:val="%1."/>
      <w:lvlJc w:val="left"/>
      <w:pPr>
        <w:ind w:left="720" w:hanging="360"/>
      </w:pPr>
    </w:lvl>
    <w:lvl w:ilvl="1" w:tplc="95CA029E">
      <w:start w:val="1"/>
      <w:numFmt w:val="decimal"/>
      <w:lvlText w:val="%2."/>
      <w:lvlJc w:val="left"/>
      <w:pPr>
        <w:ind w:left="1440" w:hanging="360"/>
      </w:pPr>
    </w:lvl>
    <w:lvl w:ilvl="2" w:tplc="DE7CF4A4">
      <w:start w:val="1"/>
      <w:numFmt w:val="lowerRoman"/>
      <w:lvlText w:val="%3."/>
      <w:lvlJc w:val="right"/>
      <w:pPr>
        <w:ind w:left="2160" w:hanging="180"/>
      </w:pPr>
    </w:lvl>
    <w:lvl w:ilvl="3" w:tplc="0356486C">
      <w:start w:val="1"/>
      <w:numFmt w:val="decimal"/>
      <w:lvlText w:val="%4."/>
      <w:lvlJc w:val="left"/>
      <w:pPr>
        <w:ind w:left="2880" w:hanging="360"/>
      </w:pPr>
    </w:lvl>
    <w:lvl w:ilvl="4" w:tplc="BF98BD80">
      <w:start w:val="1"/>
      <w:numFmt w:val="lowerLetter"/>
      <w:lvlText w:val="%5."/>
      <w:lvlJc w:val="left"/>
      <w:pPr>
        <w:ind w:left="3600" w:hanging="360"/>
      </w:pPr>
    </w:lvl>
    <w:lvl w:ilvl="5" w:tplc="661A8D56">
      <w:start w:val="1"/>
      <w:numFmt w:val="lowerRoman"/>
      <w:lvlText w:val="%6."/>
      <w:lvlJc w:val="right"/>
      <w:pPr>
        <w:ind w:left="4320" w:hanging="180"/>
      </w:pPr>
    </w:lvl>
    <w:lvl w:ilvl="6" w:tplc="A25C2A0C">
      <w:start w:val="1"/>
      <w:numFmt w:val="decimal"/>
      <w:lvlText w:val="%7."/>
      <w:lvlJc w:val="left"/>
      <w:pPr>
        <w:ind w:left="5040" w:hanging="360"/>
      </w:pPr>
    </w:lvl>
    <w:lvl w:ilvl="7" w:tplc="76E479F8">
      <w:start w:val="1"/>
      <w:numFmt w:val="lowerLetter"/>
      <w:lvlText w:val="%8."/>
      <w:lvlJc w:val="left"/>
      <w:pPr>
        <w:ind w:left="5760" w:hanging="360"/>
      </w:pPr>
    </w:lvl>
    <w:lvl w:ilvl="8" w:tplc="B3EE350E">
      <w:start w:val="1"/>
      <w:numFmt w:val="lowerRoman"/>
      <w:lvlText w:val="%9."/>
      <w:lvlJc w:val="right"/>
      <w:pPr>
        <w:ind w:left="6480" w:hanging="180"/>
      </w:pPr>
    </w:lvl>
  </w:abstractNum>
  <w:abstractNum w:abstractNumId="16" w15:restartNumberingAfterBreak="0">
    <w:nsid w:val="4DCA1120"/>
    <w:multiLevelType w:val="hybridMultilevel"/>
    <w:tmpl w:val="0B40E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F50838"/>
    <w:multiLevelType w:val="hybridMultilevel"/>
    <w:tmpl w:val="D472B2E0"/>
    <w:lvl w:ilvl="0" w:tplc="D9CCE99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286F2A"/>
    <w:multiLevelType w:val="hybridMultilevel"/>
    <w:tmpl w:val="F4F04C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B6D32CF"/>
    <w:multiLevelType w:val="hybridMultilevel"/>
    <w:tmpl w:val="B108192E"/>
    <w:lvl w:ilvl="0" w:tplc="08090001">
      <w:start w:val="1"/>
      <w:numFmt w:val="bullet"/>
      <w:lvlText w:val=""/>
      <w:lvlJc w:val="left"/>
      <w:pPr>
        <w:ind w:left="720" w:hanging="360"/>
      </w:pPr>
      <w:rPr>
        <w:rFonts w:ascii="Symbol" w:hAnsi="Symbol" w:hint="default"/>
      </w:rPr>
    </w:lvl>
    <w:lvl w:ilvl="1" w:tplc="D24893E6">
      <w:start w:val="6"/>
      <w:numFmt w:val="bullet"/>
      <w:lvlText w:val="•"/>
      <w:lvlJc w:val="left"/>
      <w:pPr>
        <w:ind w:left="1440" w:hanging="360"/>
      </w:pPr>
      <w:rPr>
        <w:rFonts w:ascii="Calibri" w:eastAsia="Times New Roman"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884B58"/>
    <w:multiLevelType w:val="hybridMultilevel"/>
    <w:tmpl w:val="DFDE0D70"/>
    <w:lvl w:ilvl="0" w:tplc="C144FA2A">
      <w:start w:val="7"/>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2B2487"/>
    <w:multiLevelType w:val="hybridMultilevel"/>
    <w:tmpl w:val="216800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69095A18"/>
    <w:multiLevelType w:val="multilevel"/>
    <w:tmpl w:val="9AAEAE3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C1832EE"/>
    <w:multiLevelType w:val="hybridMultilevel"/>
    <w:tmpl w:val="27C65DBA"/>
    <w:lvl w:ilvl="0" w:tplc="FE523E30">
      <w:start w:val="5"/>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CA94B61"/>
    <w:multiLevelType w:val="multilevel"/>
    <w:tmpl w:val="9AAEAE3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10C1FF1"/>
    <w:multiLevelType w:val="hybridMultilevel"/>
    <w:tmpl w:val="4FA4C054"/>
    <w:lvl w:ilvl="0" w:tplc="DF02E506">
      <w:start w:val="1"/>
      <w:numFmt w:val="bullet"/>
      <w:lvlText w:val=""/>
      <w:lvlJc w:val="left"/>
      <w:pPr>
        <w:ind w:left="1080" w:hanging="360"/>
      </w:pPr>
      <w:rPr>
        <w:rFonts w:ascii="Symbol" w:hAnsi="Symbol"/>
      </w:rPr>
    </w:lvl>
    <w:lvl w:ilvl="1" w:tplc="A390518C">
      <w:start w:val="1"/>
      <w:numFmt w:val="bullet"/>
      <w:lvlText w:val=""/>
      <w:lvlJc w:val="left"/>
      <w:pPr>
        <w:ind w:left="1080" w:hanging="360"/>
      </w:pPr>
      <w:rPr>
        <w:rFonts w:ascii="Symbol" w:hAnsi="Symbol"/>
      </w:rPr>
    </w:lvl>
    <w:lvl w:ilvl="2" w:tplc="BE0A23DA">
      <w:start w:val="1"/>
      <w:numFmt w:val="bullet"/>
      <w:lvlText w:val=""/>
      <w:lvlJc w:val="left"/>
      <w:pPr>
        <w:ind w:left="1080" w:hanging="360"/>
      </w:pPr>
      <w:rPr>
        <w:rFonts w:ascii="Symbol" w:hAnsi="Symbol"/>
      </w:rPr>
    </w:lvl>
    <w:lvl w:ilvl="3" w:tplc="E1DA074A">
      <w:start w:val="1"/>
      <w:numFmt w:val="bullet"/>
      <w:lvlText w:val=""/>
      <w:lvlJc w:val="left"/>
      <w:pPr>
        <w:ind w:left="1080" w:hanging="360"/>
      </w:pPr>
      <w:rPr>
        <w:rFonts w:ascii="Symbol" w:hAnsi="Symbol"/>
      </w:rPr>
    </w:lvl>
    <w:lvl w:ilvl="4" w:tplc="F522DA04">
      <w:start w:val="1"/>
      <w:numFmt w:val="bullet"/>
      <w:lvlText w:val=""/>
      <w:lvlJc w:val="left"/>
      <w:pPr>
        <w:ind w:left="1080" w:hanging="360"/>
      </w:pPr>
      <w:rPr>
        <w:rFonts w:ascii="Symbol" w:hAnsi="Symbol"/>
      </w:rPr>
    </w:lvl>
    <w:lvl w:ilvl="5" w:tplc="8C32D2C0">
      <w:start w:val="1"/>
      <w:numFmt w:val="bullet"/>
      <w:lvlText w:val=""/>
      <w:lvlJc w:val="left"/>
      <w:pPr>
        <w:ind w:left="1080" w:hanging="360"/>
      </w:pPr>
      <w:rPr>
        <w:rFonts w:ascii="Symbol" w:hAnsi="Symbol"/>
      </w:rPr>
    </w:lvl>
    <w:lvl w:ilvl="6" w:tplc="9A9614A2">
      <w:start w:val="1"/>
      <w:numFmt w:val="bullet"/>
      <w:lvlText w:val=""/>
      <w:lvlJc w:val="left"/>
      <w:pPr>
        <w:ind w:left="1080" w:hanging="360"/>
      </w:pPr>
      <w:rPr>
        <w:rFonts w:ascii="Symbol" w:hAnsi="Symbol"/>
      </w:rPr>
    </w:lvl>
    <w:lvl w:ilvl="7" w:tplc="E966787E">
      <w:start w:val="1"/>
      <w:numFmt w:val="bullet"/>
      <w:lvlText w:val=""/>
      <w:lvlJc w:val="left"/>
      <w:pPr>
        <w:ind w:left="1080" w:hanging="360"/>
      </w:pPr>
      <w:rPr>
        <w:rFonts w:ascii="Symbol" w:hAnsi="Symbol"/>
      </w:rPr>
    </w:lvl>
    <w:lvl w:ilvl="8" w:tplc="DEE44EBC">
      <w:start w:val="1"/>
      <w:numFmt w:val="bullet"/>
      <w:lvlText w:val=""/>
      <w:lvlJc w:val="left"/>
      <w:pPr>
        <w:ind w:left="1080" w:hanging="360"/>
      </w:pPr>
      <w:rPr>
        <w:rFonts w:ascii="Symbol" w:hAnsi="Symbol"/>
      </w:rPr>
    </w:lvl>
  </w:abstractNum>
  <w:abstractNum w:abstractNumId="26" w15:restartNumberingAfterBreak="0">
    <w:nsid w:val="71965D04"/>
    <w:multiLevelType w:val="multilevel"/>
    <w:tmpl w:val="9AAEAE3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3025511"/>
    <w:multiLevelType w:val="hybridMultilevel"/>
    <w:tmpl w:val="735E81E2"/>
    <w:lvl w:ilvl="0" w:tplc="14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3FC6AF4"/>
    <w:multiLevelType w:val="hybridMultilevel"/>
    <w:tmpl w:val="A71695A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9" w15:restartNumberingAfterBreak="0">
    <w:nsid w:val="74B814BC"/>
    <w:multiLevelType w:val="multilevel"/>
    <w:tmpl w:val="5A8E8298"/>
    <w:lvl w:ilvl="0">
      <w:start w:val="1"/>
      <w:numFmt w:val="decimal"/>
      <w:lvlText w:val="%1"/>
      <w:lvlJc w:val="left"/>
      <w:pPr>
        <w:ind w:left="420" w:hanging="420"/>
      </w:pPr>
      <w:rPr>
        <w:rFonts w:hint="default"/>
        <w:color w:val="auto"/>
        <w:sz w:val="18"/>
      </w:rPr>
    </w:lvl>
    <w:lvl w:ilvl="1">
      <w:start w:val="1"/>
      <w:numFmt w:val="decimal"/>
      <w:lvlText w:val="%1.%2"/>
      <w:lvlJc w:val="left"/>
      <w:pPr>
        <w:ind w:left="420" w:hanging="420"/>
      </w:pPr>
      <w:rPr>
        <w:rFonts w:hint="default"/>
        <w:color w:val="auto"/>
        <w:sz w:val="18"/>
      </w:rPr>
    </w:lvl>
    <w:lvl w:ilvl="2">
      <w:start w:val="1"/>
      <w:numFmt w:val="decimal"/>
      <w:lvlText w:val="%1.%2.%3"/>
      <w:lvlJc w:val="left"/>
      <w:pPr>
        <w:ind w:left="720" w:hanging="720"/>
      </w:pPr>
      <w:rPr>
        <w:rFonts w:hint="default"/>
        <w:color w:val="auto"/>
        <w:sz w:val="18"/>
      </w:rPr>
    </w:lvl>
    <w:lvl w:ilvl="3">
      <w:start w:val="1"/>
      <w:numFmt w:val="decimal"/>
      <w:lvlText w:val="%1.%2.%3.%4"/>
      <w:lvlJc w:val="left"/>
      <w:pPr>
        <w:ind w:left="720" w:hanging="720"/>
      </w:pPr>
      <w:rPr>
        <w:rFonts w:hint="default"/>
        <w:color w:val="auto"/>
        <w:sz w:val="18"/>
      </w:rPr>
    </w:lvl>
    <w:lvl w:ilvl="4">
      <w:start w:val="1"/>
      <w:numFmt w:val="decimal"/>
      <w:lvlText w:val="%1.%2.%3.%4.%5"/>
      <w:lvlJc w:val="left"/>
      <w:pPr>
        <w:ind w:left="1080" w:hanging="1080"/>
      </w:pPr>
      <w:rPr>
        <w:rFonts w:hint="default"/>
        <w:color w:val="auto"/>
        <w:sz w:val="18"/>
      </w:rPr>
    </w:lvl>
    <w:lvl w:ilvl="5">
      <w:start w:val="1"/>
      <w:numFmt w:val="decimal"/>
      <w:lvlText w:val="%1.%2.%3.%4.%5.%6"/>
      <w:lvlJc w:val="left"/>
      <w:pPr>
        <w:ind w:left="1080" w:hanging="1080"/>
      </w:pPr>
      <w:rPr>
        <w:rFonts w:hint="default"/>
        <w:color w:val="auto"/>
        <w:sz w:val="18"/>
      </w:rPr>
    </w:lvl>
    <w:lvl w:ilvl="6">
      <w:start w:val="1"/>
      <w:numFmt w:val="decimal"/>
      <w:lvlText w:val="%1.%2.%3.%4.%5.%6.%7"/>
      <w:lvlJc w:val="left"/>
      <w:pPr>
        <w:ind w:left="1440" w:hanging="1440"/>
      </w:pPr>
      <w:rPr>
        <w:rFonts w:hint="default"/>
        <w:color w:val="auto"/>
        <w:sz w:val="18"/>
      </w:rPr>
    </w:lvl>
    <w:lvl w:ilvl="7">
      <w:start w:val="1"/>
      <w:numFmt w:val="decimal"/>
      <w:lvlText w:val="%1.%2.%3.%4.%5.%6.%7.%8"/>
      <w:lvlJc w:val="left"/>
      <w:pPr>
        <w:ind w:left="1440" w:hanging="1440"/>
      </w:pPr>
      <w:rPr>
        <w:rFonts w:hint="default"/>
        <w:color w:val="auto"/>
        <w:sz w:val="18"/>
      </w:rPr>
    </w:lvl>
    <w:lvl w:ilvl="8">
      <w:start w:val="1"/>
      <w:numFmt w:val="decimal"/>
      <w:lvlText w:val="%1.%2.%3.%4.%5.%6.%7.%8.%9"/>
      <w:lvlJc w:val="left"/>
      <w:pPr>
        <w:ind w:left="1800" w:hanging="1800"/>
      </w:pPr>
      <w:rPr>
        <w:rFonts w:hint="default"/>
        <w:color w:val="auto"/>
        <w:sz w:val="18"/>
      </w:rPr>
    </w:lvl>
  </w:abstractNum>
  <w:abstractNum w:abstractNumId="30"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8B46FF"/>
    <w:multiLevelType w:val="multilevel"/>
    <w:tmpl w:val="9AAEAE3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24537469">
    <w:abstractNumId w:val="30"/>
  </w:num>
  <w:num w:numId="2" w16cid:durableId="228928650">
    <w:abstractNumId w:val="30"/>
  </w:num>
  <w:num w:numId="3" w16cid:durableId="1157650067">
    <w:abstractNumId w:val="30"/>
  </w:num>
  <w:num w:numId="4" w16cid:durableId="336424465">
    <w:abstractNumId w:val="30"/>
  </w:num>
  <w:num w:numId="5" w16cid:durableId="437146159">
    <w:abstractNumId w:val="30"/>
  </w:num>
  <w:num w:numId="6" w16cid:durableId="1982033525">
    <w:abstractNumId w:val="30"/>
  </w:num>
  <w:num w:numId="7" w16cid:durableId="882526436">
    <w:abstractNumId w:val="1"/>
  </w:num>
  <w:num w:numId="8" w16cid:durableId="1948350211">
    <w:abstractNumId w:val="18"/>
  </w:num>
  <w:num w:numId="9" w16cid:durableId="365179742">
    <w:abstractNumId w:val="19"/>
  </w:num>
  <w:num w:numId="10" w16cid:durableId="647051113">
    <w:abstractNumId w:val="17"/>
  </w:num>
  <w:num w:numId="11" w16cid:durableId="2068989385">
    <w:abstractNumId w:val="23"/>
  </w:num>
  <w:num w:numId="12" w16cid:durableId="1478381582">
    <w:abstractNumId w:val="6"/>
  </w:num>
  <w:num w:numId="13" w16cid:durableId="222448051">
    <w:abstractNumId w:val="3"/>
  </w:num>
  <w:num w:numId="14" w16cid:durableId="731007082">
    <w:abstractNumId w:val="8"/>
  </w:num>
  <w:num w:numId="15" w16cid:durableId="259947486">
    <w:abstractNumId w:val="13"/>
  </w:num>
  <w:num w:numId="16" w16cid:durableId="1276400984">
    <w:abstractNumId w:val="15"/>
  </w:num>
  <w:num w:numId="17" w16cid:durableId="1548223627">
    <w:abstractNumId w:val="21"/>
  </w:num>
  <w:num w:numId="18" w16cid:durableId="1230845420">
    <w:abstractNumId w:val="2"/>
  </w:num>
  <w:num w:numId="19" w16cid:durableId="147677508">
    <w:abstractNumId w:val="10"/>
  </w:num>
  <w:num w:numId="20" w16cid:durableId="1196118500">
    <w:abstractNumId w:val="5"/>
  </w:num>
  <w:num w:numId="21" w16cid:durableId="50270280">
    <w:abstractNumId w:val="26"/>
    <w:lvlOverride w:ilvl="0">
      <w:startOverride w:val="1"/>
    </w:lvlOverride>
  </w:num>
  <w:num w:numId="22" w16cid:durableId="79956068">
    <w:abstractNumId w:val="4"/>
  </w:num>
  <w:num w:numId="23" w16cid:durableId="2010210680">
    <w:abstractNumId w:val="4"/>
    <w:lvlOverride w:ilvl="0">
      <w:lvl w:ilvl="0">
        <w:start w:val="1"/>
        <w:numFmt w:val="none"/>
        <w:suff w:val="space"/>
        <w:lvlText w:val=""/>
        <w:lvlJc w:val="left"/>
        <w:pPr>
          <w:ind w:left="0" w:firstLine="0"/>
        </w:pPr>
        <w:rPr>
          <w:rFonts w:hint="default"/>
        </w:rPr>
      </w:lvl>
    </w:lvlOverride>
    <w:lvlOverride w:ilvl="1">
      <w:lvl w:ilvl="1">
        <w:start w:val="1"/>
        <w:numFmt w:val="none"/>
        <w:suff w:val="nothing"/>
        <w:lvlText w:val=""/>
        <w:lvlJc w:val="left"/>
        <w:pPr>
          <w:ind w:left="0" w:firstLine="0"/>
        </w:pPr>
        <w:rPr>
          <w:rFonts w:hint="default"/>
        </w:rPr>
      </w:lvl>
    </w:lvlOverride>
    <w:lvlOverride w:ilvl="2">
      <w:lvl w:ilvl="2">
        <w:start w:val="1"/>
        <w:numFmt w:val="none"/>
        <w:suff w:val="nothing"/>
        <w:lvlText w:val=""/>
        <w:lvlJc w:val="left"/>
        <w:pPr>
          <w:ind w:left="0" w:firstLine="0"/>
        </w:pPr>
        <w:rPr>
          <w:rFonts w:hint="default"/>
        </w:rPr>
      </w:lvl>
    </w:lvlOverride>
    <w:lvlOverride w:ilvl="3">
      <w:lvl w:ilvl="3">
        <w:start w:val="1"/>
        <w:numFmt w:val="none"/>
        <w:suff w:val="nothing"/>
        <w:lvlText w:val=""/>
        <w:lvlJc w:val="left"/>
        <w:pPr>
          <w:ind w:left="0" w:firstLine="0"/>
        </w:pPr>
        <w:rPr>
          <w:rFonts w:hint="default"/>
        </w:rPr>
      </w:lvl>
    </w:lvlOverride>
    <w:lvlOverride w:ilvl="4">
      <w:lvl w:ilvl="4">
        <w:start w:val="1"/>
        <w:numFmt w:val="none"/>
        <w:suff w:val="nothing"/>
        <w:lvlText w:val=""/>
        <w:lvlJc w:val="left"/>
        <w:pPr>
          <w:ind w:left="0" w:firstLine="0"/>
        </w:pPr>
        <w:rPr>
          <w:rFonts w:hint="default"/>
        </w:rPr>
      </w:lvl>
    </w:lvlOverride>
    <w:lvlOverride w:ilvl="5">
      <w:lvl w:ilvl="5">
        <w:start w:val="1"/>
        <w:numFmt w:val="none"/>
        <w:suff w:val="nothing"/>
        <w:lvlText w:val=""/>
        <w:lvlJc w:val="left"/>
        <w:pPr>
          <w:ind w:left="0" w:firstLine="0"/>
        </w:pPr>
        <w:rPr>
          <w:rFonts w:hint="default"/>
        </w:rPr>
      </w:lvl>
    </w:lvlOverride>
    <w:lvlOverride w:ilvl="6">
      <w:lvl w:ilvl="6">
        <w:start w:val="1"/>
        <w:numFmt w:val="none"/>
        <w:suff w:val="nothing"/>
        <w:lvlText w:val=""/>
        <w:lvlJc w:val="left"/>
        <w:pPr>
          <w:ind w:left="0" w:firstLine="0"/>
        </w:pPr>
        <w:rPr>
          <w:rFonts w:hint="default"/>
        </w:rPr>
      </w:lvl>
    </w:lvlOverride>
    <w:lvlOverride w:ilvl="7">
      <w:lvl w:ilvl="7">
        <w:start w:val="1"/>
        <w:numFmt w:val="none"/>
        <w:suff w:val="nothing"/>
        <w:lvlText w:val=""/>
        <w:lvlJc w:val="left"/>
        <w:pPr>
          <w:ind w:left="0" w:firstLine="0"/>
        </w:pPr>
        <w:rPr>
          <w:rFonts w:hint="default"/>
        </w:rPr>
      </w:lvl>
    </w:lvlOverride>
    <w:lvlOverride w:ilvl="8">
      <w:lvl w:ilvl="8">
        <w:start w:val="1"/>
        <w:numFmt w:val="none"/>
        <w:suff w:val="nothing"/>
        <w:lvlText w:val=""/>
        <w:lvlJc w:val="left"/>
        <w:pPr>
          <w:ind w:left="0" w:firstLine="0"/>
        </w:pPr>
        <w:rPr>
          <w:rFonts w:hint="default"/>
        </w:rPr>
      </w:lvl>
    </w:lvlOverride>
  </w:num>
  <w:num w:numId="24" w16cid:durableId="370349746">
    <w:abstractNumId w:val="14"/>
  </w:num>
  <w:num w:numId="25" w16cid:durableId="234903854">
    <w:abstractNumId w:val="28"/>
  </w:num>
  <w:num w:numId="26" w16cid:durableId="1448310623">
    <w:abstractNumId w:val="9"/>
  </w:num>
  <w:num w:numId="27" w16cid:durableId="402488742">
    <w:abstractNumId w:val="22"/>
  </w:num>
  <w:num w:numId="28" w16cid:durableId="1555773436">
    <w:abstractNumId w:val="7"/>
  </w:num>
  <w:num w:numId="29" w16cid:durableId="415976400">
    <w:abstractNumId w:val="24"/>
  </w:num>
  <w:num w:numId="30" w16cid:durableId="2060081509">
    <w:abstractNumId w:val="0"/>
  </w:num>
  <w:num w:numId="31" w16cid:durableId="1944992452">
    <w:abstractNumId w:val="31"/>
  </w:num>
  <w:num w:numId="32" w16cid:durableId="948314546">
    <w:abstractNumId w:val="29"/>
  </w:num>
  <w:num w:numId="33" w16cid:durableId="335964856">
    <w:abstractNumId w:val="20"/>
  </w:num>
  <w:num w:numId="34" w16cid:durableId="434834637">
    <w:abstractNumId w:val="16"/>
  </w:num>
  <w:num w:numId="35" w16cid:durableId="1377896262">
    <w:abstractNumId w:val="11"/>
  </w:num>
  <w:num w:numId="36" w16cid:durableId="601181136">
    <w:abstractNumId w:val="12"/>
  </w:num>
  <w:num w:numId="37" w16cid:durableId="1079904617">
    <w:abstractNumId w:val="27"/>
  </w:num>
  <w:num w:numId="38" w16cid:durableId="1566740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7"/>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U1NLIwMTEyNrQ0MTBX0lEKTi0uzszPAykwqwUAZ46A1iwAAAA="/>
  </w:docVars>
  <w:rsids>
    <w:rsidRoot w:val="00596A18"/>
    <w:rsid w:val="0000453F"/>
    <w:rsid w:val="0000657D"/>
    <w:rsid w:val="000065FA"/>
    <w:rsid w:val="000115D2"/>
    <w:rsid w:val="0001179C"/>
    <w:rsid w:val="00011ECC"/>
    <w:rsid w:val="000125E3"/>
    <w:rsid w:val="00012F0F"/>
    <w:rsid w:val="00013828"/>
    <w:rsid w:val="0001578A"/>
    <w:rsid w:val="00015973"/>
    <w:rsid w:val="0001598E"/>
    <w:rsid w:val="0002075D"/>
    <w:rsid w:val="00021C43"/>
    <w:rsid w:val="00022086"/>
    <w:rsid w:val="00024D5A"/>
    <w:rsid w:val="00025419"/>
    <w:rsid w:val="000264CC"/>
    <w:rsid w:val="000308DD"/>
    <w:rsid w:val="000316C2"/>
    <w:rsid w:val="000335D6"/>
    <w:rsid w:val="00035555"/>
    <w:rsid w:val="000372DE"/>
    <w:rsid w:val="00037515"/>
    <w:rsid w:val="00037A94"/>
    <w:rsid w:val="00042591"/>
    <w:rsid w:val="00043A0E"/>
    <w:rsid w:val="00043ECD"/>
    <w:rsid w:val="0004487C"/>
    <w:rsid w:val="0004570C"/>
    <w:rsid w:val="00046543"/>
    <w:rsid w:val="00046A3C"/>
    <w:rsid w:val="00046E4B"/>
    <w:rsid w:val="00047345"/>
    <w:rsid w:val="00050F9D"/>
    <w:rsid w:val="00051973"/>
    <w:rsid w:val="00053340"/>
    <w:rsid w:val="000538EB"/>
    <w:rsid w:val="00053C73"/>
    <w:rsid w:val="00054885"/>
    <w:rsid w:val="000568F2"/>
    <w:rsid w:val="00056B2B"/>
    <w:rsid w:val="0005730F"/>
    <w:rsid w:val="00057904"/>
    <w:rsid w:val="000605A6"/>
    <w:rsid w:val="0006136E"/>
    <w:rsid w:val="00061C3A"/>
    <w:rsid w:val="00062516"/>
    <w:rsid w:val="000626DB"/>
    <w:rsid w:val="0006404B"/>
    <w:rsid w:val="00064C06"/>
    <w:rsid w:val="00066B03"/>
    <w:rsid w:val="00070ADD"/>
    <w:rsid w:val="00070DC1"/>
    <w:rsid w:val="00071989"/>
    <w:rsid w:val="00073E3A"/>
    <w:rsid w:val="0007471F"/>
    <w:rsid w:val="00076E4F"/>
    <w:rsid w:val="00077BDA"/>
    <w:rsid w:val="000804F3"/>
    <w:rsid w:val="00081095"/>
    <w:rsid w:val="00081783"/>
    <w:rsid w:val="00082857"/>
    <w:rsid w:val="00082A0D"/>
    <w:rsid w:val="00084809"/>
    <w:rsid w:val="00085025"/>
    <w:rsid w:val="00086DF9"/>
    <w:rsid w:val="0009073D"/>
    <w:rsid w:val="0009110E"/>
    <w:rsid w:val="000928E5"/>
    <w:rsid w:val="00093491"/>
    <w:rsid w:val="00094022"/>
    <w:rsid w:val="000952DA"/>
    <w:rsid w:val="00095A07"/>
    <w:rsid w:val="000966B7"/>
    <w:rsid w:val="000966F4"/>
    <w:rsid w:val="0009757B"/>
    <w:rsid w:val="00097B58"/>
    <w:rsid w:val="000A022C"/>
    <w:rsid w:val="000A08D8"/>
    <w:rsid w:val="000A0E81"/>
    <w:rsid w:val="000A125E"/>
    <w:rsid w:val="000A126A"/>
    <w:rsid w:val="000A3C34"/>
    <w:rsid w:val="000A6834"/>
    <w:rsid w:val="000A6C66"/>
    <w:rsid w:val="000A6DF7"/>
    <w:rsid w:val="000A7A20"/>
    <w:rsid w:val="000B01A2"/>
    <w:rsid w:val="000B07AE"/>
    <w:rsid w:val="000B2D87"/>
    <w:rsid w:val="000B3137"/>
    <w:rsid w:val="000B3B02"/>
    <w:rsid w:val="000B3BD3"/>
    <w:rsid w:val="000B4A75"/>
    <w:rsid w:val="000B5CF9"/>
    <w:rsid w:val="000B6049"/>
    <w:rsid w:val="000C0A3C"/>
    <w:rsid w:val="000C12AC"/>
    <w:rsid w:val="000C198E"/>
    <w:rsid w:val="000C1E36"/>
    <w:rsid w:val="000C3DEA"/>
    <w:rsid w:val="000C415A"/>
    <w:rsid w:val="000C4844"/>
    <w:rsid w:val="000C6237"/>
    <w:rsid w:val="000C6A5D"/>
    <w:rsid w:val="000C70B6"/>
    <w:rsid w:val="000C76D7"/>
    <w:rsid w:val="000D0039"/>
    <w:rsid w:val="000D06D0"/>
    <w:rsid w:val="000D1618"/>
    <w:rsid w:val="000D387B"/>
    <w:rsid w:val="000D4C6E"/>
    <w:rsid w:val="000D76FD"/>
    <w:rsid w:val="000E0239"/>
    <w:rsid w:val="000E10A6"/>
    <w:rsid w:val="000E2085"/>
    <w:rsid w:val="000E43BE"/>
    <w:rsid w:val="000E6C9D"/>
    <w:rsid w:val="000E7AB2"/>
    <w:rsid w:val="000E7CD2"/>
    <w:rsid w:val="000F00BE"/>
    <w:rsid w:val="000F0E1E"/>
    <w:rsid w:val="000F11CE"/>
    <w:rsid w:val="000F1AD6"/>
    <w:rsid w:val="000F2937"/>
    <w:rsid w:val="000F3965"/>
    <w:rsid w:val="000F433B"/>
    <w:rsid w:val="000F4971"/>
    <w:rsid w:val="000F5B1B"/>
    <w:rsid w:val="000F7046"/>
    <w:rsid w:val="001049DD"/>
    <w:rsid w:val="001059FE"/>
    <w:rsid w:val="00106684"/>
    <w:rsid w:val="00106D26"/>
    <w:rsid w:val="0011007F"/>
    <w:rsid w:val="001109B6"/>
    <w:rsid w:val="00111887"/>
    <w:rsid w:val="0011200A"/>
    <w:rsid w:val="001124D5"/>
    <w:rsid w:val="00113F19"/>
    <w:rsid w:val="00114C2A"/>
    <w:rsid w:val="001201B1"/>
    <w:rsid w:val="00120A69"/>
    <w:rsid w:val="00120C77"/>
    <w:rsid w:val="00120D7F"/>
    <w:rsid w:val="00121189"/>
    <w:rsid w:val="001227DB"/>
    <w:rsid w:val="00123012"/>
    <w:rsid w:val="00123D41"/>
    <w:rsid w:val="0012413F"/>
    <w:rsid w:val="00127A18"/>
    <w:rsid w:val="00132B58"/>
    <w:rsid w:val="001334DD"/>
    <w:rsid w:val="00133590"/>
    <w:rsid w:val="00134E71"/>
    <w:rsid w:val="001362AF"/>
    <w:rsid w:val="00136531"/>
    <w:rsid w:val="001408B6"/>
    <w:rsid w:val="001409A4"/>
    <w:rsid w:val="001409CC"/>
    <w:rsid w:val="00140E5B"/>
    <w:rsid w:val="00140F6F"/>
    <w:rsid w:val="001416EA"/>
    <w:rsid w:val="0014266B"/>
    <w:rsid w:val="001429F8"/>
    <w:rsid w:val="00143D39"/>
    <w:rsid w:val="00144C52"/>
    <w:rsid w:val="0014557C"/>
    <w:rsid w:val="00147BF2"/>
    <w:rsid w:val="001500C5"/>
    <w:rsid w:val="00150D62"/>
    <w:rsid w:val="00152920"/>
    <w:rsid w:val="001548BF"/>
    <w:rsid w:val="00154F1D"/>
    <w:rsid w:val="00155A08"/>
    <w:rsid w:val="00155C47"/>
    <w:rsid w:val="0015644E"/>
    <w:rsid w:val="001569F6"/>
    <w:rsid w:val="00157200"/>
    <w:rsid w:val="0015756C"/>
    <w:rsid w:val="00157AA3"/>
    <w:rsid w:val="0016073A"/>
    <w:rsid w:val="001614C3"/>
    <w:rsid w:val="0016207A"/>
    <w:rsid w:val="00162F82"/>
    <w:rsid w:val="0016694B"/>
    <w:rsid w:val="001675F6"/>
    <w:rsid w:val="001706F9"/>
    <w:rsid w:val="001725A7"/>
    <w:rsid w:val="00172AE8"/>
    <w:rsid w:val="00174B70"/>
    <w:rsid w:val="00176BE6"/>
    <w:rsid w:val="001777FF"/>
    <w:rsid w:val="00183C15"/>
    <w:rsid w:val="001841E3"/>
    <w:rsid w:val="00184C97"/>
    <w:rsid w:val="00184D61"/>
    <w:rsid w:val="00186FC9"/>
    <w:rsid w:val="0018703F"/>
    <w:rsid w:val="001923B7"/>
    <w:rsid w:val="001923CC"/>
    <w:rsid w:val="00192FEF"/>
    <w:rsid w:val="00193014"/>
    <w:rsid w:val="00194317"/>
    <w:rsid w:val="0019444B"/>
    <w:rsid w:val="00194522"/>
    <w:rsid w:val="00194C3B"/>
    <w:rsid w:val="00197578"/>
    <w:rsid w:val="00197916"/>
    <w:rsid w:val="001A087F"/>
    <w:rsid w:val="001A09E9"/>
    <w:rsid w:val="001A34BA"/>
    <w:rsid w:val="001A3549"/>
    <w:rsid w:val="001A3D99"/>
    <w:rsid w:val="001A55B0"/>
    <w:rsid w:val="001A569F"/>
    <w:rsid w:val="001A7FEE"/>
    <w:rsid w:val="001B0AE1"/>
    <w:rsid w:val="001B0D0A"/>
    <w:rsid w:val="001B1204"/>
    <w:rsid w:val="001B3361"/>
    <w:rsid w:val="001B4940"/>
    <w:rsid w:val="001B7E31"/>
    <w:rsid w:val="001C0FAA"/>
    <w:rsid w:val="001C12C5"/>
    <w:rsid w:val="001C238E"/>
    <w:rsid w:val="001C26FF"/>
    <w:rsid w:val="001C55B4"/>
    <w:rsid w:val="001C68D1"/>
    <w:rsid w:val="001C6FE1"/>
    <w:rsid w:val="001D0E99"/>
    <w:rsid w:val="001D3A11"/>
    <w:rsid w:val="001D5B22"/>
    <w:rsid w:val="001D7CC9"/>
    <w:rsid w:val="001E0984"/>
    <w:rsid w:val="001E24F9"/>
    <w:rsid w:val="001E2955"/>
    <w:rsid w:val="001E3242"/>
    <w:rsid w:val="001E5B94"/>
    <w:rsid w:val="001E5C7F"/>
    <w:rsid w:val="001F0D8F"/>
    <w:rsid w:val="001F1B6F"/>
    <w:rsid w:val="001F1E50"/>
    <w:rsid w:val="001F524C"/>
    <w:rsid w:val="001F5899"/>
    <w:rsid w:val="001F6A29"/>
    <w:rsid w:val="001F7EDE"/>
    <w:rsid w:val="0020009F"/>
    <w:rsid w:val="00200759"/>
    <w:rsid w:val="002010F7"/>
    <w:rsid w:val="002104B0"/>
    <w:rsid w:val="00210FB6"/>
    <w:rsid w:val="00211360"/>
    <w:rsid w:val="00212D61"/>
    <w:rsid w:val="00213552"/>
    <w:rsid w:val="0021418A"/>
    <w:rsid w:val="00214B70"/>
    <w:rsid w:val="00214EAD"/>
    <w:rsid w:val="002163D7"/>
    <w:rsid w:val="00216715"/>
    <w:rsid w:val="002170E2"/>
    <w:rsid w:val="00217348"/>
    <w:rsid w:val="002173AC"/>
    <w:rsid w:val="002173BB"/>
    <w:rsid w:val="00217A62"/>
    <w:rsid w:val="00217E37"/>
    <w:rsid w:val="00221FA8"/>
    <w:rsid w:val="00222CCE"/>
    <w:rsid w:val="00222CDB"/>
    <w:rsid w:val="00225E29"/>
    <w:rsid w:val="0022646B"/>
    <w:rsid w:val="00226786"/>
    <w:rsid w:val="002270A8"/>
    <w:rsid w:val="00227108"/>
    <w:rsid w:val="00227D2A"/>
    <w:rsid w:val="00230212"/>
    <w:rsid w:val="00230592"/>
    <w:rsid w:val="0023098F"/>
    <w:rsid w:val="002317DC"/>
    <w:rsid w:val="0023558A"/>
    <w:rsid w:val="00235650"/>
    <w:rsid w:val="00236433"/>
    <w:rsid w:val="00236675"/>
    <w:rsid w:val="002404AB"/>
    <w:rsid w:val="00240EC6"/>
    <w:rsid w:val="00241938"/>
    <w:rsid w:val="00242717"/>
    <w:rsid w:val="00242775"/>
    <w:rsid w:val="002431FC"/>
    <w:rsid w:val="002436B5"/>
    <w:rsid w:val="00243BC8"/>
    <w:rsid w:val="002454AD"/>
    <w:rsid w:val="00246AE8"/>
    <w:rsid w:val="00246D5B"/>
    <w:rsid w:val="00247FFC"/>
    <w:rsid w:val="00251AE1"/>
    <w:rsid w:val="002528A2"/>
    <w:rsid w:val="00252FF1"/>
    <w:rsid w:val="00253051"/>
    <w:rsid w:val="00253A94"/>
    <w:rsid w:val="00257E31"/>
    <w:rsid w:val="00260680"/>
    <w:rsid w:val="002609B0"/>
    <w:rsid w:val="00260C69"/>
    <w:rsid w:val="00260E37"/>
    <w:rsid w:val="00261ABC"/>
    <w:rsid w:val="00263920"/>
    <w:rsid w:val="00265961"/>
    <w:rsid w:val="0026602F"/>
    <w:rsid w:val="00272DFE"/>
    <w:rsid w:val="0027398A"/>
    <w:rsid w:val="00274E29"/>
    <w:rsid w:val="0027783B"/>
    <w:rsid w:val="002812D7"/>
    <w:rsid w:val="00281627"/>
    <w:rsid w:val="00281640"/>
    <w:rsid w:val="00282D26"/>
    <w:rsid w:val="00293907"/>
    <w:rsid w:val="00294B86"/>
    <w:rsid w:val="00296CEC"/>
    <w:rsid w:val="00297F36"/>
    <w:rsid w:val="002A0AB9"/>
    <w:rsid w:val="002A16D8"/>
    <w:rsid w:val="002A2F3D"/>
    <w:rsid w:val="002A4CBD"/>
    <w:rsid w:val="002A68C0"/>
    <w:rsid w:val="002A7329"/>
    <w:rsid w:val="002B167C"/>
    <w:rsid w:val="002B1C71"/>
    <w:rsid w:val="002B545C"/>
    <w:rsid w:val="002B5D5A"/>
    <w:rsid w:val="002B73BB"/>
    <w:rsid w:val="002B7FF8"/>
    <w:rsid w:val="002C1786"/>
    <w:rsid w:val="002C22C6"/>
    <w:rsid w:val="002C27C0"/>
    <w:rsid w:val="002C2A1C"/>
    <w:rsid w:val="002C2EB4"/>
    <w:rsid w:val="002C4127"/>
    <w:rsid w:val="002C5B37"/>
    <w:rsid w:val="002C64F6"/>
    <w:rsid w:val="002C681C"/>
    <w:rsid w:val="002C6DAA"/>
    <w:rsid w:val="002C6DC0"/>
    <w:rsid w:val="002D071A"/>
    <w:rsid w:val="002D174C"/>
    <w:rsid w:val="002D21C5"/>
    <w:rsid w:val="002D2557"/>
    <w:rsid w:val="002D43B4"/>
    <w:rsid w:val="002D450C"/>
    <w:rsid w:val="002D4861"/>
    <w:rsid w:val="002D553E"/>
    <w:rsid w:val="002D5FBC"/>
    <w:rsid w:val="002D5FCA"/>
    <w:rsid w:val="002D6417"/>
    <w:rsid w:val="002E0AC8"/>
    <w:rsid w:val="002E12A6"/>
    <w:rsid w:val="002E1E86"/>
    <w:rsid w:val="002E2651"/>
    <w:rsid w:val="002E5440"/>
    <w:rsid w:val="002E6017"/>
    <w:rsid w:val="002E623D"/>
    <w:rsid w:val="002E6396"/>
    <w:rsid w:val="002E76B4"/>
    <w:rsid w:val="002F02C0"/>
    <w:rsid w:val="002F0350"/>
    <w:rsid w:val="002F114B"/>
    <w:rsid w:val="002F16E0"/>
    <w:rsid w:val="002F1B78"/>
    <w:rsid w:val="002F1C58"/>
    <w:rsid w:val="002F7B88"/>
    <w:rsid w:val="00300C98"/>
    <w:rsid w:val="00301E25"/>
    <w:rsid w:val="003028B8"/>
    <w:rsid w:val="003032DD"/>
    <w:rsid w:val="003038F1"/>
    <w:rsid w:val="0030565E"/>
    <w:rsid w:val="00310AD1"/>
    <w:rsid w:val="00312221"/>
    <w:rsid w:val="00312357"/>
    <w:rsid w:val="00313173"/>
    <w:rsid w:val="00314309"/>
    <w:rsid w:val="003151F2"/>
    <w:rsid w:val="00317449"/>
    <w:rsid w:val="003203E6"/>
    <w:rsid w:val="00320416"/>
    <w:rsid w:val="00320563"/>
    <w:rsid w:val="00321C36"/>
    <w:rsid w:val="003231D9"/>
    <w:rsid w:val="00323BD8"/>
    <w:rsid w:val="00324EF8"/>
    <w:rsid w:val="0032643F"/>
    <w:rsid w:val="00330228"/>
    <w:rsid w:val="003315AB"/>
    <w:rsid w:val="00331B2A"/>
    <w:rsid w:val="00332839"/>
    <w:rsid w:val="003329DA"/>
    <w:rsid w:val="00332C8B"/>
    <w:rsid w:val="00334022"/>
    <w:rsid w:val="00334135"/>
    <w:rsid w:val="00334503"/>
    <w:rsid w:val="00334C28"/>
    <w:rsid w:val="00341558"/>
    <w:rsid w:val="0034185F"/>
    <w:rsid w:val="00341D87"/>
    <w:rsid w:val="003439AF"/>
    <w:rsid w:val="00343DC8"/>
    <w:rsid w:val="0034452B"/>
    <w:rsid w:val="003449E4"/>
    <w:rsid w:val="0034563F"/>
    <w:rsid w:val="00347CD7"/>
    <w:rsid w:val="00347ED0"/>
    <w:rsid w:val="00350238"/>
    <w:rsid w:val="00350600"/>
    <w:rsid w:val="003524FD"/>
    <w:rsid w:val="00352508"/>
    <w:rsid w:val="00352A1A"/>
    <w:rsid w:val="00355716"/>
    <w:rsid w:val="003560EA"/>
    <w:rsid w:val="00356101"/>
    <w:rsid w:val="00356DA9"/>
    <w:rsid w:val="003570D2"/>
    <w:rsid w:val="00357367"/>
    <w:rsid w:val="0035766F"/>
    <w:rsid w:val="003577F1"/>
    <w:rsid w:val="00357DEB"/>
    <w:rsid w:val="003607D2"/>
    <w:rsid w:val="00360CE7"/>
    <w:rsid w:val="00360FD4"/>
    <w:rsid w:val="00361E72"/>
    <w:rsid w:val="00363642"/>
    <w:rsid w:val="0036378C"/>
    <w:rsid w:val="00363F2F"/>
    <w:rsid w:val="0036483C"/>
    <w:rsid w:val="00364B96"/>
    <w:rsid w:val="00364F30"/>
    <w:rsid w:val="0036543F"/>
    <w:rsid w:val="003661DF"/>
    <w:rsid w:val="003670F0"/>
    <w:rsid w:val="00367B52"/>
    <w:rsid w:val="003700C0"/>
    <w:rsid w:val="00370D69"/>
    <w:rsid w:val="003712AB"/>
    <w:rsid w:val="003728E9"/>
    <w:rsid w:val="00372EE9"/>
    <w:rsid w:val="00373BA2"/>
    <w:rsid w:val="003746E7"/>
    <w:rsid w:val="003763FE"/>
    <w:rsid w:val="00376C22"/>
    <w:rsid w:val="00377D7C"/>
    <w:rsid w:val="00385788"/>
    <w:rsid w:val="0038585D"/>
    <w:rsid w:val="003859F3"/>
    <w:rsid w:val="00387D7F"/>
    <w:rsid w:val="00390A07"/>
    <w:rsid w:val="00391464"/>
    <w:rsid w:val="00391CBB"/>
    <w:rsid w:val="003931A6"/>
    <w:rsid w:val="00394099"/>
    <w:rsid w:val="003947FB"/>
    <w:rsid w:val="0039514F"/>
    <w:rsid w:val="00395EB7"/>
    <w:rsid w:val="00397165"/>
    <w:rsid w:val="003A0CC6"/>
    <w:rsid w:val="003A1BFC"/>
    <w:rsid w:val="003A30D9"/>
    <w:rsid w:val="003A4753"/>
    <w:rsid w:val="003A5554"/>
    <w:rsid w:val="003A68AE"/>
    <w:rsid w:val="003A6D66"/>
    <w:rsid w:val="003A7582"/>
    <w:rsid w:val="003A7FE6"/>
    <w:rsid w:val="003B0AD7"/>
    <w:rsid w:val="003B113E"/>
    <w:rsid w:val="003B17D9"/>
    <w:rsid w:val="003B3BFD"/>
    <w:rsid w:val="003B4623"/>
    <w:rsid w:val="003B5313"/>
    <w:rsid w:val="003B5A5A"/>
    <w:rsid w:val="003B6A82"/>
    <w:rsid w:val="003C0070"/>
    <w:rsid w:val="003C034B"/>
    <w:rsid w:val="003C13AA"/>
    <w:rsid w:val="003C1818"/>
    <w:rsid w:val="003C356F"/>
    <w:rsid w:val="003C376D"/>
    <w:rsid w:val="003C492E"/>
    <w:rsid w:val="003C4BAA"/>
    <w:rsid w:val="003C6744"/>
    <w:rsid w:val="003C6FE1"/>
    <w:rsid w:val="003D0639"/>
    <w:rsid w:val="003D0EB6"/>
    <w:rsid w:val="003D15B1"/>
    <w:rsid w:val="003D1BE2"/>
    <w:rsid w:val="003D1D45"/>
    <w:rsid w:val="003D1FEC"/>
    <w:rsid w:val="003D2B0C"/>
    <w:rsid w:val="003D506C"/>
    <w:rsid w:val="003D5795"/>
    <w:rsid w:val="003D6FE8"/>
    <w:rsid w:val="003E01FA"/>
    <w:rsid w:val="003E3681"/>
    <w:rsid w:val="003E42E3"/>
    <w:rsid w:val="003E4769"/>
    <w:rsid w:val="003E588F"/>
    <w:rsid w:val="003E7243"/>
    <w:rsid w:val="003F0585"/>
    <w:rsid w:val="003F10E8"/>
    <w:rsid w:val="003F24DE"/>
    <w:rsid w:val="003F5FC1"/>
    <w:rsid w:val="003F6204"/>
    <w:rsid w:val="003F6512"/>
    <w:rsid w:val="003F6831"/>
    <w:rsid w:val="003F69C0"/>
    <w:rsid w:val="00401423"/>
    <w:rsid w:val="00402CF3"/>
    <w:rsid w:val="004038C1"/>
    <w:rsid w:val="0040441E"/>
    <w:rsid w:val="004046F9"/>
    <w:rsid w:val="00404F1D"/>
    <w:rsid w:val="00405A95"/>
    <w:rsid w:val="00405C4D"/>
    <w:rsid w:val="00406C65"/>
    <w:rsid w:val="00406F60"/>
    <w:rsid w:val="004070E6"/>
    <w:rsid w:val="004076D8"/>
    <w:rsid w:val="00412064"/>
    <w:rsid w:val="004124F6"/>
    <w:rsid w:val="00412780"/>
    <w:rsid w:val="00413528"/>
    <w:rsid w:val="004150A1"/>
    <w:rsid w:val="00417436"/>
    <w:rsid w:val="004216F5"/>
    <w:rsid w:val="004218FB"/>
    <w:rsid w:val="00422B53"/>
    <w:rsid w:val="004232F5"/>
    <w:rsid w:val="00423423"/>
    <w:rsid w:val="0042520B"/>
    <w:rsid w:val="00425E00"/>
    <w:rsid w:val="00425E03"/>
    <w:rsid w:val="00425F6C"/>
    <w:rsid w:val="00426115"/>
    <w:rsid w:val="00426DD4"/>
    <w:rsid w:val="004274C5"/>
    <w:rsid w:val="00430108"/>
    <w:rsid w:val="00432894"/>
    <w:rsid w:val="00432C43"/>
    <w:rsid w:val="00435EE3"/>
    <w:rsid w:val="004400A6"/>
    <w:rsid w:val="00440A5E"/>
    <w:rsid w:val="00440D73"/>
    <w:rsid w:val="00441D19"/>
    <w:rsid w:val="00441EF5"/>
    <w:rsid w:val="004427F3"/>
    <w:rsid w:val="004431A7"/>
    <w:rsid w:val="0044499C"/>
    <w:rsid w:val="00445BD4"/>
    <w:rsid w:val="004462A6"/>
    <w:rsid w:val="00451064"/>
    <w:rsid w:val="004520D6"/>
    <w:rsid w:val="00452171"/>
    <w:rsid w:val="004521A4"/>
    <w:rsid w:val="00452F7C"/>
    <w:rsid w:val="00454542"/>
    <w:rsid w:val="00456668"/>
    <w:rsid w:val="00457102"/>
    <w:rsid w:val="00460B4C"/>
    <w:rsid w:val="0046103B"/>
    <w:rsid w:val="0046273D"/>
    <w:rsid w:val="004635E6"/>
    <w:rsid w:val="004636CA"/>
    <w:rsid w:val="00464044"/>
    <w:rsid w:val="00465221"/>
    <w:rsid w:val="00465964"/>
    <w:rsid w:val="00470852"/>
    <w:rsid w:val="00471A7E"/>
    <w:rsid w:val="00472BEF"/>
    <w:rsid w:val="00472CB1"/>
    <w:rsid w:val="004736E7"/>
    <w:rsid w:val="00473D46"/>
    <w:rsid w:val="00475A55"/>
    <w:rsid w:val="00476213"/>
    <w:rsid w:val="004765BC"/>
    <w:rsid w:val="00477E3D"/>
    <w:rsid w:val="00481051"/>
    <w:rsid w:val="00481809"/>
    <w:rsid w:val="004827B6"/>
    <w:rsid w:val="00483705"/>
    <w:rsid w:val="0048398F"/>
    <w:rsid w:val="00485B62"/>
    <w:rsid w:val="00485F0B"/>
    <w:rsid w:val="00486535"/>
    <w:rsid w:val="004865AD"/>
    <w:rsid w:val="00486731"/>
    <w:rsid w:val="0048726B"/>
    <w:rsid w:val="0048777E"/>
    <w:rsid w:val="00487EF8"/>
    <w:rsid w:val="00490885"/>
    <w:rsid w:val="00490E9C"/>
    <w:rsid w:val="00491EF5"/>
    <w:rsid w:val="004930EE"/>
    <w:rsid w:val="00493977"/>
    <w:rsid w:val="00494920"/>
    <w:rsid w:val="0049692B"/>
    <w:rsid w:val="00497687"/>
    <w:rsid w:val="004A0107"/>
    <w:rsid w:val="004A0D33"/>
    <w:rsid w:val="004A18D3"/>
    <w:rsid w:val="004A2DEF"/>
    <w:rsid w:val="004A31F9"/>
    <w:rsid w:val="004A3EC7"/>
    <w:rsid w:val="004A4E39"/>
    <w:rsid w:val="004A51F7"/>
    <w:rsid w:val="004A5CEB"/>
    <w:rsid w:val="004B163E"/>
    <w:rsid w:val="004B2C84"/>
    <w:rsid w:val="004B3E30"/>
    <w:rsid w:val="004B4D6C"/>
    <w:rsid w:val="004B6367"/>
    <w:rsid w:val="004B6A1B"/>
    <w:rsid w:val="004B7D54"/>
    <w:rsid w:val="004C0FFF"/>
    <w:rsid w:val="004C2691"/>
    <w:rsid w:val="004C344D"/>
    <w:rsid w:val="004C34B8"/>
    <w:rsid w:val="004C4608"/>
    <w:rsid w:val="004C4E0C"/>
    <w:rsid w:val="004C5076"/>
    <w:rsid w:val="004C56B9"/>
    <w:rsid w:val="004C685C"/>
    <w:rsid w:val="004C6B7E"/>
    <w:rsid w:val="004C763E"/>
    <w:rsid w:val="004D039A"/>
    <w:rsid w:val="004D06B7"/>
    <w:rsid w:val="004D070B"/>
    <w:rsid w:val="004D079E"/>
    <w:rsid w:val="004D1FD0"/>
    <w:rsid w:val="004D2103"/>
    <w:rsid w:val="004D2E62"/>
    <w:rsid w:val="004D3165"/>
    <w:rsid w:val="004D451A"/>
    <w:rsid w:val="004D6616"/>
    <w:rsid w:val="004D7658"/>
    <w:rsid w:val="004D7708"/>
    <w:rsid w:val="004E156A"/>
    <w:rsid w:val="004E1FBB"/>
    <w:rsid w:val="004E3170"/>
    <w:rsid w:val="004E3D3D"/>
    <w:rsid w:val="004E3FF0"/>
    <w:rsid w:val="004E450E"/>
    <w:rsid w:val="004E515D"/>
    <w:rsid w:val="004E6EE5"/>
    <w:rsid w:val="004E6F64"/>
    <w:rsid w:val="004F09A7"/>
    <w:rsid w:val="004F0EF7"/>
    <w:rsid w:val="004F269D"/>
    <w:rsid w:val="004F2A78"/>
    <w:rsid w:val="004F4961"/>
    <w:rsid w:val="004F7515"/>
    <w:rsid w:val="004F7D50"/>
    <w:rsid w:val="0050029D"/>
    <w:rsid w:val="0050073C"/>
    <w:rsid w:val="0050148F"/>
    <w:rsid w:val="00501913"/>
    <w:rsid w:val="00501CCB"/>
    <w:rsid w:val="00502ED5"/>
    <w:rsid w:val="00503828"/>
    <w:rsid w:val="005077AE"/>
    <w:rsid w:val="00507808"/>
    <w:rsid w:val="00507F39"/>
    <w:rsid w:val="005102D3"/>
    <w:rsid w:val="00510DE9"/>
    <w:rsid w:val="0051252C"/>
    <w:rsid w:val="0051325E"/>
    <w:rsid w:val="00513443"/>
    <w:rsid w:val="00513FEB"/>
    <w:rsid w:val="005169E0"/>
    <w:rsid w:val="00516EB8"/>
    <w:rsid w:val="00517374"/>
    <w:rsid w:val="00517593"/>
    <w:rsid w:val="00517C79"/>
    <w:rsid w:val="00520C36"/>
    <w:rsid w:val="00521062"/>
    <w:rsid w:val="00521195"/>
    <w:rsid w:val="0052123D"/>
    <w:rsid w:val="00521ACC"/>
    <w:rsid w:val="005228FC"/>
    <w:rsid w:val="005229A6"/>
    <w:rsid w:val="00522E19"/>
    <w:rsid w:val="0052346C"/>
    <w:rsid w:val="00524DF1"/>
    <w:rsid w:val="005250BB"/>
    <w:rsid w:val="00525B5F"/>
    <w:rsid w:val="0052663A"/>
    <w:rsid w:val="00526B0E"/>
    <w:rsid w:val="00526B11"/>
    <w:rsid w:val="00531AC0"/>
    <w:rsid w:val="00534408"/>
    <w:rsid w:val="00534FF0"/>
    <w:rsid w:val="00535CC8"/>
    <w:rsid w:val="00536490"/>
    <w:rsid w:val="0054210A"/>
    <w:rsid w:val="005422EA"/>
    <w:rsid w:val="005431F4"/>
    <w:rsid w:val="0054343E"/>
    <w:rsid w:val="0054373C"/>
    <w:rsid w:val="005451D6"/>
    <w:rsid w:val="00545B6C"/>
    <w:rsid w:val="00547509"/>
    <w:rsid w:val="00550434"/>
    <w:rsid w:val="005505C7"/>
    <w:rsid w:val="005505E6"/>
    <w:rsid w:val="005520CA"/>
    <w:rsid w:val="00553248"/>
    <w:rsid w:val="0055397A"/>
    <w:rsid w:val="00553BCE"/>
    <w:rsid w:val="005552A3"/>
    <w:rsid w:val="00556E7F"/>
    <w:rsid w:val="00557346"/>
    <w:rsid w:val="00557919"/>
    <w:rsid w:val="00557CEE"/>
    <w:rsid w:val="005601FA"/>
    <w:rsid w:val="005619E7"/>
    <w:rsid w:val="0056230E"/>
    <w:rsid w:val="0056250A"/>
    <w:rsid w:val="00562954"/>
    <w:rsid w:val="0056380C"/>
    <w:rsid w:val="005649D2"/>
    <w:rsid w:val="005669C3"/>
    <w:rsid w:val="005704F8"/>
    <w:rsid w:val="00570BA9"/>
    <w:rsid w:val="00571A8E"/>
    <w:rsid w:val="00571B71"/>
    <w:rsid w:val="0057285B"/>
    <w:rsid w:val="00572CD9"/>
    <w:rsid w:val="0057361D"/>
    <w:rsid w:val="00573A06"/>
    <w:rsid w:val="00574556"/>
    <w:rsid w:val="00574636"/>
    <w:rsid w:val="00576586"/>
    <w:rsid w:val="0057705B"/>
    <w:rsid w:val="00580EB4"/>
    <w:rsid w:val="00582BB4"/>
    <w:rsid w:val="00583163"/>
    <w:rsid w:val="005832A9"/>
    <w:rsid w:val="0058425C"/>
    <w:rsid w:val="00585950"/>
    <w:rsid w:val="00585987"/>
    <w:rsid w:val="00585C15"/>
    <w:rsid w:val="00587728"/>
    <w:rsid w:val="00587AAE"/>
    <w:rsid w:val="005905A8"/>
    <w:rsid w:val="0059068A"/>
    <w:rsid w:val="00590D33"/>
    <w:rsid w:val="00590FFE"/>
    <w:rsid w:val="00593D37"/>
    <w:rsid w:val="0059447F"/>
    <w:rsid w:val="00595441"/>
    <w:rsid w:val="0059589D"/>
    <w:rsid w:val="00596046"/>
    <w:rsid w:val="00596A18"/>
    <w:rsid w:val="005976CA"/>
    <w:rsid w:val="005A082E"/>
    <w:rsid w:val="005A1498"/>
    <w:rsid w:val="005A1615"/>
    <w:rsid w:val="005A1F1B"/>
    <w:rsid w:val="005A48C2"/>
    <w:rsid w:val="005A6460"/>
    <w:rsid w:val="005B0484"/>
    <w:rsid w:val="005B0E9C"/>
    <w:rsid w:val="005B1047"/>
    <w:rsid w:val="005B376D"/>
    <w:rsid w:val="005B3E4B"/>
    <w:rsid w:val="005B6FB5"/>
    <w:rsid w:val="005B7974"/>
    <w:rsid w:val="005C0194"/>
    <w:rsid w:val="005C1927"/>
    <w:rsid w:val="005C2151"/>
    <w:rsid w:val="005C3CBC"/>
    <w:rsid w:val="005C4578"/>
    <w:rsid w:val="005C4B6F"/>
    <w:rsid w:val="005C5BA7"/>
    <w:rsid w:val="005C5CF1"/>
    <w:rsid w:val="005C6F82"/>
    <w:rsid w:val="005D03AE"/>
    <w:rsid w:val="005D1A27"/>
    <w:rsid w:val="005D1EEB"/>
    <w:rsid w:val="005D21B3"/>
    <w:rsid w:val="005D27A3"/>
    <w:rsid w:val="005D4F9D"/>
    <w:rsid w:val="005D533D"/>
    <w:rsid w:val="005D54F2"/>
    <w:rsid w:val="005D5562"/>
    <w:rsid w:val="005D574B"/>
    <w:rsid w:val="005D69B6"/>
    <w:rsid w:val="005E07EF"/>
    <w:rsid w:val="005E258F"/>
    <w:rsid w:val="005E2A25"/>
    <w:rsid w:val="005E2BC2"/>
    <w:rsid w:val="005E3353"/>
    <w:rsid w:val="005E34F1"/>
    <w:rsid w:val="005E4130"/>
    <w:rsid w:val="005E7DDD"/>
    <w:rsid w:val="005F0071"/>
    <w:rsid w:val="005F095D"/>
    <w:rsid w:val="005F130F"/>
    <w:rsid w:val="005F1438"/>
    <w:rsid w:val="005F2406"/>
    <w:rsid w:val="005F2EE1"/>
    <w:rsid w:val="005F313A"/>
    <w:rsid w:val="005F322D"/>
    <w:rsid w:val="005F4E11"/>
    <w:rsid w:val="005F637F"/>
    <w:rsid w:val="005F6BB3"/>
    <w:rsid w:val="00601372"/>
    <w:rsid w:val="00601DEF"/>
    <w:rsid w:val="00602D02"/>
    <w:rsid w:val="00602E86"/>
    <w:rsid w:val="0060378E"/>
    <w:rsid w:val="006052C5"/>
    <w:rsid w:val="00605407"/>
    <w:rsid w:val="006057EC"/>
    <w:rsid w:val="00606390"/>
    <w:rsid w:val="00607DD5"/>
    <w:rsid w:val="006107A9"/>
    <w:rsid w:val="00610AE1"/>
    <w:rsid w:val="00612CCB"/>
    <w:rsid w:val="00613ADB"/>
    <w:rsid w:val="006156D3"/>
    <w:rsid w:val="006160E2"/>
    <w:rsid w:val="006178AB"/>
    <w:rsid w:val="006233AD"/>
    <w:rsid w:val="006234FE"/>
    <w:rsid w:val="00625CC1"/>
    <w:rsid w:val="00626173"/>
    <w:rsid w:val="00626F00"/>
    <w:rsid w:val="006274BF"/>
    <w:rsid w:val="00630309"/>
    <w:rsid w:val="00631052"/>
    <w:rsid w:val="006323A8"/>
    <w:rsid w:val="00632558"/>
    <w:rsid w:val="006349A6"/>
    <w:rsid w:val="0063680D"/>
    <w:rsid w:val="006369F8"/>
    <w:rsid w:val="00640D9E"/>
    <w:rsid w:val="006410C9"/>
    <w:rsid w:val="00641186"/>
    <w:rsid w:val="00641420"/>
    <w:rsid w:val="00642940"/>
    <w:rsid w:val="00642A9C"/>
    <w:rsid w:val="00642C13"/>
    <w:rsid w:val="0064391D"/>
    <w:rsid w:val="00643D72"/>
    <w:rsid w:val="00643DE9"/>
    <w:rsid w:val="00646F21"/>
    <w:rsid w:val="0064797F"/>
    <w:rsid w:val="006479C9"/>
    <w:rsid w:val="00650C11"/>
    <w:rsid w:val="006522CA"/>
    <w:rsid w:val="00653236"/>
    <w:rsid w:val="006535DF"/>
    <w:rsid w:val="00654D04"/>
    <w:rsid w:val="00654DB6"/>
    <w:rsid w:val="00656A72"/>
    <w:rsid w:val="00660586"/>
    <w:rsid w:val="00660FDD"/>
    <w:rsid w:val="00661EB1"/>
    <w:rsid w:val="00663BA4"/>
    <w:rsid w:val="006702C8"/>
    <w:rsid w:val="006706E4"/>
    <w:rsid w:val="00670921"/>
    <w:rsid w:val="00671A7D"/>
    <w:rsid w:val="006749D9"/>
    <w:rsid w:val="006765CD"/>
    <w:rsid w:val="00676BDB"/>
    <w:rsid w:val="00677B50"/>
    <w:rsid w:val="00677C92"/>
    <w:rsid w:val="006807A0"/>
    <w:rsid w:val="00681B36"/>
    <w:rsid w:val="00681E02"/>
    <w:rsid w:val="00681E8A"/>
    <w:rsid w:val="00684559"/>
    <w:rsid w:val="0068626E"/>
    <w:rsid w:val="00686411"/>
    <w:rsid w:val="00690FF5"/>
    <w:rsid w:val="00692A56"/>
    <w:rsid w:val="00692B5D"/>
    <w:rsid w:val="0069319F"/>
    <w:rsid w:val="006949A7"/>
    <w:rsid w:val="0069523D"/>
    <w:rsid w:val="006A032E"/>
    <w:rsid w:val="006A142D"/>
    <w:rsid w:val="006A2B8F"/>
    <w:rsid w:val="006A2DC0"/>
    <w:rsid w:val="006A3AFA"/>
    <w:rsid w:val="006A408B"/>
    <w:rsid w:val="006A59FC"/>
    <w:rsid w:val="006A6133"/>
    <w:rsid w:val="006A6EE7"/>
    <w:rsid w:val="006A7577"/>
    <w:rsid w:val="006A7813"/>
    <w:rsid w:val="006B0755"/>
    <w:rsid w:val="006B088A"/>
    <w:rsid w:val="006B1787"/>
    <w:rsid w:val="006B277A"/>
    <w:rsid w:val="006B490A"/>
    <w:rsid w:val="006B5603"/>
    <w:rsid w:val="006B6005"/>
    <w:rsid w:val="006B6E70"/>
    <w:rsid w:val="006B77CC"/>
    <w:rsid w:val="006B7E39"/>
    <w:rsid w:val="006C07AB"/>
    <w:rsid w:val="006C12F8"/>
    <w:rsid w:val="006C13F8"/>
    <w:rsid w:val="006C15CA"/>
    <w:rsid w:val="006C2B49"/>
    <w:rsid w:val="006C513D"/>
    <w:rsid w:val="006C63C7"/>
    <w:rsid w:val="006C64F9"/>
    <w:rsid w:val="006C75A6"/>
    <w:rsid w:val="006D00CB"/>
    <w:rsid w:val="006D0215"/>
    <w:rsid w:val="006D0B4D"/>
    <w:rsid w:val="006D49DF"/>
    <w:rsid w:val="006D4BC5"/>
    <w:rsid w:val="006D529F"/>
    <w:rsid w:val="006D57A6"/>
    <w:rsid w:val="006D5C58"/>
    <w:rsid w:val="006D739D"/>
    <w:rsid w:val="006E03E3"/>
    <w:rsid w:val="006E09CC"/>
    <w:rsid w:val="006E1BD4"/>
    <w:rsid w:val="006E3A60"/>
    <w:rsid w:val="006E6111"/>
    <w:rsid w:val="006F0369"/>
    <w:rsid w:val="006F1F33"/>
    <w:rsid w:val="006F2463"/>
    <w:rsid w:val="006F27F5"/>
    <w:rsid w:val="006F3330"/>
    <w:rsid w:val="006F454C"/>
    <w:rsid w:val="006F5616"/>
    <w:rsid w:val="006F6934"/>
    <w:rsid w:val="006F6B27"/>
    <w:rsid w:val="006F6E88"/>
    <w:rsid w:val="006F7862"/>
    <w:rsid w:val="00701C79"/>
    <w:rsid w:val="00701EF1"/>
    <w:rsid w:val="007027B6"/>
    <w:rsid w:val="0070539A"/>
    <w:rsid w:val="00705B3C"/>
    <w:rsid w:val="00705F06"/>
    <w:rsid w:val="007067BB"/>
    <w:rsid w:val="00706BC9"/>
    <w:rsid w:val="00707F69"/>
    <w:rsid w:val="0071155B"/>
    <w:rsid w:val="00714951"/>
    <w:rsid w:val="0071495F"/>
    <w:rsid w:val="007149C1"/>
    <w:rsid w:val="00714B99"/>
    <w:rsid w:val="00715E80"/>
    <w:rsid w:val="007161A6"/>
    <w:rsid w:val="007212E5"/>
    <w:rsid w:val="00721B7D"/>
    <w:rsid w:val="00722996"/>
    <w:rsid w:val="00724CE4"/>
    <w:rsid w:val="00725454"/>
    <w:rsid w:val="007260E6"/>
    <w:rsid w:val="00727EDD"/>
    <w:rsid w:val="007304F6"/>
    <w:rsid w:val="00730E57"/>
    <w:rsid w:val="0073261C"/>
    <w:rsid w:val="007337C5"/>
    <w:rsid w:val="00733CA6"/>
    <w:rsid w:val="00734E32"/>
    <w:rsid w:val="007358DE"/>
    <w:rsid w:val="00735F64"/>
    <w:rsid w:val="00736FCD"/>
    <w:rsid w:val="00737827"/>
    <w:rsid w:val="007429BB"/>
    <w:rsid w:val="00743416"/>
    <w:rsid w:val="00744869"/>
    <w:rsid w:val="00746199"/>
    <w:rsid w:val="00750C4F"/>
    <w:rsid w:val="00750E54"/>
    <w:rsid w:val="00751322"/>
    <w:rsid w:val="0075177D"/>
    <w:rsid w:val="0075223B"/>
    <w:rsid w:val="00753890"/>
    <w:rsid w:val="00753A74"/>
    <w:rsid w:val="00753C98"/>
    <w:rsid w:val="00753EBE"/>
    <w:rsid w:val="00753F14"/>
    <w:rsid w:val="00753F18"/>
    <w:rsid w:val="00755159"/>
    <w:rsid w:val="0075528E"/>
    <w:rsid w:val="007555E1"/>
    <w:rsid w:val="007558D3"/>
    <w:rsid w:val="00757559"/>
    <w:rsid w:val="00757B12"/>
    <w:rsid w:val="007614BB"/>
    <w:rsid w:val="00761576"/>
    <w:rsid w:val="00762F84"/>
    <w:rsid w:val="00764B07"/>
    <w:rsid w:val="00765549"/>
    <w:rsid w:val="00765D97"/>
    <w:rsid w:val="00765DB3"/>
    <w:rsid w:val="00766F5C"/>
    <w:rsid w:val="00770FD9"/>
    <w:rsid w:val="007712FB"/>
    <w:rsid w:val="00771FC0"/>
    <w:rsid w:val="00773F5E"/>
    <w:rsid w:val="00776117"/>
    <w:rsid w:val="0077677D"/>
    <w:rsid w:val="007805F6"/>
    <w:rsid w:val="00780758"/>
    <w:rsid w:val="00782A64"/>
    <w:rsid w:val="00786FF4"/>
    <w:rsid w:val="007875CC"/>
    <w:rsid w:val="00792500"/>
    <w:rsid w:val="00792999"/>
    <w:rsid w:val="00793686"/>
    <w:rsid w:val="007936A3"/>
    <w:rsid w:val="0079448D"/>
    <w:rsid w:val="007944B8"/>
    <w:rsid w:val="007946E3"/>
    <w:rsid w:val="00795B8A"/>
    <w:rsid w:val="00796CE9"/>
    <w:rsid w:val="00797B30"/>
    <w:rsid w:val="00797ED0"/>
    <w:rsid w:val="007A03F1"/>
    <w:rsid w:val="007A1083"/>
    <w:rsid w:val="007A1A71"/>
    <w:rsid w:val="007A2283"/>
    <w:rsid w:val="007A22C2"/>
    <w:rsid w:val="007A2A0D"/>
    <w:rsid w:val="007A44D5"/>
    <w:rsid w:val="007A471A"/>
    <w:rsid w:val="007A65E6"/>
    <w:rsid w:val="007B0A1A"/>
    <w:rsid w:val="007B3674"/>
    <w:rsid w:val="007B3B9B"/>
    <w:rsid w:val="007B46D3"/>
    <w:rsid w:val="007B609A"/>
    <w:rsid w:val="007B6A04"/>
    <w:rsid w:val="007B6D40"/>
    <w:rsid w:val="007C020C"/>
    <w:rsid w:val="007C1636"/>
    <w:rsid w:val="007C2C84"/>
    <w:rsid w:val="007C30F6"/>
    <w:rsid w:val="007C352A"/>
    <w:rsid w:val="007C37A2"/>
    <w:rsid w:val="007C424F"/>
    <w:rsid w:val="007C4ED6"/>
    <w:rsid w:val="007C5AEC"/>
    <w:rsid w:val="007C6CEF"/>
    <w:rsid w:val="007C6F71"/>
    <w:rsid w:val="007C70DC"/>
    <w:rsid w:val="007D07F3"/>
    <w:rsid w:val="007D0C2C"/>
    <w:rsid w:val="007D1747"/>
    <w:rsid w:val="007D2C47"/>
    <w:rsid w:val="007D30E4"/>
    <w:rsid w:val="007D3CE8"/>
    <w:rsid w:val="007D3F7B"/>
    <w:rsid w:val="007D423B"/>
    <w:rsid w:val="007D4D74"/>
    <w:rsid w:val="007D53F9"/>
    <w:rsid w:val="007E0AF5"/>
    <w:rsid w:val="007E3B34"/>
    <w:rsid w:val="007E3F6B"/>
    <w:rsid w:val="007E6094"/>
    <w:rsid w:val="007E750F"/>
    <w:rsid w:val="007F0724"/>
    <w:rsid w:val="007F09C5"/>
    <w:rsid w:val="007F0D02"/>
    <w:rsid w:val="007F148A"/>
    <w:rsid w:val="007F1597"/>
    <w:rsid w:val="007F1E37"/>
    <w:rsid w:val="007F23E0"/>
    <w:rsid w:val="007F2A10"/>
    <w:rsid w:val="007F3C44"/>
    <w:rsid w:val="007F6286"/>
    <w:rsid w:val="007F6B0B"/>
    <w:rsid w:val="007F6DC3"/>
    <w:rsid w:val="00800415"/>
    <w:rsid w:val="008007D2"/>
    <w:rsid w:val="008009EC"/>
    <w:rsid w:val="008014F1"/>
    <w:rsid w:val="008024E7"/>
    <w:rsid w:val="00803247"/>
    <w:rsid w:val="00803C04"/>
    <w:rsid w:val="00803C76"/>
    <w:rsid w:val="008052E4"/>
    <w:rsid w:val="00805DA0"/>
    <w:rsid w:val="00812355"/>
    <w:rsid w:val="008127B0"/>
    <w:rsid w:val="00813DEC"/>
    <w:rsid w:val="00813EE1"/>
    <w:rsid w:val="00814D56"/>
    <w:rsid w:val="00815963"/>
    <w:rsid w:val="008171C4"/>
    <w:rsid w:val="008210C0"/>
    <w:rsid w:val="00821BB9"/>
    <w:rsid w:val="00821F5C"/>
    <w:rsid w:val="00823F1D"/>
    <w:rsid w:val="008249E0"/>
    <w:rsid w:val="0082522E"/>
    <w:rsid w:val="00825ED0"/>
    <w:rsid w:val="00826B70"/>
    <w:rsid w:val="00831C2F"/>
    <w:rsid w:val="00832D5B"/>
    <w:rsid w:val="008339B1"/>
    <w:rsid w:val="0083454D"/>
    <w:rsid w:val="008346C4"/>
    <w:rsid w:val="0083798B"/>
    <w:rsid w:val="00837F31"/>
    <w:rsid w:val="00840104"/>
    <w:rsid w:val="008409CF"/>
    <w:rsid w:val="00840A67"/>
    <w:rsid w:val="00840B16"/>
    <w:rsid w:val="00840C0A"/>
    <w:rsid w:val="008420E1"/>
    <w:rsid w:val="008421C6"/>
    <w:rsid w:val="00842C95"/>
    <w:rsid w:val="00842E35"/>
    <w:rsid w:val="008451DF"/>
    <w:rsid w:val="00845CDA"/>
    <w:rsid w:val="008509D6"/>
    <w:rsid w:val="008513D6"/>
    <w:rsid w:val="00856166"/>
    <w:rsid w:val="00857E0E"/>
    <w:rsid w:val="00857EF3"/>
    <w:rsid w:val="00860210"/>
    <w:rsid w:val="00861149"/>
    <w:rsid w:val="008626B7"/>
    <w:rsid w:val="00862859"/>
    <w:rsid w:val="00862FF0"/>
    <w:rsid w:val="008633D6"/>
    <w:rsid w:val="0086495F"/>
    <w:rsid w:val="00865060"/>
    <w:rsid w:val="008658DF"/>
    <w:rsid w:val="00865BF8"/>
    <w:rsid w:val="00866086"/>
    <w:rsid w:val="0086640E"/>
    <w:rsid w:val="00866A75"/>
    <w:rsid w:val="00867075"/>
    <w:rsid w:val="008677C9"/>
    <w:rsid w:val="00867D4D"/>
    <w:rsid w:val="00870782"/>
    <w:rsid w:val="00870E10"/>
    <w:rsid w:val="008731E6"/>
    <w:rsid w:val="00873331"/>
    <w:rsid w:val="00873753"/>
    <w:rsid w:val="00874CEE"/>
    <w:rsid w:val="00875CBA"/>
    <w:rsid w:val="00876B82"/>
    <w:rsid w:val="00876F1E"/>
    <w:rsid w:val="00883C1C"/>
    <w:rsid w:val="008855E9"/>
    <w:rsid w:val="008877CD"/>
    <w:rsid w:val="0089049B"/>
    <w:rsid w:val="00890CD6"/>
    <w:rsid w:val="00891DCE"/>
    <w:rsid w:val="00892043"/>
    <w:rsid w:val="00893B0C"/>
    <w:rsid w:val="008944AF"/>
    <w:rsid w:val="008952F0"/>
    <w:rsid w:val="008955FC"/>
    <w:rsid w:val="00895EE8"/>
    <w:rsid w:val="00896394"/>
    <w:rsid w:val="008A2BD1"/>
    <w:rsid w:val="008A3210"/>
    <w:rsid w:val="008A36B4"/>
    <w:rsid w:val="008A431E"/>
    <w:rsid w:val="008A47F9"/>
    <w:rsid w:val="008A57D5"/>
    <w:rsid w:val="008A7526"/>
    <w:rsid w:val="008A7714"/>
    <w:rsid w:val="008A7D35"/>
    <w:rsid w:val="008B182A"/>
    <w:rsid w:val="008B27C8"/>
    <w:rsid w:val="008B4F93"/>
    <w:rsid w:val="008B7288"/>
    <w:rsid w:val="008C0CFB"/>
    <w:rsid w:val="008C1C6C"/>
    <w:rsid w:val="008C1D21"/>
    <w:rsid w:val="008C25DD"/>
    <w:rsid w:val="008C3C76"/>
    <w:rsid w:val="008C4013"/>
    <w:rsid w:val="008C474D"/>
    <w:rsid w:val="008C5083"/>
    <w:rsid w:val="008C5545"/>
    <w:rsid w:val="008C674C"/>
    <w:rsid w:val="008C6F3E"/>
    <w:rsid w:val="008C782D"/>
    <w:rsid w:val="008C7BBF"/>
    <w:rsid w:val="008D0455"/>
    <w:rsid w:val="008D1E49"/>
    <w:rsid w:val="008D2C6A"/>
    <w:rsid w:val="008D31F8"/>
    <w:rsid w:val="008D4222"/>
    <w:rsid w:val="008D5559"/>
    <w:rsid w:val="008D56B8"/>
    <w:rsid w:val="008D59DC"/>
    <w:rsid w:val="008D6FCD"/>
    <w:rsid w:val="008D7879"/>
    <w:rsid w:val="008E015C"/>
    <w:rsid w:val="008E11CC"/>
    <w:rsid w:val="008E1779"/>
    <w:rsid w:val="008E333F"/>
    <w:rsid w:val="008E3600"/>
    <w:rsid w:val="008E4141"/>
    <w:rsid w:val="008E49AD"/>
    <w:rsid w:val="008E56D1"/>
    <w:rsid w:val="008E5E00"/>
    <w:rsid w:val="008E6B8A"/>
    <w:rsid w:val="008E7C10"/>
    <w:rsid w:val="008F06E4"/>
    <w:rsid w:val="008F1B33"/>
    <w:rsid w:val="008F2866"/>
    <w:rsid w:val="008F2BE2"/>
    <w:rsid w:val="008F4E53"/>
    <w:rsid w:val="008F58B8"/>
    <w:rsid w:val="008F73E9"/>
    <w:rsid w:val="009031DF"/>
    <w:rsid w:val="009036E3"/>
    <w:rsid w:val="00905431"/>
    <w:rsid w:val="00905A7C"/>
    <w:rsid w:val="00906942"/>
    <w:rsid w:val="009079F3"/>
    <w:rsid w:val="00910CEF"/>
    <w:rsid w:val="00910EA0"/>
    <w:rsid w:val="009116E8"/>
    <w:rsid w:val="00912DF0"/>
    <w:rsid w:val="009137BC"/>
    <w:rsid w:val="009141DD"/>
    <w:rsid w:val="00914EA7"/>
    <w:rsid w:val="00915545"/>
    <w:rsid w:val="00916969"/>
    <w:rsid w:val="00917204"/>
    <w:rsid w:val="00920105"/>
    <w:rsid w:val="0092210B"/>
    <w:rsid w:val="00922FCC"/>
    <w:rsid w:val="00923B59"/>
    <w:rsid w:val="00923C31"/>
    <w:rsid w:val="009247A3"/>
    <w:rsid w:val="009247BD"/>
    <w:rsid w:val="009259A4"/>
    <w:rsid w:val="0093201C"/>
    <w:rsid w:val="009322A4"/>
    <w:rsid w:val="009354D8"/>
    <w:rsid w:val="00935E5B"/>
    <w:rsid w:val="00937001"/>
    <w:rsid w:val="00937B9F"/>
    <w:rsid w:val="009412CB"/>
    <w:rsid w:val="00941DE6"/>
    <w:rsid w:val="009431AE"/>
    <w:rsid w:val="009431E6"/>
    <w:rsid w:val="0094341F"/>
    <w:rsid w:val="009435B5"/>
    <w:rsid w:val="00946B2F"/>
    <w:rsid w:val="00951400"/>
    <w:rsid w:val="00951F39"/>
    <w:rsid w:val="00953C23"/>
    <w:rsid w:val="009540F0"/>
    <w:rsid w:val="00954927"/>
    <w:rsid w:val="00960B63"/>
    <w:rsid w:val="009611FD"/>
    <w:rsid w:val="00961693"/>
    <w:rsid w:val="009625BC"/>
    <w:rsid w:val="00962EE0"/>
    <w:rsid w:val="0096343F"/>
    <w:rsid w:val="00964178"/>
    <w:rsid w:val="009653BB"/>
    <w:rsid w:val="009653CA"/>
    <w:rsid w:val="00965B5B"/>
    <w:rsid w:val="00965EEC"/>
    <w:rsid w:val="00970A42"/>
    <w:rsid w:val="00972A50"/>
    <w:rsid w:val="00973E6F"/>
    <w:rsid w:val="0097498C"/>
    <w:rsid w:val="00975072"/>
    <w:rsid w:val="00975535"/>
    <w:rsid w:val="009764F8"/>
    <w:rsid w:val="00976C43"/>
    <w:rsid w:val="00976CD5"/>
    <w:rsid w:val="00977365"/>
    <w:rsid w:val="00980877"/>
    <w:rsid w:val="00981DA3"/>
    <w:rsid w:val="009839D2"/>
    <w:rsid w:val="009842DE"/>
    <w:rsid w:val="00984896"/>
    <w:rsid w:val="009849D2"/>
    <w:rsid w:val="00984B41"/>
    <w:rsid w:val="00985945"/>
    <w:rsid w:val="00986D0F"/>
    <w:rsid w:val="00991065"/>
    <w:rsid w:val="00992420"/>
    <w:rsid w:val="009924ED"/>
    <w:rsid w:val="009926F0"/>
    <w:rsid w:val="00993068"/>
    <w:rsid w:val="00993089"/>
    <w:rsid w:val="00994308"/>
    <w:rsid w:val="0099439C"/>
    <w:rsid w:val="00994D31"/>
    <w:rsid w:val="0099622C"/>
    <w:rsid w:val="009974F5"/>
    <w:rsid w:val="009976FF"/>
    <w:rsid w:val="009A12CD"/>
    <w:rsid w:val="009A2168"/>
    <w:rsid w:val="009A2CD5"/>
    <w:rsid w:val="009A2F4E"/>
    <w:rsid w:val="009A483C"/>
    <w:rsid w:val="009A5769"/>
    <w:rsid w:val="009A5C2A"/>
    <w:rsid w:val="009A5E16"/>
    <w:rsid w:val="009A6F8B"/>
    <w:rsid w:val="009B2ACB"/>
    <w:rsid w:val="009B2D68"/>
    <w:rsid w:val="009B3008"/>
    <w:rsid w:val="009B3AA0"/>
    <w:rsid w:val="009B41F5"/>
    <w:rsid w:val="009B4C7F"/>
    <w:rsid w:val="009B6EEB"/>
    <w:rsid w:val="009B6F32"/>
    <w:rsid w:val="009B796F"/>
    <w:rsid w:val="009C0C75"/>
    <w:rsid w:val="009C1731"/>
    <w:rsid w:val="009C2329"/>
    <w:rsid w:val="009C2ADB"/>
    <w:rsid w:val="009C3509"/>
    <w:rsid w:val="009C401F"/>
    <w:rsid w:val="009C476D"/>
    <w:rsid w:val="009C5544"/>
    <w:rsid w:val="009C6AD6"/>
    <w:rsid w:val="009D0766"/>
    <w:rsid w:val="009D0E32"/>
    <w:rsid w:val="009D2259"/>
    <w:rsid w:val="009D2A30"/>
    <w:rsid w:val="009D4035"/>
    <w:rsid w:val="009D4650"/>
    <w:rsid w:val="009D49BC"/>
    <w:rsid w:val="009E0F33"/>
    <w:rsid w:val="009E12F9"/>
    <w:rsid w:val="009E1506"/>
    <w:rsid w:val="009E490E"/>
    <w:rsid w:val="009E4C02"/>
    <w:rsid w:val="009E60B0"/>
    <w:rsid w:val="009E65D9"/>
    <w:rsid w:val="009E6BDB"/>
    <w:rsid w:val="009F0BD2"/>
    <w:rsid w:val="009F1CB1"/>
    <w:rsid w:val="009F289D"/>
    <w:rsid w:val="009F3591"/>
    <w:rsid w:val="009F493D"/>
    <w:rsid w:val="009F4989"/>
    <w:rsid w:val="009F5969"/>
    <w:rsid w:val="009F5BF1"/>
    <w:rsid w:val="009F5CC9"/>
    <w:rsid w:val="009F68AF"/>
    <w:rsid w:val="009F6B7A"/>
    <w:rsid w:val="009F7207"/>
    <w:rsid w:val="009F74FB"/>
    <w:rsid w:val="00A00297"/>
    <w:rsid w:val="00A00889"/>
    <w:rsid w:val="00A00A7C"/>
    <w:rsid w:val="00A0176D"/>
    <w:rsid w:val="00A0184D"/>
    <w:rsid w:val="00A01C42"/>
    <w:rsid w:val="00A02325"/>
    <w:rsid w:val="00A0273B"/>
    <w:rsid w:val="00A05C95"/>
    <w:rsid w:val="00A06EF6"/>
    <w:rsid w:val="00A0713C"/>
    <w:rsid w:val="00A100C7"/>
    <w:rsid w:val="00A109DB"/>
    <w:rsid w:val="00A1240A"/>
    <w:rsid w:val="00A13909"/>
    <w:rsid w:val="00A13CB3"/>
    <w:rsid w:val="00A13DBF"/>
    <w:rsid w:val="00A14FB6"/>
    <w:rsid w:val="00A1653A"/>
    <w:rsid w:val="00A16722"/>
    <w:rsid w:val="00A17EA1"/>
    <w:rsid w:val="00A203D8"/>
    <w:rsid w:val="00A20D58"/>
    <w:rsid w:val="00A213E1"/>
    <w:rsid w:val="00A22E32"/>
    <w:rsid w:val="00A23665"/>
    <w:rsid w:val="00A2449F"/>
    <w:rsid w:val="00A272AC"/>
    <w:rsid w:val="00A30F3D"/>
    <w:rsid w:val="00A31269"/>
    <w:rsid w:val="00A31522"/>
    <w:rsid w:val="00A33F6E"/>
    <w:rsid w:val="00A3501E"/>
    <w:rsid w:val="00A35536"/>
    <w:rsid w:val="00A357B8"/>
    <w:rsid w:val="00A36141"/>
    <w:rsid w:val="00A366AD"/>
    <w:rsid w:val="00A4004E"/>
    <w:rsid w:val="00A40978"/>
    <w:rsid w:val="00A419A6"/>
    <w:rsid w:val="00A41CA0"/>
    <w:rsid w:val="00A42262"/>
    <w:rsid w:val="00A427AF"/>
    <w:rsid w:val="00A42D7D"/>
    <w:rsid w:val="00A44008"/>
    <w:rsid w:val="00A445FF"/>
    <w:rsid w:val="00A465B1"/>
    <w:rsid w:val="00A46AD9"/>
    <w:rsid w:val="00A472EE"/>
    <w:rsid w:val="00A47D5D"/>
    <w:rsid w:val="00A47DC8"/>
    <w:rsid w:val="00A50505"/>
    <w:rsid w:val="00A50EEB"/>
    <w:rsid w:val="00A513ED"/>
    <w:rsid w:val="00A51997"/>
    <w:rsid w:val="00A5338E"/>
    <w:rsid w:val="00A54195"/>
    <w:rsid w:val="00A55D50"/>
    <w:rsid w:val="00A56554"/>
    <w:rsid w:val="00A57809"/>
    <w:rsid w:val="00A60BC0"/>
    <w:rsid w:val="00A62E16"/>
    <w:rsid w:val="00A63D0F"/>
    <w:rsid w:val="00A645E4"/>
    <w:rsid w:val="00A64C4F"/>
    <w:rsid w:val="00A65FF4"/>
    <w:rsid w:val="00A679D2"/>
    <w:rsid w:val="00A709B1"/>
    <w:rsid w:val="00A718DD"/>
    <w:rsid w:val="00A72FED"/>
    <w:rsid w:val="00A73A28"/>
    <w:rsid w:val="00A73B52"/>
    <w:rsid w:val="00A75A4A"/>
    <w:rsid w:val="00A76710"/>
    <w:rsid w:val="00A76C0B"/>
    <w:rsid w:val="00A76CC3"/>
    <w:rsid w:val="00A818A7"/>
    <w:rsid w:val="00A82043"/>
    <w:rsid w:val="00A84028"/>
    <w:rsid w:val="00A847B7"/>
    <w:rsid w:val="00A84F21"/>
    <w:rsid w:val="00A8500F"/>
    <w:rsid w:val="00A856E5"/>
    <w:rsid w:val="00A863C4"/>
    <w:rsid w:val="00A86623"/>
    <w:rsid w:val="00A87247"/>
    <w:rsid w:val="00A922EB"/>
    <w:rsid w:val="00A955F5"/>
    <w:rsid w:val="00A963E3"/>
    <w:rsid w:val="00A96EAB"/>
    <w:rsid w:val="00A974AD"/>
    <w:rsid w:val="00AA406E"/>
    <w:rsid w:val="00AA40CC"/>
    <w:rsid w:val="00AA495E"/>
    <w:rsid w:val="00AA5551"/>
    <w:rsid w:val="00AA5DEB"/>
    <w:rsid w:val="00AA74D7"/>
    <w:rsid w:val="00AA7C7B"/>
    <w:rsid w:val="00AB13DA"/>
    <w:rsid w:val="00AB3F8A"/>
    <w:rsid w:val="00AB52B4"/>
    <w:rsid w:val="00AB60AB"/>
    <w:rsid w:val="00AB676F"/>
    <w:rsid w:val="00AB751C"/>
    <w:rsid w:val="00AB7E75"/>
    <w:rsid w:val="00AC0497"/>
    <w:rsid w:val="00AC0D2F"/>
    <w:rsid w:val="00AC1882"/>
    <w:rsid w:val="00AC2E8E"/>
    <w:rsid w:val="00AC3633"/>
    <w:rsid w:val="00AC3D3A"/>
    <w:rsid w:val="00AC4C79"/>
    <w:rsid w:val="00AC5EC7"/>
    <w:rsid w:val="00AC6A71"/>
    <w:rsid w:val="00AC6EFF"/>
    <w:rsid w:val="00AC766B"/>
    <w:rsid w:val="00AC7ED7"/>
    <w:rsid w:val="00AD0941"/>
    <w:rsid w:val="00AD0C59"/>
    <w:rsid w:val="00AD2488"/>
    <w:rsid w:val="00AD2B19"/>
    <w:rsid w:val="00AD2B4C"/>
    <w:rsid w:val="00AD51CA"/>
    <w:rsid w:val="00AD5290"/>
    <w:rsid w:val="00AD5490"/>
    <w:rsid w:val="00AD5B71"/>
    <w:rsid w:val="00AD5C99"/>
    <w:rsid w:val="00AD6AAD"/>
    <w:rsid w:val="00AD75C5"/>
    <w:rsid w:val="00AE137A"/>
    <w:rsid w:val="00AE13C8"/>
    <w:rsid w:val="00AE23E5"/>
    <w:rsid w:val="00AE2513"/>
    <w:rsid w:val="00AE3FC8"/>
    <w:rsid w:val="00AE4EAA"/>
    <w:rsid w:val="00AE51A6"/>
    <w:rsid w:val="00AE7560"/>
    <w:rsid w:val="00AE78E5"/>
    <w:rsid w:val="00AF067D"/>
    <w:rsid w:val="00AF12B5"/>
    <w:rsid w:val="00AF180A"/>
    <w:rsid w:val="00AF2DA3"/>
    <w:rsid w:val="00AF4017"/>
    <w:rsid w:val="00AF45D4"/>
    <w:rsid w:val="00AF4D76"/>
    <w:rsid w:val="00AF5106"/>
    <w:rsid w:val="00AF6489"/>
    <w:rsid w:val="00AF6B99"/>
    <w:rsid w:val="00AF7C64"/>
    <w:rsid w:val="00B03EA0"/>
    <w:rsid w:val="00B04A07"/>
    <w:rsid w:val="00B04EA2"/>
    <w:rsid w:val="00B057C0"/>
    <w:rsid w:val="00B05F4B"/>
    <w:rsid w:val="00B06682"/>
    <w:rsid w:val="00B06DE1"/>
    <w:rsid w:val="00B10BF0"/>
    <w:rsid w:val="00B15297"/>
    <w:rsid w:val="00B16693"/>
    <w:rsid w:val="00B16F55"/>
    <w:rsid w:val="00B21D03"/>
    <w:rsid w:val="00B22346"/>
    <w:rsid w:val="00B23196"/>
    <w:rsid w:val="00B23A94"/>
    <w:rsid w:val="00B24CDE"/>
    <w:rsid w:val="00B25179"/>
    <w:rsid w:val="00B2546E"/>
    <w:rsid w:val="00B26868"/>
    <w:rsid w:val="00B26F9C"/>
    <w:rsid w:val="00B31261"/>
    <w:rsid w:val="00B31D1B"/>
    <w:rsid w:val="00B34749"/>
    <w:rsid w:val="00B34A30"/>
    <w:rsid w:val="00B374BE"/>
    <w:rsid w:val="00B42707"/>
    <w:rsid w:val="00B43F9D"/>
    <w:rsid w:val="00B44063"/>
    <w:rsid w:val="00B44112"/>
    <w:rsid w:val="00B4517F"/>
    <w:rsid w:val="00B46E92"/>
    <w:rsid w:val="00B47C0E"/>
    <w:rsid w:val="00B52132"/>
    <w:rsid w:val="00B52677"/>
    <w:rsid w:val="00B54AD7"/>
    <w:rsid w:val="00B54D7E"/>
    <w:rsid w:val="00B5564C"/>
    <w:rsid w:val="00B55CBC"/>
    <w:rsid w:val="00B568C7"/>
    <w:rsid w:val="00B56F76"/>
    <w:rsid w:val="00B61006"/>
    <w:rsid w:val="00B62192"/>
    <w:rsid w:val="00B623BB"/>
    <w:rsid w:val="00B62611"/>
    <w:rsid w:val="00B62ADF"/>
    <w:rsid w:val="00B6389C"/>
    <w:rsid w:val="00B64D5E"/>
    <w:rsid w:val="00B6505A"/>
    <w:rsid w:val="00B65BA8"/>
    <w:rsid w:val="00B74FC8"/>
    <w:rsid w:val="00B7723A"/>
    <w:rsid w:val="00B77487"/>
    <w:rsid w:val="00B778A2"/>
    <w:rsid w:val="00B77A4E"/>
    <w:rsid w:val="00B8283A"/>
    <w:rsid w:val="00B83ADB"/>
    <w:rsid w:val="00B84BF9"/>
    <w:rsid w:val="00B852DB"/>
    <w:rsid w:val="00B86928"/>
    <w:rsid w:val="00B91B51"/>
    <w:rsid w:val="00B9242A"/>
    <w:rsid w:val="00B92647"/>
    <w:rsid w:val="00B93062"/>
    <w:rsid w:val="00B9323F"/>
    <w:rsid w:val="00B938FB"/>
    <w:rsid w:val="00B93DBF"/>
    <w:rsid w:val="00B94711"/>
    <w:rsid w:val="00B94A3C"/>
    <w:rsid w:val="00B96715"/>
    <w:rsid w:val="00B97CCE"/>
    <w:rsid w:val="00BA0D8D"/>
    <w:rsid w:val="00BA2668"/>
    <w:rsid w:val="00BA37FA"/>
    <w:rsid w:val="00BA47CC"/>
    <w:rsid w:val="00BA5733"/>
    <w:rsid w:val="00BA661A"/>
    <w:rsid w:val="00BB1E03"/>
    <w:rsid w:val="00BB3DD9"/>
    <w:rsid w:val="00BB5D4F"/>
    <w:rsid w:val="00BB7FC8"/>
    <w:rsid w:val="00BC32A3"/>
    <w:rsid w:val="00BC401A"/>
    <w:rsid w:val="00BC54DA"/>
    <w:rsid w:val="00BD2F3B"/>
    <w:rsid w:val="00BD329B"/>
    <w:rsid w:val="00BD5415"/>
    <w:rsid w:val="00BD5FC2"/>
    <w:rsid w:val="00BD6032"/>
    <w:rsid w:val="00BD6E91"/>
    <w:rsid w:val="00BD7241"/>
    <w:rsid w:val="00BD75D0"/>
    <w:rsid w:val="00BE06D6"/>
    <w:rsid w:val="00BE0A48"/>
    <w:rsid w:val="00BE19D2"/>
    <w:rsid w:val="00BE250E"/>
    <w:rsid w:val="00BE46B6"/>
    <w:rsid w:val="00BE52F2"/>
    <w:rsid w:val="00BE5C39"/>
    <w:rsid w:val="00BE5FF5"/>
    <w:rsid w:val="00BE6196"/>
    <w:rsid w:val="00BE6CB3"/>
    <w:rsid w:val="00BE7C79"/>
    <w:rsid w:val="00BF0B5D"/>
    <w:rsid w:val="00BF132B"/>
    <w:rsid w:val="00BF18E8"/>
    <w:rsid w:val="00BF226D"/>
    <w:rsid w:val="00BF2F86"/>
    <w:rsid w:val="00BF4AD1"/>
    <w:rsid w:val="00BF5AE1"/>
    <w:rsid w:val="00BF5D31"/>
    <w:rsid w:val="00BF6233"/>
    <w:rsid w:val="00BF6250"/>
    <w:rsid w:val="00BF62E3"/>
    <w:rsid w:val="00BF7DAE"/>
    <w:rsid w:val="00C0285F"/>
    <w:rsid w:val="00C02BD9"/>
    <w:rsid w:val="00C036BD"/>
    <w:rsid w:val="00C03A12"/>
    <w:rsid w:val="00C04C40"/>
    <w:rsid w:val="00C05E8F"/>
    <w:rsid w:val="00C05F65"/>
    <w:rsid w:val="00C07486"/>
    <w:rsid w:val="00C07750"/>
    <w:rsid w:val="00C10096"/>
    <w:rsid w:val="00C10F9F"/>
    <w:rsid w:val="00C111FD"/>
    <w:rsid w:val="00C11853"/>
    <w:rsid w:val="00C119BB"/>
    <w:rsid w:val="00C124A2"/>
    <w:rsid w:val="00C12D2C"/>
    <w:rsid w:val="00C142C6"/>
    <w:rsid w:val="00C152AF"/>
    <w:rsid w:val="00C15843"/>
    <w:rsid w:val="00C15941"/>
    <w:rsid w:val="00C16275"/>
    <w:rsid w:val="00C200F2"/>
    <w:rsid w:val="00C20799"/>
    <w:rsid w:val="00C207C8"/>
    <w:rsid w:val="00C2226A"/>
    <w:rsid w:val="00C22551"/>
    <w:rsid w:val="00C23269"/>
    <w:rsid w:val="00C245E7"/>
    <w:rsid w:val="00C24614"/>
    <w:rsid w:val="00C250F0"/>
    <w:rsid w:val="00C25B91"/>
    <w:rsid w:val="00C26BDC"/>
    <w:rsid w:val="00C26F6A"/>
    <w:rsid w:val="00C2774B"/>
    <w:rsid w:val="00C27810"/>
    <w:rsid w:val="00C31FC1"/>
    <w:rsid w:val="00C32B5B"/>
    <w:rsid w:val="00C32BDA"/>
    <w:rsid w:val="00C3394B"/>
    <w:rsid w:val="00C33C78"/>
    <w:rsid w:val="00C34CA7"/>
    <w:rsid w:val="00C36AB5"/>
    <w:rsid w:val="00C37446"/>
    <w:rsid w:val="00C37972"/>
    <w:rsid w:val="00C408CC"/>
    <w:rsid w:val="00C40ACE"/>
    <w:rsid w:val="00C416D1"/>
    <w:rsid w:val="00C417E1"/>
    <w:rsid w:val="00C419A5"/>
    <w:rsid w:val="00C42B25"/>
    <w:rsid w:val="00C42C0D"/>
    <w:rsid w:val="00C43214"/>
    <w:rsid w:val="00C436D1"/>
    <w:rsid w:val="00C438F8"/>
    <w:rsid w:val="00C43921"/>
    <w:rsid w:val="00C44A6B"/>
    <w:rsid w:val="00C45C3F"/>
    <w:rsid w:val="00C46518"/>
    <w:rsid w:val="00C4762C"/>
    <w:rsid w:val="00C47DDA"/>
    <w:rsid w:val="00C50595"/>
    <w:rsid w:val="00C50C29"/>
    <w:rsid w:val="00C51083"/>
    <w:rsid w:val="00C51433"/>
    <w:rsid w:val="00C51A63"/>
    <w:rsid w:val="00C538B6"/>
    <w:rsid w:val="00C540CC"/>
    <w:rsid w:val="00C55310"/>
    <w:rsid w:val="00C56050"/>
    <w:rsid w:val="00C569BF"/>
    <w:rsid w:val="00C56D4C"/>
    <w:rsid w:val="00C60F24"/>
    <w:rsid w:val="00C61E0C"/>
    <w:rsid w:val="00C62DC8"/>
    <w:rsid w:val="00C64539"/>
    <w:rsid w:val="00C66AAC"/>
    <w:rsid w:val="00C67620"/>
    <w:rsid w:val="00C6765E"/>
    <w:rsid w:val="00C67AF1"/>
    <w:rsid w:val="00C70F50"/>
    <w:rsid w:val="00C71803"/>
    <w:rsid w:val="00C718E3"/>
    <w:rsid w:val="00C7261F"/>
    <w:rsid w:val="00C726C3"/>
    <w:rsid w:val="00C7354E"/>
    <w:rsid w:val="00C74304"/>
    <w:rsid w:val="00C74662"/>
    <w:rsid w:val="00C7470F"/>
    <w:rsid w:val="00C75653"/>
    <w:rsid w:val="00C75EC8"/>
    <w:rsid w:val="00C7779F"/>
    <w:rsid w:val="00C77E37"/>
    <w:rsid w:val="00C80AB8"/>
    <w:rsid w:val="00C81415"/>
    <w:rsid w:val="00C83BBE"/>
    <w:rsid w:val="00C83DC8"/>
    <w:rsid w:val="00C83F88"/>
    <w:rsid w:val="00C8523E"/>
    <w:rsid w:val="00C87891"/>
    <w:rsid w:val="00C900AE"/>
    <w:rsid w:val="00C905A9"/>
    <w:rsid w:val="00C917EE"/>
    <w:rsid w:val="00C91A42"/>
    <w:rsid w:val="00C92BA7"/>
    <w:rsid w:val="00C9304B"/>
    <w:rsid w:val="00C943EF"/>
    <w:rsid w:val="00C944E7"/>
    <w:rsid w:val="00C956B3"/>
    <w:rsid w:val="00C95718"/>
    <w:rsid w:val="00C96CFE"/>
    <w:rsid w:val="00C976C5"/>
    <w:rsid w:val="00C9781F"/>
    <w:rsid w:val="00C97D3E"/>
    <w:rsid w:val="00CA0CF0"/>
    <w:rsid w:val="00CA156D"/>
    <w:rsid w:val="00CA1995"/>
    <w:rsid w:val="00CA1D16"/>
    <w:rsid w:val="00CA1F73"/>
    <w:rsid w:val="00CA4458"/>
    <w:rsid w:val="00CA514A"/>
    <w:rsid w:val="00CA53D6"/>
    <w:rsid w:val="00CA641E"/>
    <w:rsid w:val="00CA643E"/>
    <w:rsid w:val="00CA6622"/>
    <w:rsid w:val="00CA758D"/>
    <w:rsid w:val="00CB013F"/>
    <w:rsid w:val="00CB24BF"/>
    <w:rsid w:val="00CB4019"/>
    <w:rsid w:val="00CB46D7"/>
    <w:rsid w:val="00CB50EE"/>
    <w:rsid w:val="00CB5FD5"/>
    <w:rsid w:val="00CB6520"/>
    <w:rsid w:val="00CC0FCB"/>
    <w:rsid w:val="00CC1C3F"/>
    <w:rsid w:val="00CC3FB0"/>
    <w:rsid w:val="00CC44BD"/>
    <w:rsid w:val="00CC55CA"/>
    <w:rsid w:val="00CC5A4B"/>
    <w:rsid w:val="00CC6FA4"/>
    <w:rsid w:val="00CD0F42"/>
    <w:rsid w:val="00CD57AA"/>
    <w:rsid w:val="00CD60D5"/>
    <w:rsid w:val="00CD7075"/>
    <w:rsid w:val="00CE12C2"/>
    <w:rsid w:val="00CE19D5"/>
    <w:rsid w:val="00CE2583"/>
    <w:rsid w:val="00CE2646"/>
    <w:rsid w:val="00CE3831"/>
    <w:rsid w:val="00CE4745"/>
    <w:rsid w:val="00CE58B0"/>
    <w:rsid w:val="00CE7B2B"/>
    <w:rsid w:val="00CF0772"/>
    <w:rsid w:val="00CF1665"/>
    <w:rsid w:val="00CF2DBF"/>
    <w:rsid w:val="00CF4976"/>
    <w:rsid w:val="00CF4A73"/>
    <w:rsid w:val="00CF4C7C"/>
    <w:rsid w:val="00CF62C7"/>
    <w:rsid w:val="00CF6FF5"/>
    <w:rsid w:val="00D01AD0"/>
    <w:rsid w:val="00D02171"/>
    <w:rsid w:val="00D03C08"/>
    <w:rsid w:val="00D048ED"/>
    <w:rsid w:val="00D05033"/>
    <w:rsid w:val="00D102EF"/>
    <w:rsid w:val="00D1049E"/>
    <w:rsid w:val="00D10AE9"/>
    <w:rsid w:val="00D13144"/>
    <w:rsid w:val="00D13D2A"/>
    <w:rsid w:val="00D158C0"/>
    <w:rsid w:val="00D15D20"/>
    <w:rsid w:val="00D16124"/>
    <w:rsid w:val="00D1676E"/>
    <w:rsid w:val="00D1679A"/>
    <w:rsid w:val="00D17843"/>
    <w:rsid w:val="00D20F96"/>
    <w:rsid w:val="00D21040"/>
    <w:rsid w:val="00D21BB6"/>
    <w:rsid w:val="00D22C47"/>
    <w:rsid w:val="00D2302D"/>
    <w:rsid w:val="00D23B54"/>
    <w:rsid w:val="00D23E20"/>
    <w:rsid w:val="00D24218"/>
    <w:rsid w:val="00D2426B"/>
    <w:rsid w:val="00D24BE6"/>
    <w:rsid w:val="00D2657E"/>
    <w:rsid w:val="00D27912"/>
    <w:rsid w:val="00D27CF1"/>
    <w:rsid w:val="00D30D96"/>
    <w:rsid w:val="00D3109D"/>
    <w:rsid w:val="00D316AA"/>
    <w:rsid w:val="00D32065"/>
    <w:rsid w:val="00D32E15"/>
    <w:rsid w:val="00D33C9F"/>
    <w:rsid w:val="00D355E8"/>
    <w:rsid w:val="00D37045"/>
    <w:rsid w:val="00D37A7D"/>
    <w:rsid w:val="00D40AC5"/>
    <w:rsid w:val="00D44E01"/>
    <w:rsid w:val="00D44E15"/>
    <w:rsid w:val="00D44EE8"/>
    <w:rsid w:val="00D45327"/>
    <w:rsid w:val="00D4563E"/>
    <w:rsid w:val="00D4576F"/>
    <w:rsid w:val="00D45AD8"/>
    <w:rsid w:val="00D45CD7"/>
    <w:rsid w:val="00D469F4"/>
    <w:rsid w:val="00D4791D"/>
    <w:rsid w:val="00D50C2C"/>
    <w:rsid w:val="00D51031"/>
    <w:rsid w:val="00D52B68"/>
    <w:rsid w:val="00D52DD5"/>
    <w:rsid w:val="00D5332A"/>
    <w:rsid w:val="00D5481D"/>
    <w:rsid w:val="00D54B4C"/>
    <w:rsid w:val="00D55A79"/>
    <w:rsid w:val="00D55D3B"/>
    <w:rsid w:val="00D56F40"/>
    <w:rsid w:val="00D576E4"/>
    <w:rsid w:val="00D578CA"/>
    <w:rsid w:val="00D61173"/>
    <w:rsid w:val="00D613D8"/>
    <w:rsid w:val="00D6215E"/>
    <w:rsid w:val="00D62172"/>
    <w:rsid w:val="00D62E83"/>
    <w:rsid w:val="00D64D05"/>
    <w:rsid w:val="00D6505A"/>
    <w:rsid w:val="00D658D3"/>
    <w:rsid w:val="00D67641"/>
    <w:rsid w:val="00D70B97"/>
    <w:rsid w:val="00D70EBE"/>
    <w:rsid w:val="00D71394"/>
    <w:rsid w:val="00D71EE2"/>
    <w:rsid w:val="00D72BE0"/>
    <w:rsid w:val="00D73288"/>
    <w:rsid w:val="00D73979"/>
    <w:rsid w:val="00D75051"/>
    <w:rsid w:val="00D75E63"/>
    <w:rsid w:val="00D75E82"/>
    <w:rsid w:val="00D80971"/>
    <w:rsid w:val="00D80B08"/>
    <w:rsid w:val="00D82A44"/>
    <w:rsid w:val="00D838B0"/>
    <w:rsid w:val="00D84311"/>
    <w:rsid w:val="00D843F5"/>
    <w:rsid w:val="00D860EB"/>
    <w:rsid w:val="00D86EC2"/>
    <w:rsid w:val="00D871CC"/>
    <w:rsid w:val="00D9008D"/>
    <w:rsid w:val="00D90520"/>
    <w:rsid w:val="00D916AC"/>
    <w:rsid w:val="00D923AD"/>
    <w:rsid w:val="00D92A43"/>
    <w:rsid w:val="00D92AC3"/>
    <w:rsid w:val="00D92AE3"/>
    <w:rsid w:val="00D96B29"/>
    <w:rsid w:val="00D97516"/>
    <w:rsid w:val="00DA0095"/>
    <w:rsid w:val="00DA2E91"/>
    <w:rsid w:val="00DA3E54"/>
    <w:rsid w:val="00DA4966"/>
    <w:rsid w:val="00DA4AEE"/>
    <w:rsid w:val="00DA5C0B"/>
    <w:rsid w:val="00DA62B0"/>
    <w:rsid w:val="00DB0BA1"/>
    <w:rsid w:val="00DB399C"/>
    <w:rsid w:val="00DB4284"/>
    <w:rsid w:val="00DB42AA"/>
    <w:rsid w:val="00DB57FB"/>
    <w:rsid w:val="00DB5B16"/>
    <w:rsid w:val="00DB5E5D"/>
    <w:rsid w:val="00DB6431"/>
    <w:rsid w:val="00DB6476"/>
    <w:rsid w:val="00DB6DF0"/>
    <w:rsid w:val="00DB735E"/>
    <w:rsid w:val="00DB7F02"/>
    <w:rsid w:val="00DC0179"/>
    <w:rsid w:val="00DC03EE"/>
    <w:rsid w:val="00DC25DD"/>
    <w:rsid w:val="00DC2BD6"/>
    <w:rsid w:val="00DC3272"/>
    <w:rsid w:val="00DC3730"/>
    <w:rsid w:val="00DC52EB"/>
    <w:rsid w:val="00DC60F9"/>
    <w:rsid w:val="00DC6462"/>
    <w:rsid w:val="00DC7B5F"/>
    <w:rsid w:val="00DC7EB5"/>
    <w:rsid w:val="00DD3CAF"/>
    <w:rsid w:val="00DD40D6"/>
    <w:rsid w:val="00DD5C9A"/>
    <w:rsid w:val="00DD72C6"/>
    <w:rsid w:val="00DD77DF"/>
    <w:rsid w:val="00DD79D3"/>
    <w:rsid w:val="00DE0102"/>
    <w:rsid w:val="00DE06E3"/>
    <w:rsid w:val="00DE0965"/>
    <w:rsid w:val="00DE1925"/>
    <w:rsid w:val="00DE1A4D"/>
    <w:rsid w:val="00DE1F6A"/>
    <w:rsid w:val="00DE2170"/>
    <w:rsid w:val="00DE24B2"/>
    <w:rsid w:val="00DE25B8"/>
    <w:rsid w:val="00DE33B8"/>
    <w:rsid w:val="00DE4B08"/>
    <w:rsid w:val="00E002FB"/>
    <w:rsid w:val="00E01160"/>
    <w:rsid w:val="00E03AB0"/>
    <w:rsid w:val="00E03D92"/>
    <w:rsid w:val="00E049CE"/>
    <w:rsid w:val="00E04A9E"/>
    <w:rsid w:val="00E057C8"/>
    <w:rsid w:val="00E06356"/>
    <w:rsid w:val="00E069D7"/>
    <w:rsid w:val="00E1291F"/>
    <w:rsid w:val="00E15865"/>
    <w:rsid w:val="00E15AB3"/>
    <w:rsid w:val="00E163AA"/>
    <w:rsid w:val="00E16768"/>
    <w:rsid w:val="00E16D2B"/>
    <w:rsid w:val="00E1743B"/>
    <w:rsid w:val="00E2035B"/>
    <w:rsid w:val="00E21060"/>
    <w:rsid w:val="00E23F32"/>
    <w:rsid w:val="00E24D6E"/>
    <w:rsid w:val="00E25879"/>
    <w:rsid w:val="00E25C03"/>
    <w:rsid w:val="00E26DEB"/>
    <w:rsid w:val="00E27E45"/>
    <w:rsid w:val="00E3073B"/>
    <w:rsid w:val="00E318D2"/>
    <w:rsid w:val="00E31A8F"/>
    <w:rsid w:val="00E33E05"/>
    <w:rsid w:val="00E33EEA"/>
    <w:rsid w:val="00E34A62"/>
    <w:rsid w:val="00E34C20"/>
    <w:rsid w:val="00E357A8"/>
    <w:rsid w:val="00E37602"/>
    <w:rsid w:val="00E40A43"/>
    <w:rsid w:val="00E42A85"/>
    <w:rsid w:val="00E42B20"/>
    <w:rsid w:val="00E436A6"/>
    <w:rsid w:val="00E43C96"/>
    <w:rsid w:val="00E443A1"/>
    <w:rsid w:val="00E45905"/>
    <w:rsid w:val="00E4627B"/>
    <w:rsid w:val="00E50214"/>
    <w:rsid w:val="00E52229"/>
    <w:rsid w:val="00E52279"/>
    <w:rsid w:val="00E5330C"/>
    <w:rsid w:val="00E5456F"/>
    <w:rsid w:val="00E5472B"/>
    <w:rsid w:val="00E54856"/>
    <w:rsid w:val="00E54D5E"/>
    <w:rsid w:val="00E5536D"/>
    <w:rsid w:val="00E55481"/>
    <w:rsid w:val="00E554BB"/>
    <w:rsid w:val="00E5664D"/>
    <w:rsid w:val="00E566D3"/>
    <w:rsid w:val="00E57075"/>
    <w:rsid w:val="00E62285"/>
    <w:rsid w:val="00E623CE"/>
    <w:rsid w:val="00E632A0"/>
    <w:rsid w:val="00E63FFA"/>
    <w:rsid w:val="00E666BA"/>
    <w:rsid w:val="00E66A68"/>
    <w:rsid w:val="00E70D47"/>
    <w:rsid w:val="00E70F42"/>
    <w:rsid w:val="00E72348"/>
    <w:rsid w:val="00E72418"/>
    <w:rsid w:val="00E72746"/>
    <w:rsid w:val="00E73F2C"/>
    <w:rsid w:val="00E75B26"/>
    <w:rsid w:val="00E76902"/>
    <w:rsid w:val="00E80240"/>
    <w:rsid w:val="00E80572"/>
    <w:rsid w:val="00E80EBB"/>
    <w:rsid w:val="00E815BA"/>
    <w:rsid w:val="00E83F78"/>
    <w:rsid w:val="00E84E03"/>
    <w:rsid w:val="00E9031F"/>
    <w:rsid w:val="00E90E96"/>
    <w:rsid w:val="00E928A6"/>
    <w:rsid w:val="00E938B2"/>
    <w:rsid w:val="00E93A9B"/>
    <w:rsid w:val="00E94856"/>
    <w:rsid w:val="00E95063"/>
    <w:rsid w:val="00E95872"/>
    <w:rsid w:val="00EA1A8B"/>
    <w:rsid w:val="00EA2A92"/>
    <w:rsid w:val="00EA2D58"/>
    <w:rsid w:val="00EA2ED9"/>
    <w:rsid w:val="00EA312B"/>
    <w:rsid w:val="00EA374C"/>
    <w:rsid w:val="00EA41D7"/>
    <w:rsid w:val="00EA4612"/>
    <w:rsid w:val="00EA4622"/>
    <w:rsid w:val="00EA5263"/>
    <w:rsid w:val="00EA5672"/>
    <w:rsid w:val="00EA56C7"/>
    <w:rsid w:val="00EA6673"/>
    <w:rsid w:val="00EB13EC"/>
    <w:rsid w:val="00EB18B8"/>
    <w:rsid w:val="00EB541C"/>
    <w:rsid w:val="00EB5583"/>
    <w:rsid w:val="00EB5BFB"/>
    <w:rsid w:val="00EB5CED"/>
    <w:rsid w:val="00EB6CA5"/>
    <w:rsid w:val="00EB6D74"/>
    <w:rsid w:val="00EB7310"/>
    <w:rsid w:val="00EB7CF4"/>
    <w:rsid w:val="00EB7D64"/>
    <w:rsid w:val="00EC083E"/>
    <w:rsid w:val="00EC0DFF"/>
    <w:rsid w:val="00EC0EFD"/>
    <w:rsid w:val="00EC1923"/>
    <w:rsid w:val="00EC2BF5"/>
    <w:rsid w:val="00EC45BB"/>
    <w:rsid w:val="00EC5A1B"/>
    <w:rsid w:val="00EC5F89"/>
    <w:rsid w:val="00EC6D75"/>
    <w:rsid w:val="00EC7D02"/>
    <w:rsid w:val="00EC7FA4"/>
    <w:rsid w:val="00ED0A4C"/>
    <w:rsid w:val="00ED12A6"/>
    <w:rsid w:val="00ED1517"/>
    <w:rsid w:val="00ED2507"/>
    <w:rsid w:val="00ED3242"/>
    <w:rsid w:val="00ED3786"/>
    <w:rsid w:val="00ED3A7E"/>
    <w:rsid w:val="00ED43AA"/>
    <w:rsid w:val="00ED4A37"/>
    <w:rsid w:val="00ED5A48"/>
    <w:rsid w:val="00EE0717"/>
    <w:rsid w:val="00EE2004"/>
    <w:rsid w:val="00EE4CDE"/>
    <w:rsid w:val="00EE5968"/>
    <w:rsid w:val="00EE7FAD"/>
    <w:rsid w:val="00EF1084"/>
    <w:rsid w:val="00EF1485"/>
    <w:rsid w:val="00EF16BA"/>
    <w:rsid w:val="00EF3B37"/>
    <w:rsid w:val="00EF4477"/>
    <w:rsid w:val="00EF4D9A"/>
    <w:rsid w:val="00EF5C62"/>
    <w:rsid w:val="00EF74BF"/>
    <w:rsid w:val="00EF795E"/>
    <w:rsid w:val="00F00AC2"/>
    <w:rsid w:val="00F04B7A"/>
    <w:rsid w:val="00F0571E"/>
    <w:rsid w:val="00F05C4E"/>
    <w:rsid w:val="00F061A2"/>
    <w:rsid w:val="00F0724A"/>
    <w:rsid w:val="00F10428"/>
    <w:rsid w:val="00F10565"/>
    <w:rsid w:val="00F111DD"/>
    <w:rsid w:val="00F1131F"/>
    <w:rsid w:val="00F12555"/>
    <w:rsid w:val="00F1298E"/>
    <w:rsid w:val="00F133BA"/>
    <w:rsid w:val="00F139E7"/>
    <w:rsid w:val="00F13D2E"/>
    <w:rsid w:val="00F150CB"/>
    <w:rsid w:val="00F16A0D"/>
    <w:rsid w:val="00F20B0A"/>
    <w:rsid w:val="00F22F84"/>
    <w:rsid w:val="00F2374C"/>
    <w:rsid w:val="00F23C78"/>
    <w:rsid w:val="00F23E5A"/>
    <w:rsid w:val="00F258B1"/>
    <w:rsid w:val="00F258F9"/>
    <w:rsid w:val="00F2773B"/>
    <w:rsid w:val="00F30729"/>
    <w:rsid w:val="00F3078F"/>
    <w:rsid w:val="00F314B2"/>
    <w:rsid w:val="00F31826"/>
    <w:rsid w:val="00F329DB"/>
    <w:rsid w:val="00F32CE5"/>
    <w:rsid w:val="00F336D8"/>
    <w:rsid w:val="00F3524D"/>
    <w:rsid w:val="00F36AD7"/>
    <w:rsid w:val="00F4087F"/>
    <w:rsid w:val="00F40DFB"/>
    <w:rsid w:val="00F415EF"/>
    <w:rsid w:val="00F42E3B"/>
    <w:rsid w:val="00F4576D"/>
    <w:rsid w:val="00F46946"/>
    <w:rsid w:val="00F47C8A"/>
    <w:rsid w:val="00F52BE1"/>
    <w:rsid w:val="00F54F1E"/>
    <w:rsid w:val="00F5683F"/>
    <w:rsid w:val="00F57B29"/>
    <w:rsid w:val="00F60C1A"/>
    <w:rsid w:val="00F60F24"/>
    <w:rsid w:val="00F62FB6"/>
    <w:rsid w:val="00F63B8B"/>
    <w:rsid w:val="00F63F23"/>
    <w:rsid w:val="00F64A56"/>
    <w:rsid w:val="00F64F11"/>
    <w:rsid w:val="00F656D2"/>
    <w:rsid w:val="00F658FC"/>
    <w:rsid w:val="00F66158"/>
    <w:rsid w:val="00F66A56"/>
    <w:rsid w:val="00F674D3"/>
    <w:rsid w:val="00F67EA1"/>
    <w:rsid w:val="00F70EFC"/>
    <w:rsid w:val="00F71FED"/>
    <w:rsid w:val="00F72719"/>
    <w:rsid w:val="00F72DD1"/>
    <w:rsid w:val="00F73004"/>
    <w:rsid w:val="00F73437"/>
    <w:rsid w:val="00F75147"/>
    <w:rsid w:val="00F75933"/>
    <w:rsid w:val="00F75D85"/>
    <w:rsid w:val="00F76518"/>
    <w:rsid w:val="00F775F9"/>
    <w:rsid w:val="00F815D4"/>
    <w:rsid w:val="00F81BC1"/>
    <w:rsid w:val="00F828B2"/>
    <w:rsid w:val="00F85191"/>
    <w:rsid w:val="00F85816"/>
    <w:rsid w:val="00F860AB"/>
    <w:rsid w:val="00F87779"/>
    <w:rsid w:val="00F90D2F"/>
    <w:rsid w:val="00F91282"/>
    <w:rsid w:val="00F929EF"/>
    <w:rsid w:val="00F92D41"/>
    <w:rsid w:val="00F93839"/>
    <w:rsid w:val="00F94A7F"/>
    <w:rsid w:val="00F95CB7"/>
    <w:rsid w:val="00FA05E7"/>
    <w:rsid w:val="00FA1369"/>
    <w:rsid w:val="00FA2E87"/>
    <w:rsid w:val="00FA34EE"/>
    <w:rsid w:val="00FA4A1A"/>
    <w:rsid w:val="00FA4F25"/>
    <w:rsid w:val="00FA7526"/>
    <w:rsid w:val="00FA7912"/>
    <w:rsid w:val="00FA7D2C"/>
    <w:rsid w:val="00FB31E1"/>
    <w:rsid w:val="00FB66D7"/>
    <w:rsid w:val="00FB70CC"/>
    <w:rsid w:val="00FC1947"/>
    <w:rsid w:val="00FC2702"/>
    <w:rsid w:val="00FC29C6"/>
    <w:rsid w:val="00FC4DEE"/>
    <w:rsid w:val="00FD0E9C"/>
    <w:rsid w:val="00FD2CC8"/>
    <w:rsid w:val="00FD2EF2"/>
    <w:rsid w:val="00FD4F23"/>
    <w:rsid w:val="00FD5640"/>
    <w:rsid w:val="00FD65BB"/>
    <w:rsid w:val="00FE0642"/>
    <w:rsid w:val="00FE0E62"/>
    <w:rsid w:val="00FE264C"/>
    <w:rsid w:val="00FE456D"/>
    <w:rsid w:val="00FE4AF4"/>
    <w:rsid w:val="00FE5452"/>
    <w:rsid w:val="00FE5732"/>
    <w:rsid w:val="00FE655C"/>
    <w:rsid w:val="00FE71E4"/>
    <w:rsid w:val="00FF020F"/>
    <w:rsid w:val="00FF1ABB"/>
    <w:rsid w:val="00FF2005"/>
    <w:rsid w:val="00FF203C"/>
    <w:rsid w:val="00FF4B4F"/>
    <w:rsid w:val="00FF5129"/>
    <w:rsid w:val="00FF5A5D"/>
    <w:rsid w:val="00FF6193"/>
    <w:rsid w:val="00FF724E"/>
    <w:rsid w:val="0227BE72"/>
    <w:rsid w:val="0897D2EB"/>
    <w:rsid w:val="097C459F"/>
    <w:rsid w:val="134A62E2"/>
    <w:rsid w:val="13EF34EE"/>
    <w:rsid w:val="14DD6A99"/>
    <w:rsid w:val="1CDDE930"/>
    <w:rsid w:val="204EB841"/>
    <w:rsid w:val="244AB00F"/>
    <w:rsid w:val="254B714E"/>
    <w:rsid w:val="25AE232D"/>
    <w:rsid w:val="25BF7DD8"/>
    <w:rsid w:val="25FB702A"/>
    <w:rsid w:val="26F64964"/>
    <w:rsid w:val="2C43722A"/>
    <w:rsid w:val="2EC51A30"/>
    <w:rsid w:val="379EC267"/>
    <w:rsid w:val="38D6F1A2"/>
    <w:rsid w:val="3C0F9D5F"/>
    <w:rsid w:val="45199841"/>
    <w:rsid w:val="5ADBDA0C"/>
    <w:rsid w:val="5D536810"/>
    <w:rsid w:val="663F8151"/>
    <w:rsid w:val="670B6D5C"/>
    <w:rsid w:val="68F51B69"/>
    <w:rsid w:val="6A640EE8"/>
    <w:rsid w:val="6D0F8E16"/>
    <w:rsid w:val="718021D0"/>
    <w:rsid w:val="733D912F"/>
    <w:rsid w:val="7A3098D0"/>
    <w:rsid w:val="7A73C2E3"/>
    <w:rsid w:val="7B4842F5"/>
    <w:rsid w:val="7BA3604F"/>
  </w:rsids>
  <m:mathPr>
    <m:mathFont m:val="Cambria Math"/>
    <m:brkBin m:val="before"/>
    <m:brkBinSub m:val="--"/>
    <m:smallFrac m:val="0"/>
    <m:dispDef/>
    <m:lMargin m:val="0"/>
    <m:rMargin m:val="0"/>
    <m:defJc m:val="centerGroup"/>
    <m:wrapIndent m:val="1440"/>
    <m:intLim m:val="subSup"/>
    <m:naryLim m:val="undOvr"/>
  </m:mathPr>
  <w:themeFontLang w:val="en-NZ"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C3177"/>
  <w15:chartTrackingRefBased/>
  <w15:docId w15:val="{5D97C32D-DAF2-2E4D-A624-2562D5BEE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ajorEastAsia" w:hAnsiTheme="majorHAnsi" w:cstheme="majorBidi"/>
        <w:sz w:val="22"/>
        <w:szCs w:val="22"/>
        <w:lang w:val="en-NZ" w:eastAsia="en-US" w:bidi="ar-SA"/>
      </w:rPr>
    </w:rPrDefault>
    <w:pPrDefault>
      <w:pPr>
        <w:spacing w:after="200" w:line="25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BD6"/>
  </w:style>
  <w:style w:type="paragraph" w:styleId="Heading1">
    <w:name w:val="heading 1"/>
    <w:basedOn w:val="Normal"/>
    <w:next w:val="Normal"/>
    <w:link w:val="Heading1Char"/>
    <w:uiPriority w:val="9"/>
    <w:qFormat/>
    <w:rsid w:val="00372EE9"/>
    <w:pPr>
      <w:pBdr>
        <w:bottom w:val="thinThickSmallGap" w:sz="12" w:space="1" w:color="3476B1" w:themeColor="accent2" w:themeShade="BF"/>
      </w:pBdr>
      <w:spacing w:before="400"/>
      <w:jc w:val="center"/>
      <w:outlineLvl w:val="0"/>
    </w:pPr>
    <w:rPr>
      <w:caps/>
      <w:color w:val="234F77" w:themeColor="accent2" w:themeShade="80"/>
      <w:spacing w:val="20"/>
      <w:sz w:val="28"/>
      <w:szCs w:val="28"/>
    </w:rPr>
  </w:style>
  <w:style w:type="paragraph" w:styleId="Heading2">
    <w:name w:val="heading 2"/>
    <w:basedOn w:val="Normal"/>
    <w:next w:val="Normal"/>
    <w:link w:val="Heading2Char"/>
    <w:uiPriority w:val="9"/>
    <w:unhideWhenUsed/>
    <w:qFormat/>
    <w:rsid w:val="00372EE9"/>
    <w:pPr>
      <w:pBdr>
        <w:bottom w:val="single" w:sz="4" w:space="1" w:color="224E76" w:themeColor="accent2" w:themeShade="7F"/>
      </w:pBdr>
      <w:spacing w:before="400"/>
      <w:jc w:val="center"/>
      <w:outlineLvl w:val="1"/>
    </w:pPr>
    <w:rPr>
      <w:caps/>
      <w:color w:val="234F77" w:themeColor="accent2" w:themeShade="80"/>
      <w:spacing w:val="15"/>
      <w:sz w:val="24"/>
      <w:szCs w:val="24"/>
    </w:rPr>
  </w:style>
  <w:style w:type="paragraph" w:styleId="Heading3">
    <w:name w:val="heading 3"/>
    <w:basedOn w:val="Normal"/>
    <w:next w:val="Normal"/>
    <w:link w:val="Heading3Char"/>
    <w:uiPriority w:val="9"/>
    <w:unhideWhenUsed/>
    <w:qFormat/>
    <w:rsid w:val="00372EE9"/>
    <w:pPr>
      <w:pBdr>
        <w:top w:val="dotted" w:sz="4" w:space="1" w:color="224E76" w:themeColor="accent2" w:themeShade="7F"/>
        <w:bottom w:val="dotted" w:sz="4" w:space="1" w:color="224E76" w:themeColor="accent2" w:themeShade="7F"/>
      </w:pBdr>
      <w:spacing w:before="300"/>
      <w:jc w:val="center"/>
      <w:outlineLvl w:val="2"/>
    </w:pPr>
    <w:rPr>
      <w:caps/>
      <w:color w:val="224E76" w:themeColor="accent2" w:themeShade="7F"/>
      <w:sz w:val="24"/>
      <w:szCs w:val="24"/>
    </w:rPr>
  </w:style>
  <w:style w:type="paragraph" w:styleId="Heading4">
    <w:name w:val="heading 4"/>
    <w:basedOn w:val="Normal"/>
    <w:next w:val="Normal"/>
    <w:link w:val="Heading4Char"/>
    <w:uiPriority w:val="9"/>
    <w:unhideWhenUsed/>
    <w:qFormat/>
    <w:rsid w:val="00372EE9"/>
    <w:pPr>
      <w:pBdr>
        <w:bottom w:val="dotted" w:sz="4" w:space="1" w:color="3476B1" w:themeColor="accent2" w:themeShade="BF"/>
      </w:pBdr>
      <w:spacing w:after="120"/>
      <w:jc w:val="center"/>
      <w:outlineLvl w:val="3"/>
    </w:pPr>
    <w:rPr>
      <w:caps/>
      <w:color w:val="224E76" w:themeColor="accent2" w:themeShade="7F"/>
      <w:spacing w:val="10"/>
    </w:rPr>
  </w:style>
  <w:style w:type="paragraph" w:styleId="Heading5">
    <w:name w:val="heading 5"/>
    <w:basedOn w:val="Normal"/>
    <w:next w:val="Normal"/>
    <w:link w:val="Heading5Char"/>
    <w:uiPriority w:val="9"/>
    <w:unhideWhenUsed/>
    <w:qFormat/>
    <w:rsid w:val="00372EE9"/>
    <w:pPr>
      <w:spacing w:before="320" w:after="120"/>
      <w:jc w:val="center"/>
      <w:outlineLvl w:val="4"/>
    </w:pPr>
    <w:rPr>
      <w:caps/>
      <w:color w:val="224E76" w:themeColor="accent2" w:themeShade="7F"/>
      <w:spacing w:val="10"/>
    </w:rPr>
  </w:style>
  <w:style w:type="paragraph" w:styleId="Heading6">
    <w:name w:val="heading 6"/>
    <w:basedOn w:val="Normal"/>
    <w:next w:val="Normal"/>
    <w:link w:val="Heading6Char"/>
    <w:uiPriority w:val="9"/>
    <w:semiHidden/>
    <w:unhideWhenUsed/>
    <w:qFormat/>
    <w:rsid w:val="00372EE9"/>
    <w:pPr>
      <w:spacing w:after="120"/>
      <w:jc w:val="center"/>
      <w:outlineLvl w:val="5"/>
    </w:pPr>
    <w:rPr>
      <w:caps/>
      <w:color w:val="3476B1" w:themeColor="accent2" w:themeShade="BF"/>
      <w:spacing w:val="10"/>
    </w:rPr>
  </w:style>
  <w:style w:type="paragraph" w:styleId="Heading7">
    <w:name w:val="heading 7"/>
    <w:basedOn w:val="Normal"/>
    <w:next w:val="Normal"/>
    <w:link w:val="Heading7Char"/>
    <w:uiPriority w:val="9"/>
    <w:semiHidden/>
    <w:unhideWhenUsed/>
    <w:qFormat/>
    <w:rsid w:val="00372EE9"/>
    <w:pPr>
      <w:spacing w:after="120"/>
      <w:jc w:val="center"/>
      <w:outlineLvl w:val="6"/>
    </w:pPr>
    <w:rPr>
      <w:i/>
      <w:iCs/>
      <w:caps/>
      <w:color w:val="3476B1" w:themeColor="accent2" w:themeShade="BF"/>
      <w:spacing w:val="10"/>
    </w:rPr>
  </w:style>
  <w:style w:type="paragraph" w:styleId="Heading8">
    <w:name w:val="heading 8"/>
    <w:basedOn w:val="Normal"/>
    <w:next w:val="Normal"/>
    <w:link w:val="Heading8Char"/>
    <w:uiPriority w:val="9"/>
    <w:semiHidden/>
    <w:unhideWhenUsed/>
    <w:qFormat/>
    <w:rsid w:val="00372EE9"/>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372EE9"/>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2EE9"/>
    <w:rPr>
      <w:caps/>
      <w:color w:val="234F77" w:themeColor="accent2" w:themeShade="80"/>
      <w:spacing w:val="20"/>
      <w:sz w:val="28"/>
      <w:szCs w:val="28"/>
    </w:rPr>
  </w:style>
  <w:style w:type="character" w:customStyle="1" w:styleId="Heading2Char">
    <w:name w:val="Heading 2 Char"/>
    <w:basedOn w:val="DefaultParagraphFont"/>
    <w:link w:val="Heading2"/>
    <w:uiPriority w:val="9"/>
    <w:rsid w:val="00372EE9"/>
    <w:rPr>
      <w:caps/>
      <w:color w:val="234F77" w:themeColor="accent2" w:themeShade="80"/>
      <w:spacing w:val="15"/>
      <w:sz w:val="24"/>
      <w:szCs w:val="24"/>
    </w:rPr>
  </w:style>
  <w:style w:type="character" w:customStyle="1" w:styleId="Heading3Char">
    <w:name w:val="Heading 3 Char"/>
    <w:basedOn w:val="DefaultParagraphFont"/>
    <w:link w:val="Heading3"/>
    <w:uiPriority w:val="9"/>
    <w:rsid w:val="00372EE9"/>
    <w:rPr>
      <w:caps/>
      <w:color w:val="224E76" w:themeColor="accent2" w:themeShade="7F"/>
      <w:sz w:val="24"/>
      <w:szCs w:val="24"/>
    </w:rPr>
  </w:style>
  <w:style w:type="character" w:customStyle="1" w:styleId="Heading4Char">
    <w:name w:val="Heading 4 Char"/>
    <w:basedOn w:val="DefaultParagraphFont"/>
    <w:link w:val="Heading4"/>
    <w:uiPriority w:val="9"/>
    <w:rsid w:val="00372EE9"/>
    <w:rPr>
      <w:caps/>
      <w:color w:val="224E76" w:themeColor="accent2" w:themeShade="7F"/>
      <w:spacing w:val="10"/>
    </w:rPr>
  </w:style>
  <w:style w:type="character" w:customStyle="1" w:styleId="Heading5Char">
    <w:name w:val="Heading 5 Char"/>
    <w:basedOn w:val="DefaultParagraphFont"/>
    <w:link w:val="Heading5"/>
    <w:uiPriority w:val="9"/>
    <w:rsid w:val="00372EE9"/>
    <w:rPr>
      <w:caps/>
      <w:color w:val="224E76" w:themeColor="accent2" w:themeShade="7F"/>
      <w:spacing w:val="10"/>
    </w:rPr>
  </w:style>
  <w:style w:type="character" w:customStyle="1" w:styleId="Heading6Char">
    <w:name w:val="Heading 6 Char"/>
    <w:basedOn w:val="DefaultParagraphFont"/>
    <w:link w:val="Heading6"/>
    <w:uiPriority w:val="9"/>
    <w:semiHidden/>
    <w:rsid w:val="00372EE9"/>
    <w:rPr>
      <w:caps/>
      <w:color w:val="3476B1" w:themeColor="accent2" w:themeShade="BF"/>
      <w:spacing w:val="10"/>
    </w:rPr>
  </w:style>
  <w:style w:type="character" w:customStyle="1" w:styleId="Heading7Char">
    <w:name w:val="Heading 7 Char"/>
    <w:basedOn w:val="DefaultParagraphFont"/>
    <w:link w:val="Heading7"/>
    <w:uiPriority w:val="9"/>
    <w:semiHidden/>
    <w:rsid w:val="00372EE9"/>
    <w:rPr>
      <w:i/>
      <w:iCs/>
      <w:caps/>
      <w:color w:val="3476B1" w:themeColor="accent2" w:themeShade="BF"/>
      <w:spacing w:val="10"/>
    </w:rPr>
  </w:style>
  <w:style w:type="character" w:customStyle="1" w:styleId="Heading8Char">
    <w:name w:val="Heading 8 Char"/>
    <w:basedOn w:val="DefaultParagraphFont"/>
    <w:link w:val="Heading8"/>
    <w:uiPriority w:val="9"/>
    <w:semiHidden/>
    <w:rsid w:val="00372EE9"/>
    <w:rPr>
      <w:caps/>
      <w:spacing w:val="10"/>
      <w:sz w:val="20"/>
      <w:szCs w:val="20"/>
    </w:rPr>
  </w:style>
  <w:style w:type="character" w:customStyle="1" w:styleId="Heading9Char">
    <w:name w:val="Heading 9 Char"/>
    <w:basedOn w:val="DefaultParagraphFont"/>
    <w:link w:val="Heading9"/>
    <w:uiPriority w:val="9"/>
    <w:semiHidden/>
    <w:rsid w:val="00372EE9"/>
    <w:rPr>
      <w:i/>
      <w:iCs/>
      <w:caps/>
      <w:spacing w:val="10"/>
      <w:sz w:val="20"/>
      <w:szCs w:val="20"/>
    </w:rPr>
  </w:style>
  <w:style w:type="paragraph" w:styleId="Caption">
    <w:name w:val="caption"/>
    <w:basedOn w:val="Normal"/>
    <w:next w:val="Normal"/>
    <w:uiPriority w:val="35"/>
    <w:unhideWhenUsed/>
    <w:qFormat/>
    <w:rsid w:val="00372EE9"/>
    <w:rPr>
      <w:caps/>
      <w:spacing w:val="10"/>
      <w:sz w:val="18"/>
      <w:szCs w:val="18"/>
    </w:rPr>
  </w:style>
  <w:style w:type="paragraph" w:styleId="Title">
    <w:name w:val="Title"/>
    <w:basedOn w:val="Normal"/>
    <w:next w:val="Normal"/>
    <w:link w:val="TitleChar"/>
    <w:uiPriority w:val="10"/>
    <w:qFormat/>
    <w:rsid w:val="00372EE9"/>
    <w:pPr>
      <w:pBdr>
        <w:top w:val="dotted" w:sz="2" w:space="1" w:color="234F77" w:themeColor="accent2" w:themeShade="80"/>
        <w:bottom w:val="dotted" w:sz="2" w:space="6" w:color="234F77" w:themeColor="accent2" w:themeShade="80"/>
      </w:pBdr>
      <w:spacing w:before="500" w:after="300" w:line="240" w:lineRule="auto"/>
      <w:jc w:val="center"/>
    </w:pPr>
    <w:rPr>
      <w:caps/>
      <w:color w:val="234F77" w:themeColor="accent2" w:themeShade="80"/>
      <w:spacing w:val="50"/>
      <w:sz w:val="44"/>
      <w:szCs w:val="44"/>
    </w:rPr>
  </w:style>
  <w:style w:type="character" w:customStyle="1" w:styleId="TitleChar">
    <w:name w:val="Title Char"/>
    <w:basedOn w:val="DefaultParagraphFont"/>
    <w:link w:val="Title"/>
    <w:uiPriority w:val="10"/>
    <w:rsid w:val="00372EE9"/>
    <w:rPr>
      <w:caps/>
      <w:color w:val="234F77" w:themeColor="accent2" w:themeShade="80"/>
      <w:spacing w:val="50"/>
      <w:sz w:val="44"/>
      <w:szCs w:val="44"/>
    </w:rPr>
  </w:style>
  <w:style w:type="paragraph" w:styleId="Subtitle">
    <w:name w:val="Subtitle"/>
    <w:basedOn w:val="Normal"/>
    <w:next w:val="Normal"/>
    <w:link w:val="SubtitleChar"/>
    <w:uiPriority w:val="11"/>
    <w:qFormat/>
    <w:rsid w:val="00372EE9"/>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372EE9"/>
    <w:rPr>
      <w:caps/>
      <w:spacing w:val="20"/>
      <w:sz w:val="18"/>
      <w:szCs w:val="18"/>
    </w:rPr>
  </w:style>
  <w:style w:type="character" w:styleId="Strong">
    <w:name w:val="Strong"/>
    <w:uiPriority w:val="22"/>
    <w:qFormat/>
    <w:rsid w:val="00372EE9"/>
    <w:rPr>
      <w:b/>
      <w:bCs/>
      <w:color w:val="3476B1" w:themeColor="accent2" w:themeShade="BF"/>
      <w:spacing w:val="5"/>
    </w:rPr>
  </w:style>
  <w:style w:type="character" w:styleId="Emphasis">
    <w:name w:val="Emphasis"/>
    <w:uiPriority w:val="20"/>
    <w:qFormat/>
    <w:rsid w:val="00372EE9"/>
    <w:rPr>
      <w:caps/>
      <w:spacing w:val="5"/>
      <w:sz w:val="20"/>
      <w:szCs w:val="20"/>
    </w:rPr>
  </w:style>
  <w:style w:type="paragraph" w:styleId="NoSpacing">
    <w:name w:val="No Spacing"/>
    <w:basedOn w:val="Normal"/>
    <w:link w:val="NoSpacingChar"/>
    <w:uiPriority w:val="1"/>
    <w:qFormat/>
    <w:rsid w:val="00372EE9"/>
    <w:pPr>
      <w:spacing w:after="0" w:line="240" w:lineRule="auto"/>
    </w:pPr>
  </w:style>
  <w:style w:type="paragraph" w:styleId="ListParagraph">
    <w:name w:val="List Paragraph"/>
    <w:basedOn w:val="Normal"/>
    <w:uiPriority w:val="34"/>
    <w:qFormat/>
    <w:rsid w:val="00372EE9"/>
    <w:pPr>
      <w:ind w:left="720"/>
      <w:contextualSpacing/>
    </w:pPr>
  </w:style>
  <w:style w:type="paragraph" w:styleId="Quote">
    <w:name w:val="Quote"/>
    <w:basedOn w:val="Normal"/>
    <w:next w:val="Normal"/>
    <w:link w:val="QuoteChar"/>
    <w:uiPriority w:val="29"/>
    <w:qFormat/>
    <w:rsid w:val="00372EE9"/>
    <w:rPr>
      <w:i/>
      <w:iCs/>
    </w:rPr>
  </w:style>
  <w:style w:type="character" w:customStyle="1" w:styleId="QuoteChar">
    <w:name w:val="Quote Char"/>
    <w:basedOn w:val="DefaultParagraphFont"/>
    <w:link w:val="Quote"/>
    <w:uiPriority w:val="29"/>
    <w:rsid w:val="00372EE9"/>
    <w:rPr>
      <w:i/>
      <w:iCs/>
    </w:rPr>
  </w:style>
  <w:style w:type="paragraph" w:styleId="IntenseQuote">
    <w:name w:val="Intense Quote"/>
    <w:basedOn w:val="Normal"/>
    <w:next w:val="Normal"/>
    <w:link w:val="IntenseQuoteChar"/>
    <w:uiPriority w:val="30"/>
    <w:qFormat/>
    <w:rsid w:val="00372EE9"/>
    <w:pPr>
      <w:pBdr>
        <w:top w:val="dotted" w:sz="2" w:space="10" w:color="234F77" w:themeColor="accent2" w:themeShade="80"/>
        <w:bottom w:val="dotted" w:sz="2" w:space="4" w:color="234F77" w:themeColor="accent2" w:themeShade="80"/>
      </w:pBdr>
      <w:spacing w:before="160" w:line="300" w:lineRule="auto"/>
      <w:ind w:left="1440" w:right="1440"/>
    </w:pPr>
    <w:rPr>
      <w:caps/>
      <w:color w:val="224E76" w:themeColor="accent2" w:themeShade="7F"/>
      <w:spacing w:val="5"/>
      <w:sz w:val="20"/>
      <w:szCs w:val="20"/>
    </w:rPr>
  </w:style>
  <w:style w:type="character" w:customStyle="1" w:styleId="IntenseQuoteChar">
    <w:name w:val="Intense Quote Char"/>
    <w:basedOn w:val="DefaultParagraphFont"/>
    <w:link w:val="IntenseQuote"/>
    <w:uiPriority w:val="30"/>
    <w:rsid w:val="00372EE9"/>
    <w:rPr>
      <w:caps/>
      <w:color w:val="224E76" w:themeColor="accent2" w:themeShade="7F"/>
      <w:spacing w:val="5"/>
      <w:sz w:val="20"/>
      <w:szCs w:val="20"/>
    </w:rPr>
  </w:style>
  <w:style w:type="character" w:styleId="SubtleEmphasis">
    <w:name w:val="Subtle Emphasis"/>
    <w:uiPriority w:val="19"/>
    <w:qFormat/>
    <w:rsid w:val="00372EE9"/>
    <w:rPr>
      <w:i/>
      <w:iCs/>
    </w:rPr>
  </w:style>
  <w:style w:type="character" w:styleId="IntenseEmphasis">
    <w:name w:val="Intense Emphasis"/>
    <w:uiPriority w:val="21"/>
    <w:qFormat/>
    <w:rsid w:val="00372EE9"/>
    <w:rPr>
      <w:i/>
      <w:iCs/>
      <w:caps/>
      <w:spacing w:val="10"/>
      <w:sz w:val="20"/>
      <w:szCs w:val="20"/>
    </w:rPr>
  </w:style>
  <w:style w:type="character" w:styleId="SubtleReference">
    <w:name w:val="Subtle Reference"/>
    <w:basedOn w:val="DefaultParagraphFont"/>
    <w:uiPriority w:val="31"/>
    <w:qFormat/>
    <w:rsid w:val="00372EE9"/>
    <w:rPr>
      <w:rFonts w:asciiTheme="minorHAnsi" w:eastAsiaTheme="minorEastAsia" w:hAnsiTheme="minorHAnsi" w:cstheme="minorBidi"/>
      <w:i/>
      <w:iCs/>
      <w:color w:val="224E76" w:themeColor="accent2" w:themeShade="7F"/>
    </w:rPr>
  </w:style>
  <w:style w:type="character" w:styleId="IntenseReference">
    <w:name w:val="Intense Reference"/>
    <w:uiPriority w:val="32"/>
    <w:qFormat/>
    <w:rsid w:val="00372EE9"/>
    <w:rPr>
      <w:rFonts w:asciiTheme="minorHAnsi" w:eastAsiaTheme="minorEastAsia" w:hAnsiTheme="minorHAnsi" w:cstheme="minorBidi"/>
      <w:b/>
      <w:bCs/>
      <w:i/>
      <w:iCs/>
      <w:color w:val="224E76" w:themeColor="accent2" w:themeShade="7F"/>
    </w:rPr>
  </w:style>
  <w:style w:type="character" w:styleId="BookTitle">
    <w:name w:val="Book Title"/>
    <w:uiPriority w:val="33"/>
    <w:qFormat/>
    <w:rsid w:val="00372EE9"/>
    <w:rPr>
      <w:caps/>
      <w:color w:val="224E76" w:themeColor="accent2" w:themeShade="7F"/>
      <w:spacing w:val="5"/>
      <w:u w:color="224E76" w:themeColor="accent2" w:themeShade="7F"/>
    </w:rPr>
  </w:style>
  <w:style w:type="paragraph" w:styleId="TOCHeading">
    <w:name w:val="TOC Heading"/>
    <w:basedOn w:val="Heading1"/>
    <w:next w:val="Normal"/>
    <w:uiPriority w:val="39"/>
    <w:unhideWhenUsed/>
    <w:qFormat/>
    <w:rsid w:val="00372EE9"/>
    <w:pPr>
      <w:outlineLvl w:val="9"/>
    </w:pPr>
  </w:style>
  <w:style w:type="character" w:customStyle="1" w:styleId="NoSpacingChar">
    <w:name w:val="No Spacing Char"/>
    <w:basedOn w:val="DefaultParagraphFont"/>
    <w:link w:val="NoSpacing"/>
    <w:uiPriority w:val="1"/>
    <w:rsid w:val="00372EE9"/>
  </w:style>
  <w:style w:type="paragraph" w:styleId="TOC2">
    <w:name w:val="toc 2"/>
    <w:basedOn w:val="Normal"/>
    <w:next w:val="Normal"/>
    <w:autoRedefine/>
    <w:uiPriority w:val="39"/>
    <w:unhideWhenUsed/>
    <w:rsid w:val="00F47C8A"/>
    <w:pPr>
      <w:spacing w:after="0"/>
      <w:ind w:left="220"/>
    </w:pPr>
    <w:rPr>
      <w:rFonts w:asciiTheme="minorHAnsi" w:hAnsiTheme="minorHAnsi" w:cstheme="minorHAnsi"/>
      <w:smallCaps/>
      <w:sz w:val="20"/>
      <w:szCs w:val="20"/>
    </w:rPr>
  </w:style>
  <w:style w:type="paragraph" w:styleId="TOC1">
    <w:name w:val="toc 1"/>
    <w:basedOn w:val="Normal"/>
    <w:next w:val="Normal"/>
    <w:autoRedefine/>
    <w:uiPriority w:val="39"/>
    <w:unhideWhenUsed/>
    <w:rsid w:val="00F47C8A"/>
    <w:pPr>
      <w:spacing w:before="120" w:after="120"/>
    </w:pPr>
    <w:rPr>
      <w:rFonts w:asciiTheme="minorHAnsi" w:hAnsiTheme="minorHAnsi" w:cstheme="minorHAnsi"/>
      <w:b/>
      <w:bCs/>
      <w:caps/>
      <w:sz w:val="20"/>
      <w:szCs w:val="20"/>
    </w:rPr>
  </w:style>
  <w:style w:type="paragraph" w:styleId="TOC3">
    <w:name w:val="toc 3"/>
    <w:basedOn w:val="Normal"/>
    <w:next w:val="Normal"/>
    <w:autoRedefine/>
    <w:uiPriority w:val="39"/>
    <w:unhideWhenUsed/>
    <w:rsid w:val="00F47C8A"/>
    <w:pPr>
      <w:spacing w:after="0"/>
      <w:ind w:left="440"/>
    </w:pPr>
    <w:rPr>
      <w:rFonts w:asciiTheme="minorHAnsi" w:hAnsiTheme="minorHAnsi" w:cstheme="minorHAnsi"/>
      <w:i/>
      <w:iCs/>
      <w:sz w:val="20"/>
      <w:szCs w:val="20"/>
    </w:rPr>
  </w:style>
  <w:style w:type="paragraph" w:styleId="TOC4">
    <w:name w:val="toc 4"/>
    <w:basedOn w:val="Normal"/>
    <w:next w:val="Normal"/>
    <w:autoRedefine/>
    <w:uiPriority w:val="39"/>
    <w:semiHidden/>
    <w:unhideWhenUsed/>
    <w:rsid w:val="00F47C8A"/>
    <w:pPr>
      <w:spacing w:after="0"/>
      <w:ind w:left="660"/>
    </w:pPr>
    <w:rPr>
      <w:rFonts w:asciiTheme="minorHAnsi" w:hAnsiTheme="minorHAnsi" w:cstheme="minorHAnsi"/>
      <w:sz w:val="18"/>
      <w:szCs w:val="18"/>
    </w:rPr>
  </w:style>
  <w:style w:type="paragraph" w:styleId="TOC5">
    <w:name w:val="toc 5"/>
    <w:basedOn w:val="Normal"/>
    <w:next w:val="Normal"/>
    <w:autoRedefine/>
    <w:uiPriority w:val="39"/>
    <w:semiHidden/>
    <w:unhideWhenUsed/>
    <w:rsid w:val="00F47C8A"/>
    <w:pPr>
      <w:spacing w:after="0"/>
      <w:ind w:left="880"/>
    </w:pPr>
    <w:rPr>
      <w:rFonts w:asciiTheme="minorHAnsi" w:hAnsiTheme="minorHAnsi" w:cstheme="minorHAnsi"/>
      <w:sz w:val="18"/>
      <w:szCs w:val="18"/>
    </w:rPr>
  </w:style>
  <w:style w:type="paragraph" w:styleId="TOC6">
    <w:name w:val="toc 6"/>
    <w:basedOn w:val="Normal"/>
    <w:next w:val="Normal"/>
    <w:autoRedefine/>
    <w:uiPriority w:val="39"/>
    <w:semiHidden/>
    <w:unhideWhenUsed/>
    <w:rsid w:val="00F47C8A"/>
    <w:pPr>
      <w:spacing w:after="0"/>
      <w:ind w:left="1100"/>
    </w:pPr>
    <w:rPr>
      <w:rFonts w:asciiTheme="minorHAnsi" w:hAnsiTheme="minorHAnsi" w:cstheme="minorHAnsi"/>
      <w:sz w:val="18"/>
      <w:szCs w:val="18"/>
    </w:rPr>
  </w:style>
  <w:style w:type="paragraph" w:styleId="TOC7">
    <w:name w:val="toc 7"/>
    <w:basedOn w:val="Normal"/>
    <w:next w:val="Normal"/>
    <w:autoRedefine/>
    <w:uiPriority w:val="39"/>
    <w:semiHidden/>
    <w:unhideWhenUsed/>
    <w:rsid w:val="00F47C8A"/>
    <w:pPr>
      <w:spacing w:after="0"/>
      <w:ind w:left="1320"/>
    </w:pPr>
    <w:rPr>
      <w:rFonts w:asciiTheme="minorHAnsi" w:hAnsiTheme="minorHAnsi" w:cstheme="minorHAnsi"/>
      <w:sz w:val="18"/>
      <w:szCs w:val="18"/>
    </w:rPr>
  </w:style>
  <w:style w:type="paragraph" w:styleId="TOC8">
    <w:name w:val="toc 8"/>
    <w:basedOn w:val="Normal"/>
    <w:next w:val="Normal"/>
    <w:autoRedefine/>
    <w:uiPriority w:val="39"/>
    <w:semiHidden/>
    <w:unhideWhenUsed/>
    <w:rsid w:val="00F47C8A"/>
    <w:pPr>
      <w:spacing w:after="0"/>
      <w:ind w:left="1540"/>
    </w:pPr>
    <w:rPr>
      <w:rFonts w:asciiTheme="minorHAnsi" w:hAnsiTheme="minorHAnsi" w:cstheme="minorHAnsi"/>
      <w:sz w:val="18"/>
      <w:szCs w:val="18"/>
    </w:rPr>
  </w:style>
  <w:style w:type="paragraph" w:styleId="TOC9">
    <w:name w:val="toc 9"/>
    <w:basedOn w:val="Normal"/>
    <w:next w:val="Normal"/>
    <w:autoRedefine/>
    <w:uiPriority w:val="39"/>
    <w:semiHidden/>
    <w:unhideWhenUsed/>
    <w:rsid w:val="00F47C8A"/>
    <w:pPr>
      <w:spacing w:after="0"/>
      <w:ind w:left="1760"/>
    </w:pPr>
    <w:rPr>
      <w:rFonts w:asciiTheme="minorHAnsi" w:hAnsiTheme="minorHAnsi" w:cstheme="minorHAnsi"/>
      <w:sz w:val="18"/>
      <w:szCs w:val="18"/>
    </w:rPr>
  </w:style>
  <w:style w:type="character" w:styleId="Hyperlink">
    <w:name w:val="Hyperlink"/>
    <w:basedOn w:val="DefaultParagraphFont"/>
    <w:uiPriority w:val="99"/>
    <w:unhideWhenUsed/>
    <w:rsid w:val="00B54AD7"/>
    <w:rPr>
      <w:color w:val="9454C3" w:themeColor="hyperlink"/>
      <w:u w:val="single"/>
    </w:rPr>
  </w:style>
  <w:style w:type="character" w:styleId="CommentReference">
    <w:name w:val="annotation reference"/>
    <w:basedOn w:val="DefaultParagraphFont"/>
    <w:uiPriority w:val="99"/>
    <w:semiHidden/>
    <w:unhideWhenUsed/>
    <w:rsid w:val="00AF4D76"/>
    <w:rPr>
      <w:sz w:val="16"/>
      <w:szCs w:val="16"/>
    </w:rPr>
  </w:style>
  <w:style w:type="paragraph" w:styleId="CommentText">
    <w:name w:val="annotation text"/>
    <w:basedOn w:val="Normal"/>
    <w:link w:val="CommentTextChar"/>
    <w:uiPriority w:val="99"/>
    <w:unhideWhenUsed/>
    <w:rsid w:val="00AF4D76"/>
    <w:pPr>
      <w:spacing w:line="240" w:lineRule="auto"/>
    </w:pPr>
    <w:rPr>
      <w:sz w:val="20"/>
      <w:szCs w:val="20"/>
    </w:rPr>
  </w:style>
  <w:style w:type="character" w:customStyle="1" w:styleId="CommentTextChar">
    <w:name w:val="Comment Text Char"/>
    <w:basedOn w:val="DefaultParagraphFont"/>
    <w:link w:val="CommentText"/>
    <w:uiPriority w:val="99"/>
    <w:rsid w:val="00AF4D76"/>
    <w:rPr>
      <w:sz w:val="20"/>
      <w:szCs w:val="20"/>
    </w:rPr>
  </w:style>
  <w:style w:type="paragraph" w:styleId="CommentSubject">
    <w:name w:val="annotation subject"/>
    <w:basedOn w:val="CommentText"/>
    <w:next w:val="CommentText"/>
    <w:link w:val="CommentSubjectChar"/>
    <w:uiPriority w:val="99"/>
    <w:semiHidden/>
    <w:unhideWhenUsed/>
    <w:rsid w:val="00AF4D76"/>
    <w:rPr>
      <w:b/>
      <w:bCs/>
    </w:rPr>
  </w:style>
  <w:style w:type="character" w:customStyle="1" w:styleId="CommentSubjectChar">
    <w:name w:val="Comment Subject Char"/>
    <w:basedOn w:val="CommentTextChar"/>
    <w:link w:val="CommentSubject"/>
    <w:uiPriority w:val="99"/>
    <w:semiHidden/>
    <w:rsid w:val="00AF4D76"/>
    <w:rPr>
      <w:b/>
      <w:bCs/>
      <w:sz w:val="20"/>
      <w:szCs w:val="20"/>
    </w:rPr>
  </w:style>
  <w:style w:type="character" w:styleId="UnresolvedMention">
    <w:name w:val="Unresolved Mention"/>
    <w:basedOn w:val="DefaultParagraphFont"/>
    <w:uiPriority w:val="99"/>
    <w:semiHidden/>
    <w:unhideWhenUsed/>
    <w:rsid w:val="002D450C"/>
    <w:rPr>
      <w:color w:val="605E5C"/>
      <w:shd w:val="clear" w:color="auto" w:fill="E1DFDD"/>
    </w:rPr>
  </w:style>
  <w:style w:type="paragraph" w:styleId="NormalWeb">
    <w:name w:val="Normal (Web)"/>
    <w:basedOn w:val="Normal"/>
    <w:uiPriority w:val="99"/>
    <w:unhideWhenUsed/>
    <w:rsid w:val="008249E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6702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02C8"/>
  </w:style>
  <w:style w:type="character" w:styleId="PageNumber">
    <w:name w:val="page number"/>
    <w:basedOn w:val="DefaultParagraphFont"/>
    <w:uiPriority w:val="99"/>
    <w:semiHidden/>
    <w:unhideWhenUsed/>
    <w:rsid w:val="006702C8"/>
  </w:style>
  <w:style w:type="paragraph" w:styleId="Revision">
    <w:name w:val="Revision"/>
    <w:hidden/>
    <w:uiPriority w:val="99"/>
    <w:semiHidden/>
    <w:rsid w:val="00AB751C"/>
    <w:pPr>
      <w:spacing w:after="0" w:line="240" w:lineRule="auto"/>
    </w:pPr>
  </w:style>
  <w:style w:type="table" w:styleId="TableGrid">
    <w:name w:val="Table Grid"/>
    <w:basedOn w:val="TableNormal"/>
    <w:uiPriority w:val="39"/>
    <w:rsid w:val="00AA7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19301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19301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1">
    <w:name w:val="Grid Table 3 Accent 1"/>
    <w:basedOn w:val="TableNormal"/>
    <w:uiPriority w:val="48"/>
    <w:rsid w:val="00193014"/>
    <w:pPr>
      <w:spacing w:after="0" w:line="240" w:lineRule="auto"/>
    </w:pPr>
    <w:tblPr>
      <w:tblStyleRowBandSize w:val="1"/>
      <w:tblStyleColBandSize w:val="1"/>
      <w:tblBorders>
        <w:top w:val="single" w:sz="4" w:space="0" w:color="90A1CF" w:themeColor="accent1" w:themeTint="99"/>
        <w:left w:val="single" w:sz="4" w:space="0" w:color="90A1CF" w:themeColor="accent1" w:themeTint="99"/>
        <w:bottom w:val="single" w:sz="4" w:space="0" w:color="90A1CF" w:themeColor="accent1" w:themeTint="99"/>
        <w:right w:val="single" w:sz="4" w:space="0" w:color="90A1CF" w:themeColor="accent1" w:themeTint="99"/>
        <w:insideH w:val="single" w:sz="4" w:space="0" w:color="90A1CF" w:themeColor="accent1" w:themeTint="99"/>
        <w:insideV w:val="single" w:sz="4" w:space="0" w:color="90A1CF"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DFEF" w:themeFill="accent1" w:themeFillTint="33"/>
      </w:tcPr>
    </w:tblStylePr>
    <w:tblStylePr w:type="band1Horz">
      <w:tblPr/>
      <w:tcPr>
        <w:shd w:val="clear" w:color="auto" w:fill="D9DFEF" w:themeFill="accent1" w:themeFillTint="33"/>
      </w:tcPr>
    </w:tblStylePr>
    <w:tblStylePr w:type="neCell">
      <w:tblPr/>
      <w:tcPr>
        <w:tcBorders>
          <w:bottom w:val="single" w:sz="4" w:space="0" w:color="90A1CF" w:themeColor="accent1" w:themeTint="99"/>
        </w:tcBorders>
      </w:tcPr>
    </w:tblStylePr>
    <w:tblStylePr w:type="nwCell">
      <w:tblPr/>
      <w:tcPr>
        <w:tcBorders>
          <w:bottom w:val="single" w:sz="4" w:space="0" w:color="90A1CF" w:themeColor="accent1" w:themeTint="99"/>
        </w:tcBorders>
      </w:tcPr>
    </w:tblStylePr>
    <w:tblStylePr w:type="seCell">
      <w:tblPr/>
      <w:tcPr>
        <w:tcBorders>
          <w:top w:val="single" w:sz="4" w:space="0" w:color="90A1CF" w:themeColor="accent1" w:themeTint="99"/>
        </w:tcBorders>
      </w:tcPr>
    </w:tblStylePr>
    <w:tblStylePr w:type="swCell">
      <w:tblPr/>
      <w:tcPr>
        <w:tcBorders>
          <w:top w:val="single" w:sz="4" w:space="0" w:color="90A1CF" w:themeColor="accent1" w:themeTint="99"/>
        </w:tcBorders>
      </w:tcPr>
    </w:tblStylePr>
  </w:style>
  <w:style w:type="table" w:styleId="GridTable3">
    <w:name w:val="Grid Table 3"/>
    <w:basedOn w:val="TableNormal"/>
    <w:uiPriority w:val="48"/>
    <w:rsid w:val="00AC049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4">
    <w:name w:val="Grid Table 3 Accent 4"/>
    <w:basedOn w:val="TableNormal"/>
    <w:uiPriority w:val="48"/>
    <w:rsid w:val="00AC0497"/>
    <w:pPr>
      <w:spacing w:after="0" w:line="240" w:lineRule="auto"/>
    </w:pPr>
    <w:tblPr>
      <w:tblStyleRowBandSize w:val="1"/>
      <w:tblStyleColBandSize w:val="1"/>
      <w:tblBorders>
        <w:top w:val="single" w:sz="4" w:space="0" w:color="B2BBCB" w:themeColor="accent4" w:themeTint="99"/>
        <w:left w:val="single" w:sz="4" w:space="0" w:color="B2BBCB" w:themeColor="accent4" w:themeTint="99"/>
        <w:bottom w:val="single" w:sz="4" w:space="0" w:color="B2BBCB" w:themeColor="accent4" w:themeTint="99"/>
        <w:right w:val="single" w:sz="4" w:space="0" w:color="B2BBCB" w:themeColor="accent4" w:themeTint="99"/>
        <w:insideH w:val="single" w:sz="4" w:space="0" w:color="B2BBCB" w:themeColor="accent4" w:themeTint="99"/>
        <w:insideV w:val="single" w:sz="4" w:space="0" w:color="B2BBCB"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8ED" w:themeFill="accent4" w:themeFillTint="33"/>
      </w:tcPr>
    </w:tblStylePr>
    <w:tblStylePr w:type="band1Horz">
      <w:tblPr/>
      <w:tcPr>
        <w:shd w:val="clear" w:color="auto" w:fill="E5E8ED" w:themeFill="accent4" w:themeFillTint="33"/>
      </w:tcPr>
    </w:tblStylePr>
    <w:tblStylePr w:type="neCell">
      <w:tblPr/>
      <w:tcPr>
        <w:tcBorders>
          <w:bottom w:val="single" w:sz="4" w:space="0" w:color="B2BBCB" w:themeColor="accent4" w:themeTint="99"/>
        </w:tcBorders>
      </w:tcPr>
    </w:tblStylePr>
    <w:tblStylePr w:type="nwCell">
      <w:tblPr/>
      <w:tcPr>
        <w:tcBorders>
          <w:bottom w:val="single" w:sz="4" w:space="0" w:color="B2BBCB" w:themeColor="accent4" w:themeTint="99"/>
        </w:tcBorders>
      </w:tcPr>
    </w:tblStylePr>
    <w:tblStylePr w:type="seCell">
      <w:tblPr/>
      <w:tcPr>
        <w:tcBorders>
          <w:top w:val="single" w:sz="4" w:space="0" w:color="B2BBCB" w:themeColor="accent4" w:themeTint="99"/>
        </w:tcBorders>
      </w:tcPr>
    </w:tblStylePr>
    <w:tblStylePr w:type="swCell">
      <w:tblPr/>
      <w:tcPr>
        <w:tcBorders>
          <w:top w:val="single" w:sz="4" w:space="0" w:color="B2BBCB" w:themeColor="accent4" w:themeTint="99"/>
        </w:tcBorders>
      </w:tcPr>
    </w:tblStylePr>
  </w:style>
  <w:style w:type="paragraph" w:styleId="Header">
    <w:name w:val="header"/>
    <w:basedOn w:val="Normal"/>
    <w:link w:val="HeaderChar"/>
    <w:uiPriority w:val="99"/>
    <w:semiHidden/>
    <w:unhideWhenUsed/>
    <w:rsid w:val="00B9671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96715"/>
  </w:style>
  <w:style w:type="table" w:styleId="GridTable3-Accent2">
    <w:name w:val="Grid Table 3 Accent 2"/>
    <w:basedOn w:val="TableNormal"/>
    <w:uiPriority w:val="48"/>
    <w:rsid w:val="00C15941"/>
    <w:pPr>
      <w:spacing w:after="0" w:line="240" w:lineRule="auto"/>
    </w:pPr>
    <w:tblPr>
      <w:tblStyleRowBandSize w:val="1"/>
      <w:tblStyleColBandSize w:val="1"/>
      <w:tblBorders>
        <w:top w:val="single" w:sz="4" w:space="0" w:color="A0C3E3" w:themeColor="accent2" w:themeTint="99"/>
        <w:left w:val="single" w:sz="4" w:space="0" w:color="A0C3E3" w:themeColor="accent2" w:themeTint="99"/>
        <w:bottom w:val="single" w:sz="4" w:space="0" w:color="A0C3E3" w:themeColor="accent2" w:themeTint="99"/>
        <w:right w:val="single" w:sz="4" w:space="0" w:color="A0C3E3" w:themeColor="accent2" w:themeTint="99"/>
        <w:insideH w:val="single" w:sz="4" w:space="0" w:color="A0C3E3" w:themeColor="accent2" w:themeTint="99"/>
        <w:insideV w:val="single" w:sz="4" w:space="0" w:color="A0C3E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EBF5" w:themeFill="accent2" w:themeFillTint="33"/>
      </w:tcPr>
    </w:tblStylePr>
    <w:tblStylePr w:type="band1Horz">
      <w:tblPr/>
      <w:tcPr>
        <w:shd w:val="clear" w:color="auto" w:fill="DFEBF5" w:themeFill="accent2" w:themeFillTint="33"/>
      </w:tcPr>
    </w:tblStylePr>
    <w:tblStylePr w:type="neCell">
      <w:tblPr/>
      <w:tcPr>
        <w:tcBorders>
          <w:bottom w:val="single" w:sz="4" w:space="0" w:color="A0C3E3" w:themeColor="accent2" w:themeTint="99"/>
        </w:tcBorders>
      </w:tcPr>
    </w:tblStylePr>
    <w:tblStylePr w:type="nwCell">
      <w:tblPr/>
      <w:tcPr>
        <w:tcBorders>
          <w:bottom w:val="single" w:sz="4" w:space="0" w:color="A0C3E3" w:themeColor="accent2" w:themeTint="99"/>
        </w:tcBorders>
      </w:tcPr>
    </w:tblStylePr>
    <w:tblStylePr w:type="seCell">
      <w:tblPr/>
      <w:tcPr>
        <w:tcBorders>
          <w:top w:val="single" w:sz="4" w:space="0" w:color="A0C3E3" w:themeColor="accent2" w:themeTint="99"/>
        </w:tcBorders>
      </w:tcPr>
    </w:tblStylePr>
    <w:tblStylePr w:type="swCell">
      <w:tblPr/>
      <w:tcPr>
        <w:tcBorders>
          <w:top w:val="single" w:sz="4" w:space="0" w:color="A0C3E3" w:themeColor="accent2" w:themeTint="99"/>
        </w:tcBorders>
      </w:tcPr>
    </w:tblStylePr>
  </w:style>
  <w:style w:type="table" w:styleId="GridTable2-Accent2">
    <w:name w:val="Grid Table 2 Accent 2"/>
    <w:basedOn w:val="TableNormal"/>
    <w:uiPriority w:val="47"/>
    <w:rsid w:val="00C15941"/>
    <w:pPr>
      <w:spacing w:after="0" w:line="240" w:lineRule="auto"/>
    </w:pPr>
    <w:tblPr>
      <w:tblStyleRowBandSize w:val="1"/>
      <w:tblStyleColBandSize w:val="1"/>
      <w:tblBorders>
        <w:top w:val="single" w:sz="2" w:space="0" w:color="A0C3E3" w:themeColor="accent2" w:themeTint="99"/>
        <w:bottom w:val="single" w:sz="2" w:space="0" w:color="A0C3E3" w:themeColor="accent2" w:themeTint="99"/>
        <w:insideH w:val="single" w:sz="2" w:space="0" w:color="A0C3E3" w:themeColor="accent2" w:themeTint="99"/>
        <w:insideV w:val="single" w:sz="2" w:space="0" w:color="A0C3E3" w:themeColor="accent2" w:themeTint="99"/>
      </w:tblBorders>
    </w:tblPr>
    <w:tblStylePr w:type="firstRow">
      <w:rPr>
        <w:b/>
        <w:bCs/>
      </w:rPr>
      <w:tblPr/>
      <w:tcPr>
        <w:tcBorders>
          <w:top w:val="nil"/>
          <w:bottom w:val="single" w:sz="12" w:space="0" w:color="A0C3E3" w:themeColor="accent2" w:themeTint="99"/>
          <w:insideH w:val="nil"/>
          <w:insideV w:val="nil"/>
        </w:tcBorders>
        <w:shd w:val="clear" w:color="auto" w:fill="FFFFFF" w:themeFill="background1"/>
      </w:tcPr>
    </w:tblStylePr>
    <w:tblStylePr w:type="lastRow">
      <w:rPr>
        <w:b/>
        <w:bCs/>
      </w:rPr>
      <w:tblPr/>
      <w:tcPr>
        <w:tcBorders>
          <w:top w:val="double" w:sz="2" w:space="0" w:color="A0C3E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FEBF5" w:themeFill="accent2" w:themeFillTint="33"/>
      </w:tcPr>
    </w:tblStylePr>
    <w:tblStylePr w:type="band1Horz">
      <w:tblPr/>
      <w:tcPr>
        <w:shd w:val="clear" w:color="auto" w:fill="DFEBF5" w:themeFill="accent2" w:themeFillTint="33"/>
      </w:tcPr>
    </w:tblStylePr>
  </w:style>
  <w:style w:type="table" w:styleId="GridTable2-Accent3">
    <w:name w:val="Grid Table 2 Accent 3"/>
    <w:basedOn w:val="TableNormal"/>
    <w:uiPriority w:val="47"/>
    <w:rsid w:val="00C15941"/>
    <w:pPr>
      <w:spacing w:after="0" w:line="240" w:lineRule="auto"/>
    </w:pPr>
    <w:tblPr>
      <w:tblStyleRowBandSize w:val="1"/>
      <w:tblStyleColBandSize w:val="1"/>
      <w:tblBorders>
        <w:top w:val="single" w:sz="2" w:space="0" w:color="7EB1E6" w:themeColor="accent3" w:themeTint="99"/>
        <w:bottom w:val="single" w:sz="2" w:space="0" w:color="7EB1E6" w:themeColor="accent3" w:themeTint="99"/>
        <w:insideH w:val="single" w:sz="2" w:space="0" w:color="7EB1E6" w:themeColor="accent3" w:themeTint="99"/>
        <w:insideV w:val="single" w:sz="2" w:space="0" w:color="7EB1E6" w:themeColor="accent3" w:themeTint="99"/>
      </w:tblBorders>
    </w:tblPr>
    <w:tblStylePr w:type="firstRow">
      <w:rPr>
        <w:b/>
        <w:bCs/>
      </w:rPr>
      <w:tblPr/>
      <w:tcPr>
        <w:tcBorders>
          <w:top w:val="nil"/>
          <w:bottom w:val="single" w:sz="12" w:space="0" w:color="7EB1E6" w:themeColor="accent3" w:themeTint="99"/>
          <w:insideH w:val="nil"/>
          <w:insideV w:val="nil"/>
        </w:tcBorders>
        <w:shd w:val="clear" w:color="auto" w:fill="FFFFFF" w:themeFill="background1"/>
      </w:tcPr>
    </w:tblStylePr>
    <w:tblStylePr w:type="lastRow">
      <w:rPr>
        <w:b/>
        <w:bCs/>
      </w:rPr>
      <w:tblPr/>
      <w:tcPr>
        <w:tcBorders>
          <w:top w:val="double" w:sz="2" w:space="0" w:color="7EB1E6"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3E5F6" w:themeFill="accent3" w:themeFillTint="33"/>
      </w:tcPr>
    </w:tblStylePr>
    <w:tblStylePr w:type="band1Horz">
      <w:tblPr/>
      <w:tcPr>
        <w:shd w:val="clear" w:color="auto" w:fill="D3E5F6" w:themeFill="accent3" w:themeFillTint="33"/>
      </w:tcPr>
    </w:tblStylePr>
  </w:style>
  <w:style w:type="table" w:styleId="GridTable3-Accent3">
    <w:name w:val="Grid Table 3 Accent 3"/>
    <w:basedOn w:val="TableNormal"/>
    <w:uiPriority w:val="48"/>
    <w:rsid w:val="003D6FE8"/>
    <w:pPr>
      <w:spacing w:after="0" w:line="240" w:lineRule="auto"/>
    </w:pPr>
    <w:tblPr>
      <w:tblStyleRowBandSize w:val="1"/>
      <w:tblStyleColBandSize w:val="1"/>
      <w:tblBorders>
        <w:top w:val="single" w:sz="4" w:space="0" w:color="7EB1E6" w:themeColor="accent3" w:themeTint="99"/>
        <w:left w:val="single" w:sz="4" w:space="0" w:color="7EB1E6" w:themeColor="accent3" w:themeTint="99"/>
        <w:bottom w:val="single" w:sz="4" w:space="0" w:color="7EB1E6" w:themeColor="accent3" w:themeTint="99"/>
        <w:right w:val="single" w:sz="4" w:space="0" w:color="7EB1E6" w:themeColor="accent3" w:themeTint="99"/>
        <w:insideH w:val="single" w:sz="4" w:space="0" w:color="7EB1E6" w:themeColor="accent3" w:themeTint="99"/>
        <w:insideV w:val="single" w:sz="4" w:space="0" w:color="7EB1E6"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3E5F6" w:themeFill="accent3" w:themeFillTint="33"/>
      </w:tcPr>
    </w:tblStylePr>
    <w:tblStylePr w:type="band1Horz">
      <w:tblPr/>
      <w:tcPr>
        <w:shd w:val="clear" w:color="auto" w:fill="D3E5F6" w:themeFill="accent3" w:themeFillTint="33"/>
      </w:tcPr>
    </w:tblStylePr>
    <w:tblStylePr w:type="neCell">
      <w:tblPr/>
      <w:tcPr>
        <w:tcBorders>
          <w:bottom w:val="single" w:sz="4" w:space="0" w:color="7EB1E6" w:themeColor="accent3" w:themeTint="99"/>
        </w:tcBorders>
      </w:tcPr>
    </w:tblStylePr>
    <w:tblStylePr w:type="nwCell">
      <w:tblPr/>
      <w:tcPr>
        <w:tcBorders>
          <w:bottom w:val="single" w:sz="4" w:space="0" w:color="7EB1E6" w:themeColor="accent3" w:themeTint="99"/>
        </w:tcBorders>
      </w:tcPr>
    </w:tblStylePr>
    <w:tblStylePr w:type="seCell">
      <w:tblPr/>
      <w:tcPr>
        <w:tcBorders>
          <w:top w:val="single" w:sz="4" w:space="0" w:color="7EB1E6" w:themeColor="accent3" w:themeTint="99"/>
        </w:tcBorders>
      </w:tcPr>
    </w:tblStylePr>
    <w:tblStylePr w:type="swCell">
      <w:tblPr/>
      <w:tcPr>
        <w:tcBorders>
          <w:top w:val="single" w:sz="4" w:space="0" w:color="7EB1E6" w:themeColor="accent3" w:themeTint="99"/>
        </w:tcBorders>
      </w:tcPr>
    </w:tblStylePr>
  </w:style>
  <w:style w:type="table" w:styleId="GridTable4-Accent1">
    <w:name w:val="Grid Table 4 Accent 1"/>
    <w:basedOn w:val="TableNormal"/>
    <w:uiPriority w:val="49"/>
    <w:rsid w:val="006F454C"/>
    <w:pPr>
      <w:spacing w:after="0" w:line="240" w:lineRule="auto"/>
    </w:pPr>
    <w:tblPr>
      <w:tblStyleRowBandSize w:val="1"/>
      <w:tblStyleColBandSize w:val="1"/>
      <w:tblBorders>
        <w:top w:val="single" w:sz="4" w:space="0" w:color="90A1CF" w:themeColor="accent1" w:themeTint="99"/>
        <w:left w:val="single" w:sz="4" w:space="0" w:color="90A1CF" w:themeColor="accent1" w:themeTint="99"/>
        <w:bottom w:val="single" w:sz="4" w:space="0" w:color="90A1CF" w:themeColor="accent1" w:themeTint="99"/>
        <w:right w:val="single" w:sz="4" w:space="0" w:color="90A1CF" w:themeColor="accent1" w:themeTint="99"/>
        <w:insideH w:val="single" w:sz="4" w:space="0" w:color="90A1CF" w:themeColor="accent1" w:themeTint="99"/>
        <w:insideV w:val="single" w:sz="4" w:space="0" w:color="90A1CF" w:themeColor="accent1" w:themeTint="99"/>
      </w:tblBorders>
    </w:tblPr>
    <w:tblStylePr w:type="firstRow">
      <w:rPr>
        <w:b/>
        <w:bCs/>
        <w:color w:val="FFFFFF" w:themeColor="background1"/>
      </w:rPr>
      <w:tblPr/>
      <w:tcPr>
        <w:tcBorders>
          <w:top w:val="single" w:sz="4" w:space="0" w:color="4A66AC" w:themeColor="accent1"/>
          <w:left w:val="single" w:sz="4" w:space="0" w:color="4A66AC" w:themeColor="accent1"/>
          <w:bottom w:val="single" w:sz="4" w:space="0" w:color="4A66AC" w:themeColor="accent1"/>
          <w:right w:val="single" w:sz="4" w:space="0" w:color="4A66AC" w:themeColor="accent1"/>
          <w:insideH w:val="nil"/>
          <w:insideV w:val="nil"/>
        </w:tcBorders>
        <w:shd w:val="clear" w:color="auto" w:fill="4A66AC" w:themeFill="accent1"/>
      </w:tcPr>
    </w:tblStylePr>
    <w:tblStylePr w:type="lastRow">
      <w:rPr>
        <w:b/>
        <w:bCs/>
      </w:rPr>
      <w:tblPr/>
      <w:tcPr>
        <w:tcBorders>
          <w:top w:val="double" w:sz="4" w:space="0" w:color="4A66AC" w:themeColor="accent1"/>
        </w:tcBorders>
      </w:tcPr>
    </w:tblStylePr>
    <w:tblStylePr w:type="firstCol">
      <w:rPr>
        <w:b/>
        <w:bCs/>
      </w:rPr>
    </w:tblStylePr>
    <w:tblStylePr w:type="lastCol">
      <w:rPr>
        <w:b/>
        <w:bCs/>
      </w:rPr>
    </w:tblStylePr>
    <w:tblStylePr w:type="band1Vert">
      <w:tblPr/>
      <w:tcPr>
        <w:shd w:val="clear" w:color="auto" w:fill="D9DFEF" w:themeFill="accent1" w:themeFillTint="33"/>
      </w:tcPr>
    </w:tblStylePr>
    <w:tblStylePr w:type="band1Horz">
      <w:tblPr/>
      <w:tcPr>
        <w:shd w:val="clear" w:color="auto" w:fill="D9DFEF" w:themeFill="accent1" w:themeFillTint="33"/>
      </w:tcPr>
    </w:tblStylePr>
  </w:style>
  <w:style w:type="table" w:styleId="GridTable4-Accent3">
    <w:name w:val="Grid Table 4 Accent 3"/>
    <w:basedOn w:val="TableNormal"/>
    <w:uiPriority w:val="49"/>
    <w:rsid w:val="006F454C"/>
    <w:pPr>
      <w:spacing w:after="0" w:line="240" w:lineRule="auto"/>
    </w:pPr>
    <w:tblPr>
      <w:tblStyleRowBandSize w:val="1"/>
      <w:tblStyleColBandSize w:val="1"/>
      <w:tblBorders>
        <w:top w:val="single" w:sz="4" w:space="0" w:color="7EB1E6" w:themeColor="accent3" w:themeTint="99"/>
        <w:left w:val="single" w:sz="4" w:space="0" w:color="7EB1E6" w:themeColor="accent3" w:themeTint="99"/>
        <w:bottom w:val="single" w:sz="4" w:space="0" w:color="7EB1E6" w:themeColor="accent3" w:themeTint="99"/>
        <w:right w:val="single" w:sz="4" w:space="0" w:color="7EB1E6" w:themeColor="accent3" w:themeTint="99"/>
        <w:insideH w:val="single" w:sz="4" w:space="0" w:color="7EB1E6" w:themeColor="accent3" w:themeTint="99"/>
        <w:insideV w:val="single" w:sz="4" w:space="0" w:color="7EB1E6" w:themeColor="accent3" w:themeTint="99"/>
      </w:tblBorders>
    </w:tblPr>
    <w:tblStylePr w:type="firstRow">
      <w:rPr>
        <w:b/>
        <w:bCs/>
        <w:color w:val="FFFFFF" w:themeColor="background1"/>
      </w:rPr>
      <w:tblPr/>
      <w:tcPr>
        <w:tcBorders>
          <w:top w:val="single" w:sz="4" w:space="0" w:color="297FD5" w:themeColor="accent3"/>
          <w:left w:val="single" w:sz="4" w:space="0" w:color="297FD5" w:themeColor="accent3"/>
          <w:bottom w:val="single" w:sz="4" w:space="0" w:color="297FD5" w:themeColor="accent3"/>
          <w:right w:val="single" w:sz="4" w:space="0" w:color="297FD5" w:themeColor="accent3"/>
          <w:insideH w:val="nil"/>
          <w:insideV w:val="nil"/>
        </w:tcBorders>
        <w:shd w:val="clear" w:color="auto" w:fill="297FD5" w:themeFill="accent3"/>
      </w:tcPr>
    </w:tblStylePr>
    <w:tblStylePr w:type="lastRow">
      <w:rPr>
        <w:b/>
        <w:bCs/>
      </w:rPr>
      <w:tblPr/>
      <w:tcPr>
        <w:tcBorders>
          <w:top w:val="double" w:sz="4" w:space="0" w:color="297FD5" w:themeColor="accent3"/>
        </w:tcBorders>
      </w:tcPr>
    </w:tblStylePr>
    <w:tblStylePr w:type="firstCol">
      <w:rPr>
        <w:b/>
        <w:bCs/>
      </w:rPr>
    </w:tblStylePr>
    <w:tblStylePr w:type="lastCol">
      <w:rPr>
        <w:b/>
        <w:bCs/>
      </w:rPr>
    </w:tblStylePr>
    <w:tblStylePr w:type="band1Vert">
      <w:tblPr/>
      <w:tcPr>
        <w:shd w:val="clear" w:color="auto" w:fill="D3E5F6" w:themeFill="accent3" w:themeFillTint="33"/>
      </w:tcPr>
    </w:tblStylePr>
    <w:tblStylePr w:type="band1Horz">
      <w:tblPr/>
      <w:tcPr>
        <w:shd w:val="clear" w:color="auto" w:fill="D3E5F6" w:themeFill="accent3" w:themeFillTint="33"/>
      </w:tcPr>
    </w:tblStylePr>
  </w:style>
  <w:style w:type="table" w:styleId="GridTable4-Accent2">
    <w:name w:val="Grid Table 4 Accent 2"/>
    <w:basedOn w:val="TableNormal"/>
    <w:uiPriority w:val="49"/>
    <w:rsid w:val="006F454C"/>
    <w:pPr>
      <w:spacing w:after="0" w:line="240" w:lineRule="auto"/>
    </w:pPr>
    <w:tblPr>
      <w:tblStyleRowBandSize w:val="1"/>
      <w:tblStyleColBandSize w:val="1"/>
      <w:tblBorders>
        <w:top w:val="single" w:sz="4" w:space="0" w:color="A0C3E3" w:themeColor="accent2" w:themeTint="99"/>
        <w:left w:val="single" w:sz="4" w:space="0" w:color="A0C3E3" w:themeColor="accent2" w:themeTint="99"/>
        <w:bottom w:val="single" w:sz="4" w:space="0" w:color="A0C3E3" w:themeColor="accent2" w:themeTint="99"/>
        <w:right w:val="single" w:sz="4" w:space="0" w:color="A0C3E3" w:themeColor="accent2" w:themeTint="99"/>
        <w:insideH w:val="single" w:sz="4" w:space="0" w:color="A0C3E3" w:themeColor="accent2" w:themeTint="99"/>
        <w:insideV w:val="single" w:sz="4" w:space="0" w:color="A0C3E3" w:themeColor="accent2" w:themeTint="99"/>
      </w:tblBorders>
    </w:tblPr>
    <w:tblStylePr w:type="firstRow">
      <w:rPr>
        <w:b/>
        <w:bCs/>
        <w:color w:val="FFFFFF" w:themeColor="background1"/>
      </w:rPr>
      <w:tblPr/>
      <w:tcPr>
        <w:tcBorders>
          <w:top w:val="single" w:sz="4" w:space="0" w:color="629DD1" w:themeColor="accent2"/>
          <w:left w:val="single" w:sz="4" w:space="0" w:color="629DD1" w:themeColor="accent2"/>
          <w:bottom w:val="single" w:sz="4" w:space="0" w:color="629DD1" w:themeColor="accent2"/>
          <w:right w:val="single" w:sz="4" w:space="0" w:color="629DD1" w:themeColor="accent2"/>
          <w:insideH w:val="nil"/>
          <w:insideV w:val="nil"/>
        </w:tcBorders>
        <w:shd w:val="clear" w:color="auto" w:fill="629DD1" w:themeFill="accent2"/>
      </w:tcPr>
    </w:tblStylePr>
    <w:tblStylePr w:type="lastRow">
      <w:rPr>
        <w:b/>
        <w:bCs/>
      </w:rPr>
      <w:tblPr/>
      <w:tcPr>
        <w:tcBorders>
          <w:top w:val="double" w:sz="4" w:space="0" w:color="629DD1" w:themeColor="accent2"/>
        </w:tcBorders>
      </w:tcPr>
    </w:tblStylePr>
    <w:tblStylePr w:type="firstCol">
      <w:rPr>
        <w:b/>
        <w:bCs/>
      </w:rPr>
    </w:tblStylePr>
    <w:tblStylePr w:type="lastCol">
      <w:rPr>
        <w:b/>
        <w:bCs/>
      </w:rPr>
    </w:tblStylePr>
    <w:tblStylePr w:type="band1Vert">
      <w:tblPr/>
      <w:tcPr>
        <w:shd w:val="clear" w:color="auto" w:fill="DFEBF5" w:themeFill="accent2" w:themeFillTint="33"/>
      </w:tcPr>
    </w:tblStylePr>
    <w:tblStylePr w:type="band1Horz">
      <w:tblPr/>
      <w:tcPr>
        <w:shd w:val="clear" w:color="auto" w:fill="DFEBF5" w:themeFill="accent2" w:themeFillTint="33"/>
      </w:tcPr>
    </w:tblStylePr>
  </w:style>
  <w:style w:type="character" w:styleId="FollowedHyperlink">
    <w:name w:val="FollowedHyperlink"/>
    <w:basedOn w:val="DefaultParagraphFont"/>
    <w:uiPriority w:val="99"/>
    <w:semiHidden/>
    <w:unhideWhenUsed/>
    <w:rsid w:val="006706E4"/>
    <w:rPr>
      <w:color w:val="3EBBF0" w:themeColor="followedHyperlink"/>
      <w:u w:val="single"/>
    </w:rPr>
  </w:style>
  <w:style w:type="paragraph" w:styleId="TableofFigures">
    <w:name w:val="table of figures"/>
    <w:basedOn w:val="Normal"/>
    <w:next w:val="Normal"/>
    <w:uiPriority w:val="99"/>
    <w:unhideWhenUsed/>
    <w:rsid w:val="00AF2DA3"/>
    <w:pPr>
      <w:spacing w:after="0"/>
    </w:pPr>
  </w:style>
  <w:style w:type="paragraph" w:customStyle="1" w:styleId="Default">
    <w:name w:val="Default"/>
    <w:rsid w:val="00D92AC3"/>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1773">
      <w:bodyDiv w:val="1"/>
      <w:marLeft w:val="0"/>
      <w:marRight w:val="0"/>
      <w:marTop w:val="0"/>
      <w:marBottom w:val="0"/>
      <w:divBdr>
        <w:top w:val="none" w:sz="0" w:space="0" w:color="auto"/>
        <w:left w:val="none" w:sz="0" w:space="0" w:color="auto"/>
        <w:bottom w:val="none" w:sz="0" w:space="0" w:color="auto"/>
        <w:right w:val="none" w:sz="0" w:space="0" w:color="auto"/>
      </w:divBdr>
    </w:div>
    <w:div w:id="29234534">
      <w:bodyDiv w:val="1"/>
      <w:marLeft w:val="0"/>
      <w:marRight w:val="0"/>
      <w:marTop w:val="0"/>
      <w:marBottom w:val="0"/>
      <w:divBdr>
        <w:top w:val="none" w:sz="0" w:space="0" w:color="auto"/>
        <w:left w:val="none" w:sz="0" w:space="0" w:color="auto"/>
        <w:bottom w:val="none" w:sz="0" w:space="0" w:color="auto"/>
        <w:right w:val="none" w:sz="0" w:space="0" w:color="auto"/>
      </w:divBdr>
    </w:div>
    <w:div w:id="63534192">
      <w:bodyDiv w:val="1"/>
      <w:marLeft w:val="0"/>
      <w:marRight w:val="0"/>
      <w:marTop w:val="0"/>
      <w:marBottom w:val="0"/>
      <w:divBdr>
        <w:top w:val="none" w:sz="0" w:space="0" w:color="auto"/>
        <w:left w:val="none" w:sz="0" w:space="0" w:color="auto"/>
        <w:bottom w:val="none" w:sz="0" w:space="0" w:color="auto"/>
        <w:right w:val="none" w:sz="0" w:space="0" w:color="auto"/>
      </w:divBdr>
    </w:div>
    <w:div w:id="66151048">
      <w:bodyDiv w:val="1"/>
      <w:marLeft w:val="0"/>
      <w:marRight w:val="0"/>
      <w:marTop w:val="0"/>
      <w:marBottom w:val="0"/>
      <w:divBdr>
        <w:top w:val="none" w:sz="0" w:space="0" w:color="auto"/>
        <w:left w:val="none" w:sz="0" w:space="0" w:color="auto"/>
        <w:bottom w:val="none" w:sz="0" w:space="0" w:color="auto"/>
        <w:right w:val="none" w:sz="0" w:space="0" w:color="auto"/>
      </w:divBdr>
    </w:div>
    <w:div w:id="87124247">
      <w:bodyDiv w:val="1"/>
      <w:marLeft w:val="0"/>
      <w:marRight w:val="0"/>
      <w:marTop w:val="0"/>
      <w:marBottom w:val="0"/>
      <w:divBdr>
        <w:top w:val="none" w:sz="0" w:space="0" w:color="auto"/>
        <w:left w:val="none" w:sz="0" w:space="0" w:color="auto"/>
        <w:bottom w:val="none" w:sz="0" w:space="0" w:color="auto"/>
        <w:right w:val="none" w:sz="0" w:space="0" w:color="auto"/>
      </w:divBdr>
    </w:div>
    <w:div w:id="88088304">
      <w:bodyDiv w:val="1"/>
      <w:marLeft w:val="0"/>
      <w:marRight w:val="0"/>
      <w:marTop w:val="0"/>
      <w:marBottom w:val="0"/>
      <w:divBdr>
        <w:top w:val="none" w:sz="0" w:space="0" w:color="auto"/>
        <w:left w:val="none" w:sz="0" w:space="0" w:color="auto"/>
        <w:bottom w:val="none" w:sz="0" w:space="0" w:color="auto"/>
        <w:right w:val="none" w:sz="0" w:space="0" w:color="auto"/>
      </w:divBdr>
    </w:div>
    <w:div w:id="90862441">
      <w:bodyDiv w:val="1"/>
      <w:marLeft w:val="0"/>
      <w:marRight w:val="0"/>
      <w:marTop w:val="0"/>
      <w:marBottom w:val="0"/>
      <w:divBdr>
        <w:top w:val="none" w:sz="0" w:space="0" w:color="auto"/>
        <w:left w:val="none" w:sz="0" w:space="0" w:color="auto"/>
        <w:bottom w:val="none" w:sz="0" w:space="0" w:color="auto"/>
        <w:right w:val="none" w:sz="0" w:space="0" w:color="auto"/>
      </w:divBdr>
    </w:div>
    <w:div w:id="107285972">
      <w:bodyDiv w:val="1"/>
      <w:marLeft w:val="0"/>
      <w:marRight w:val="0"/>
      <w:marTop w:val="0"/>
      <w:marBottom w:val="0"/>
      <w:divBdr>
        <w:top w:val="none" w:sz="0" w:space="0" w:color="auto"/>
        <w:left w:val="none" w:sz="0" w:space="0" w:color="auto"/>
        <w:bottom w:val="none" w:sz="0" w:space="0" w:color="auto"/>
        <w:right w:val="none" w:sz="0" w:space="0" w:color="auto"/>
      </w:divBdr>
    </w:div>
    <w:div w:id="117724026">
      <w:bodyDiv w:val="1"/>
      <w:marLeft w:val="0"/>
      <w:marRight w:val="0"/>
      <w:marTop w:val="0"/>
      <w:marBottom w:val="0"/>
      <w:divBdr>
        <w:top w:val="none" w:sz="0" w:space="0" w:color="auto"/>
        <w:left w:val="none" w:sz="0" w:space="0" w:color="auto"/>
        <w:bottom w:val="none" w:sz="0" w:space="0" w:color="auto"/>
        <w:right w:val="none" w:sz="0" w:space="0" w:color="auto"/>
      </w:divBdr>
    </w:div>
    <w:div w:id="143204504">
      <w:bodyDiv w:val="1"/>
      <w:marLeft w:val="0"/>
      <w:marRight w:val="0"/>
      <w:marTop w:val="0"/>
      <w:marBottom w:val="0"/>
      <w:divBdr>
        <w:top w:val="none" w:sz="0" w:space="0" w:color="auto"/>
        <w:left w:val="none" w:sz="0" w:space="0" w:color="auto"/>
        <w:bottom w:val="none" w:sz="0" w:space="0" w:color="auto"/>
        <w:right w:val="none" w:sz="0" w:space="0" w:color="auto"/>
      </w:divBdr>
    </w:div>
    <w:div w:id="150684304">
      <w:bodyDiv w:val="1"/>
      <w:marLeft w:val="0"/>
      <w:marRight w:val="0"/>
      <w:marTop w:val="0"/>
      <w:marBottom w:val="0"/>
      <w:divBdr>
        <w:top w:val="none" w:sz="0" w:space="0" w:color="auto"/>
        <w:left w:val="none" w:sz="0" w:space="0" w:color="auto"/>
        <w:bottom w:val="none" w:sz="0" w:space="0" w:color="auto"/>
        <w:right w:val="none" w:sz="0" w:space="0" w:color="auto"/>
      </w:divBdr>
      <w:divsChild>
        <w:div w:id="1056314306">
          <w:marLeft w:val="0"/>
          <w:marRight w:val="0"/>
          <w:marTop w:val="0"/>
          <w:marBottom w:val="0"/>
          <w:divBdr>
            <w:top w:val="none" w:sz="0" w:space="0" w:color="auto"/>
            <w:left w:val="none" w:sz="0" w:space="0" w:color="auto"/>
            <w:bottom w:val="none" w:sz="0" w:space="0" w:color="auto"/>
            <w:right w:val="none" w:sz="0" w:space="0" w:color="auto"/>
          </w:divBdr>
          <w:divsChild>
            <w:div w:id="1987661090">
              <w:marLeft w:val="0"/>
              <w:marRight w:val="0"/>
              <w:marTop w:val="0"/>
              <w:marBottom w:val="0"/>
              <w:divBdr>
                <w:top w:val="none" w:sz="0" w:space="0" w:color="auto"/>
                <w:left w:val="none" w:sz="0" w:space="0" w:color="auto"/>
                <w:bottom w:val="none" w:sz="0" w:space="0" w:color="auto"/>
                <w:right w:val="none" w:sz="0" w:space="0" w:color="auto"/>
              </w:divBdr>
              <w:divsChild>
                <w:div w:id="345401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98498">
      <w:bodyDiv w:val="1"/>
      <w:marLeft w:val="0"/>
      <w:marRight w:val="0"/>
      <w:marTop w:val="0"/>
      <w:marBottom w:val="0"/>
      <w:divBdr>
        <w:top w:val="none" w:sz="0" w:space="0" w:color="auto"/>
        <w:left w:val="none" w:sz="0" w:space="0" w:color="auto"/>
        <w:bottom w:val="none" w:sz="0" w:space="0" w:color="auto"/>
        <w:right w:val="none" w:sz="0" w:space="0" w:color="auto"/>
      </w:divBdr>
      <w:divsChild>
        <w:div w:id="423301282">
          <w:marLeft w:val="0"/>
          <w:marRight w:val="0"/>
          <w:marTop w:val="0"/>
          <w:marBottom w:val="0"/>
          <w:divBdr>
            <w:top w:val="single" w:sz="2" w:space="0" w:color="D9D9E3"/>
            <w:left w:val="single" w:sz="2" w:space="0" w:color="D9D9E3"/>
            <w:bottom w:val="single" w:sz="2" w:space="0" w:color="D9D9E3"/>
            <w:right w:val="single" w:sz="2" w:space="0" w:color="D9D9E3"/>
          </w:divBdr>
          <w:divsChild>
            <w:div w:id="90974331">
              <w:marLeft w:val="0"/>
              <w:marRight w:val="0"/>
              <w:marTop w:val="0"/>
              <w:marBottom w:val="0"/>
              <w:divBdr>
                <w:top w:val="single" w:sz="2" w:space="0" w:color="D9D9E3"/>
                <w:left w:val="single" w:sz="2" w:space="0" w:color="D9D9E3"/>
                <w:bottom w:val="single" w:sz="2" w:space="0" w:color="D9D9E3"/>
                <w:right w:val="single" w:sz="2" w:space="0" w:color="D9D9E3"/>
              </w:divBdr>
              <w:divsChild>
                <w:div w:id="506675825">
                  <w:marLeft w:val="0"/>
                  <w:marRight w:val="0"/>
                  <w:marTop w:val="0"/>
                  <w:marBottom w:val="0"/>
                  <w:divBdr>
                    <w:top w:val="single" w:sz="2" w:space="0" w:color="D9D9E3"/>
                    <w:left w:val="single" w:sz="2" w:space="0" w:color="D9D9E3"/>
                    <w:bottom w:val="single" w:sz="2" w:space="0" w:color="D9D9E3"/>
                    <w:right w:val="single" w:sz="2" w:space="0" w:color="D9D9E3"/>
                  </w:divBdr>
                  <w:divsChild>
                    <w:div w:id="1414856895">
                      <w:marLeft w:val="0"/>
                      <w:marRight w:val="0"/>
                      <w:marTop w:val="0"/>
                      <w:marBottom w:val="0"/>
                      <w:divBdr>
                        <w:top w:val="single" w:sz="2" w:space="0" w:color="D9D9E3"/>
                        <w:left w:val="single" w:sz="2" w:space="0" w:color="D9D9E3"/>
                        <w:bottom w:val="single" w:sz="2" w:space="0" w:color="D9D9E3"/>
                        <w:right w:val="single" w:sz="2" w:space="0" w:color="D9D9E3"/>
                      </w:divBdr>
                      <w:divsChild>
                        <w:div w:id="1716000795">
                          <w:marLeft w:val="0"/>
                          <w:marRight w:val="0"/>
                          <w:marTop w:val="0"/>
                          <w:marBottom w:val="0"/>
                          <w:divBdr>
                            <w:top w:val="single" w:sz="2" w:space="0" w:color="D9D9E3"/>
                            <w:left w:val="single" w:sz="2" w:space="0" w:color="D9D9E3"/>
                            <w:bottom w:val="single" w:sz="2" w:space="0" w:color="D9D9E3"/>
                            <w:right w:val="single" w:sz="2" w:space="0" w:color="D9D9E3"/>
                          </w:divBdr>
                          <w:divsChild>
                            <w:div w:id="418644955">
                              <w:marLeft w:val="0"/>
                              <w:marRight w:val="0"/>
                              <w:marTop w:val="100"/>
                              <w:marBottom w:val="100"/>
                              <w:divBdr>
                                <w:top w:val="single" w:sz="2" w:space="0" w:color="D9D9E3"/>
                                <w:left w:val="single" w:sz="2" w:space="0" w:color="D9D9E3"/>
                                <w:bottom w:val="single" w:sz="2" w:space="0" w:color="D9D9E3"/>
                                <w:right w:val="single" w:sz="2" w:space="0" w:color="D9D9E3"/>
                              </w:divBdr>
                              <w:divsChild>
                                <w:div w:id="461968513">
                                  <w:marLeft w:val="0"/>
                                  <w:marRight w:val="0"/>
                                  <w:marTop w:val="0"/>
                                  <w:marBottom w:val="0"/>
                                  <w:divBdr>
                                    <w:top w:val="single" w:sz="2" w:space="0" w:color="D9D9E3"/>
                                    <w:left w:val="single" w:sz="2" w:space="0" w:color="D9D9E3"/>
                                    <w:bottom w:val="single" w:sz="2" w:space="0" w:color="D9D9E3"/>
                                    <w:right w:val="single" w:sz="2" w:space="0" w:color="D9D9E3"/>
                                  </w:divBdr>
                                  <w:divsChild>
                                    <w:div w:id="1570572729">
                                      <w:marLeft w:val="0"/>
                                      <w:marRight w:val="0"/>
                                      <w:marTop w:val="0"/>
                                      <w:marBottom w:val="0"/>
                                      <w:divBdr>
                                        <w:top w:val="single" w:sz="2" w:space="0" w:color="D9D9E3"/>
                                        <w:left w:val="single" w:sz="2" w:space="0" w:color="D9D9E3"/>
                                        <w:bottom w:val="single" w:sz="2" w:space="0" w:color="D9D9E3"/>
                                        <w:right w:val="single" w:sz="2" w:space="0" w:color="D9D9E3"/>
                                      </w:divBdr>
                                      <w:divsChild>
                                        <w:div w:id="2020545006">
                                          <w:marLeft w:val="0"/>
                                          <w:marRight w:val="0"/>
                                          <w:marTop w:val="0"/>
                                          <w:marBottom w:val="0"/>
                                          <w:divBdr>
                                            <w:top w:val="single" w:sz="2" w:space="0" w:color="D9D9E3"/>
                                            <w:left w:val="single" w:sz="2" w:space="0" w:color="D9D9E3"/>
                                            <w:bottom w:val="single" w:sz="2" w:space="0" w:color="D9D9E3"/>
                                            <w:right w:val="single" w:sz="2" w:space="0" w:color="D9D9E3"/>
                                          </w:divBdr>
                                          <w:divsChild>
                                            <w:div w:id="328144911">
                                              <w:marLeft w:val="0"/>
                                              <w:marRight w:val="0"/>
                                              <w:marTop w:val="0"/>
                                              <w:marBottom w:val="0"/>
                                              <w:divBdr>
                                                <w:top w:val="single" w:sz="2" w:space="0" w:color="D9D9E3"/>
                                                <w:left w:val="single" w:sz="2" w:space="0" w:color="D9D9E3"/>
                                                <w:bottom w:val="single" w:sz="2" w:space="0" w:color="D9D9E3"/>
                                                <w:right w:val="single" w:sz="2" w:space="0" w:color="D9D9E3"/>
                                              </w:divBdr>
                                              <w:divsChild>
                                                <w:div w:id="2057316682">
                                                  <w:marLeft w:val="0"/>
                                                  <w:marRight w:val="0"/>
                                                  <w:marTop w:val="0"/>
                                                  <w:marBottom w:val="0"/>
                                                  <w:divBdr>
                                                    <w:top w:val="single" w:sz="2" w:space="0" w:color="D9D9E3"/>
                                                    <w:left w:val="single" w:sz="2" w:space="0" w:color="D9D9E3"/>
                                                    <w:bottom w:val="single" w:sz="2" w:space="0" w:color="D9D9E3"/>
                                                    <w:right w:val="single" w:sz="2" w:space="0" w:color="D9D9E3"/>
                                                  </w:divBdr>
                                                  <w:divsChild>
                                                    <w:div w:id="7366286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1589909">
          <w:marLeft w:val="0"/>
          <w:marRight w:val="0"/>
          <w:marTop w:val="0"/>
          <w:marBottom w:val="0"/>
          <w:divBdr>
            <w:top w:val="single" w:sz="2" w:space="0" w:color="D9D9E3"/>
            <w:left w:val="single" w:sz="2" w:space="0" w:color="D9D9E3"/>
            <w:bottom w:val="single" w:sz="2" w:space="0" w:color="D9D9E3"/>
            <w:right w:val="single" w:sz="2" w:space="0" w:color="D9D9E3"/>
          </w:divBdr>
          <w:divsChild>
            <w:div w:id="1385445815">
              <w:marLeft w:val="0"/>
              <w:marRight w:val="0"/>
              <w:marTop w:val="0"/>
              <w:marBottom w:val="0"/>
              <w:divBdr>
                <w:top w:val="single" w:sz="2" w:space="0" w:color="D9D9E3"/>
                <w:left w:val="single" w:sz="2" w:space="0" w:color="D9D9E3"/>
                <w:bottom w:val="single" w:sz="2" w:space="0" w:color="D9D9E3"/>
                <w:right w:val="single" w:sz="2" w:space="0" w:color="D9D9E3"/>
              </w:divBdr>
              <w:divsChild>
                <w:div w:id="1777601045">
                  <w:marLeft w:val="0"/>
                  <w:marRight w:val="0"/>
                  <w:marTop w:val="0"/>
                  <w:marBottom w:val="0"/>
                  <w:divBdr>
                    <w:top w:val="single" w:sz="2" w:space="0" w:color="D9D9E3"/>
                    <w:left w:val="single" w:sz="2" w:space="0" w:color="D9D9E3"/>
                    <w:bottom w:val="single" w:sz="2" w:space="0" w:color="D9D9E3"/>
                    <w:right w:val="single" w:sz="2" w:space="0" w:color="D9D9E3"/>
                  </w:divBdr>
                  <w:divsChild>
                    <w:div w:id="278223978">
                      <w:marLeft w:val="0"/>
                      <w:marRight w:val="0"/>
                      <w:marTop w:val="0"/>
                      <w:marBottom w:val="0"/>
                      <w:divBdr>
                        <w:top w:val="single" w:sz="6" w:space="0" w:color="auto"/>
                        <w:left w:val="single" w:sz="6" w:space="0" w:color="auto"/>
                        <w:bottom w:val="single" w:sz="6" w:space="0" w:color="auto"/>
                        <w:right w:val="single" w:sz="6" w:space="0" w:color="auto"/>
                      </w:divBdr>
                      <w:divsChild>
                        <w:div w:id="291785317">
                          <w:marLeft w:val="0"/>
                          <w:marRight w:val="0"/>
                          <w:marTop w:val="0"/>
                          <w:marBottom w:val="0"/>
                          <w:divBdr>
                            <w:top w:val="none" w:sz="0" w:space="0" w:color="auto"/>
                            <w:left w:val="none" w:sz="0" w:space="0" w:color="auto"/>
                            <w:bottom w:val="none" w:sz="0" w:space="0" w:color="auto"/>
                            <w:right w:val="none" w:sz="0" w:space="0" w:color="auto"/>
                          </w:divBdr>
                          <w:divsChild>
                            <w:div w:id="1378122287">
                              <w:marLeft w:val="0"/>
                              <w:marRight w:val="0"/>
                              <w:marTop w:val="0"/>
                              <w:marBottom w:val="0"/>
                              <w:divBdr>
                                <w:top w:val="none" w:sz="0" w:space="0" w:color="auto"/>
                                <w:left w:val="none" w:sz="0" w:space="0" w:color="auto"/>
                                <w:bottom w:val="none" w:sz="0" w:space="0" w:color="auto"/>
                                <w:right w:val="none" w:sz="0" w:space="0" w:color="auto"/>
                              </w:divBdr>
                              <w:divsChild>
                                <w:div w:id="1784306973">
                                  <w:marLeft w:val="0"/>
                                  <w:marRight w:val="0"/>
                                  <w:marTop w:val="0"/>
                                  <w:marBottom w:val="0"/>
                                  <w:divBdr>
                                    <w:top w:val="none" w:sz="0" w:space="0" w:color="auto"/>
                                    <w:left w:val="none" w:sz="0" w:space="0" w:color="auto"/>
                                    <w:bottom w:val="none" w:sz="0" w:space="0" w:color="auto"/>
                                    <w:right w:val="none" w:sz="0" w:space="0" w:color="auto"/>
                                  </w:divBdr>
                                  <w:divsChild>
                                    <w:div w:id="1193298261">
                                      <w:marLeft w:val="0"/>
                                      <w:marRight w:val="0"/>
                                      <w:marTop w:val="0"/>
                                      <w:marBottom w:val="0"/>
                                      <w:divBdr>
                                        <w:top w:val="none" w:sz="0" w:space="0" w:color="auto"/>
                                        <w:left w:val="none" w:sz="0" w:space="0" w:color="auto"/>
                                        <w:bottom w:val="none" w:sz="0" w:space="0" w:color="auto"/>
                                        <w:right w:val="none" w:sz="0" w:space="0" w:color="auto"/>
                                      </w:divBdr>
                                      <w:divsChild>
                                        <w:div w:id="1490561986">
                                          <w:marLeft w:val="0"/>
                                          <w:marRight w:val="0"/>
                                          <w:marTop w:val="0"/>
                                          <w:marBottom w:val="0"/>
                                          <w:divBdr>
                                            <w:top w:val="none" w:sz="0" w:space="0" w:color="auto"/>
                                            <w:left w:val="none" w:sz="0" w:space="0" w:color="auto"/>
                                            <w:bottom w:val="none" w:sz="0" w:space="0" w:color="auto"/>
                                            <w:right w:val="none" w:sz="0" w:space="0" w:color="auto"/>
                                          </w:divBdr>
                                          <w:divsChild>
                                            <w:div w:id="52594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4610160">
      <w:bodyDiv w:val="1"/>
      <w:marLeft w:val="0"/>
      <w:marRight w:val="0"/>
      <w:marTop w:val="0"/>
      <w:marBottom w:val="0"/>
      <w:divBdr>
        <w:top w:val="none" w:sz="0" w:space="0" w:color="auto"/>
        <w:left w:val="none" w:sz="0" w:space="0" w:color="auto"/>
        <w:bottom w:val="none" w:sz="0" w:space="0" w:color="auto"/>
        <w:right w:val="none" w:sz="0" w:space="0" w:color="auto"/>
      </w:divBdr>
    </w:div>
    <w:div w:id="184296810">
      <w:bodyDiv w:val="1"/>
      <w:marLeft w:val="0"/>
      <w:marRight w:val="0"/>
      <w:marTop w:val="0"/>
      <w:marBottom w:val="0"/>
      <w:divBdr>
        <w:top w:val="none" w:sz="0" w:space="0" w:color="auto"/>
        <w:left w:val="none" w:sz="0" w:space="0" w:color="auto"/>
        <w:bottom w:val="none" w:sz="0" w:space="0" w:color="auto"/>
        <w:right w:val="none" w:sz="0" w:space="0" w:color="auto"/>
      </w:divBdr>
    </w:div>
    <w:div w:id="190261330">
      <w:bodyDiv w:val="1"/>
      <w:marLeft w:val="0"/>
      <w:marRight w:val="0"/>
      <w:marTop w:val="0"/>
      <w:marBottom w:val="0"/>
      <w:divBdr>
        <w:top w:val="none" w:sz="0" w:space="0" w:color="auto"/>
        <w:left w:val="none" w:sz="0" w:space="0" w:color="auto"/>
        <w:bottom w:val="none" w:sz="0" w:space="0" w:color="auto"/>
        <w:right w:val="none" w:sz="0" w:space="0" w:color="auto"/>
      </w:divBdr>
    </w:div>
    <w:div w:id="194470470">
      <w:bodyDiv w:val="1"/>
      <w:marLeft w:val="0"/>
      <w:marRight w:val="0"/>
      <w:marTop w:val="0"/>
      <w:marBottom w:val="0"/>
      <w:divBdr>
        <w:top w:val="none" w:sz="0" w:space="0" w:color="auto"/>
        <w:left w:val="none" w:sz="0" w:space="0" w:color="auto"/>
        <w:bottom w:val="none" w:sz="0" w:space="0" w:color="auto"/>
        <w:right w:val="none" w:sz="0" w:space="0" w:color="auto"/>
      </w:divBdr>
      <w:divsChild>
        <w:div w:id="1699968925">
          <w:marLeft w:val="0"/>
          <w:marRight w:val="0"/>
          <w:marTop w:val="0"/>
          <w:marBottom w:val="0"/>
          <w:divBdr>
            <w:top w:val="single" w:sz="2" w:space="0" w:color="D9D9E3"/>
            <w:left w:val="single" w:sz="2" w:space="0" w:color="D9D9E3"/>
            <w:bottom w:val="single" w:sz="2" w:space="0" w:color="D9D9E3"/>
            <w:right w:val="single" w:sz="2" w:space="0" w:color="D9D9E3"/>
          </w:divBdr>
          <w:divsChild>
            <w:div w:id="776943159">
              <w:marLeft w:val="0"/>
              <w:marRight w:val="0"/>
              <w:marTop w:val="0"/>
              <w:marBottom w:val="0"/>
              <w:divBdr>
                <w:top w:val="single" w:sz="2" w:space="0" w:color="D9D9E3"/>
                <w:left w:val="single" w:sz="2" w:space="0" w:color="D9D9E3"/>
                <w:bottom w:val="single" w:sz="2" w:space="0" w:color="D9D9E3"/>
                <w:right w:val="single" w:sz="2" w:space="0" w:color="D9D9E3"/>
              </w:divBdr>
              <w:divsChild>
                <w:div w:id="2108915038">
                  <w:marLeft w:val="0"/>
                  <w:marRight w:val="0"/>
                  <w:marTop w:val="0"/>
                  <w:marBottom w:val="0"/>
                  <w:divBdr>
                    <w:top w:val="single" w:sz="2" w:space="0" w:color="D9D9E3"/>
                    <w:left w:val="single" w:sz="2" w:space="0" w:color="D9D9E3"/>
                    <w:bottom w:val="single" w:sz="2" w:space="0" w:color="D9D9E3"/>
                    <w:right w:val="single" w:sz="2" w:space="0" w:color="D9D9E3"/>
                  </w:divBdr>
                  <w:divsChild>
                    <w:div w:id="1723288685">
                      <w:marLeft w:val="0"/>
                      <w:marRight w:val="0"/>
                      <w:marTop w:val="0"/>
                      <w:marBottom w:val="0"/>
                      <w:divBdr>
                        <w:top w:val="single" w:sz="2" w:space="0" w:color="D9D9E3"/>
                        <w:left w:val="single" w:sz="2" w:space="0" w:color="D9D9E3"/>
                        <w:bottom w:val="single" w:sz="2" w:space="0" w:color="D9D9E3"/>
                        <w:right w:val="single" w:sz="2" w:space="0" w:color="D9D9E3"/>
                      </w:divBdr>
                      <w:divsChild>
                        <w:div w:id="1959532355">
                          <w:marLeft w:val="0"/>
                          <w:marRight w:val="0"/>
                          <w:marTop w:val="0"/>
                          <w:marBottom w:val="0"/>
                          <w:divBdr>
                            <w:top w:val="single" w:sz="2" w:space="0" w:color="D9D9E3"/>
                            <w:left w:val="single" w:sz="2" w:space="0" w:color="D9D9E3"/>
                            <w:bottom w:val="single" w:sz="2" w:space="0" w:color="D9D9E3"/>
                            <w:right w:val="single" w:sz="2" w:space="0" w:color="D9D9E3"/>
                          </w:divBdr>
                          <w:divsChild>
                            <w:div w:id="2048218288">
                              <w:marLeft w:val="0"/>
                              <w:marRight w:val="0"/>
                              <w:marTop w:val="100"/>
                              <w:marBottom w:val="100"/>
                              <w:divBdr>
                                <w:top w:val="single" w:sz="2" w:space="0" w:color="D9D9E3"/>
                                <w:left w:val="single" w:sz="2" w:space="0" w:color="D9D9E3"/>
                                <w:bottom w:val="single" w:sz="2" w:space="0" w:color="D9D9E3"/>
                                <w:right w:val="single" w:sz="2" w:space="0" w:color="D9D9E3"/>
                              </w:divBdr>
                              <w:divsChild>
                                <w:div w:id="285350386">
                                  <w:marLeft w:val="0"/>
                                  <w:marRight w:val="0"/>
                                  <w:marTop w:val="0"/>
                                  <w:marBottom w:val="0"/>
                                  <w:divBdr>
                                    <w:top w:val="single" w:sz="2" w:space="0" w:color="D9D9E3"/>
                                    <w:left w:val="single" w:sz="2" w:space="0" w:color="D9D9E3"/>
                                    <w:bottom w:val="single" w:sz="2" w:space="0" w:color="D9D9E3"/>
                                    <w:right w:val="single" w:sz="2" w:space="0" w:color="D9D9E3"/>
                                  </w:divBdr>
                                  <w:divsChild>
                                    <w:div w:id="1051420980">
                                      <w:marLeft w:val="0"/>
                                      <w:marRight w:val="0"/>
                                      <w:marTop w:val="0"/>
                                      <w:marBottom w:val="0"/>
                                      <w:divBdr>
                                        <w:top w:val="single" w:sz="2" w:space="0" w:color="D9D9E3"/>
                                        <w:left w:val="single" w:sz="2" w:space="0" w:color="D9D9E3"/>
                                        <w:bottom w:val="single" w:sz="2" w:space="0" w:color="D9D9E3"/>
                                        <w:right w:val="single" w:sz="2" w:space="0" w:color="D9D9E3"/>
                                      </w:divBdr>
                                      <w:divsChild>
                                        <w:div w:id="1781989528">
                                          <w:marLeft w:val="0"/>
                                          <w:marRight w:val="0"/>
                                          <w:marTop w:val="0"/>
                                          <w:marBottom w:val="0"/>
                                          <w:divBdr>
                                            <w:top w:val="single" w:sz="2" w:space="0" w:color="D9D9E3"/>
                                            <w:left w:val="single" w:sz="2" w:space="0" w:color="D9D9E3"/>
                                            <w:bottom w:val="single" w:sz="2" w:space="0" w:color="D9D9E3"/>
                                            <w:right w:val="single" w:sz="2" w:space="0" w:color="D9D9E3"/>
                                          </w:divBdr>
                                          <w:divsChild>
                                            <w:div w:id="1762220371">
                                              <w:marLeft w:val="0"/>
                                              <w:marRight w:val="0"/>
                                              <w:marTop w:val="0"/>
                                              <w:marBottom w:val="0"/>
                                              <w:divBdr>
                                                <w:top w:val="single" w:sz="2" w:space="0" w:color="D9D9E3"/>
                                                <w:left w:val="single" w:sz="2" w:space="0" w:color="D9D9E3"/>
                                                <w:bottom w:val="single" w:sz="2" w:space="0" w:color="D9D9E3"/>
                                                <w:right w:val="single" w:sz="2" w:space="0" w:color="D9D9E3"/>
                                              </w:divBdr>
                                              <w:divsChild>
                                                <w:div w:id="1048261932">
                                                  <w:marLeft w:val="0"/>
                                                  <w:marRight w:val="0"/>
                                                  <w:marTop w:val="0"/>
                                                  <w:marBottom w:val="0"/>
                                                  <w:divBdr>
                                                    <w:top w:val="single" w:sz="2" w:space="0" w:color="D9D9E3"/>
                                                    <w:left w:val="single" w:sz="2" w:space="0" w:color="D9D9E3"/>
                                                    <w:bottom w:val="single" w:sz="2" w:space="0" w:color="D9D9E3"/>
                                                    <w:right w:val="single" w:sz="2" w:space="0" w:color="D9D9E3"/>
                                                  </w:divBdr>
                                                  <w:divsChild>
                                                    <w:div w:id="12896228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23185582">
          <w:marLeft w:val="0"/>
          <w:marRight w:val="0"/>
          <w:marTop w:val="0"/>
          <w:marBottom w:val="0"/>
          <w:divBdr>
            <w:top w:val="single" w:sz="2" w:space="0" w:color="D9D9E3"/>
            <w:left w:val="single" w:sz="2" w:space="0" w:color="D9D9E3"/>
            <w:bottom w:val="single" w:sz="2" w:space="0" w:color="D9D9E3"/>
            <w:right w:val="single" w:sz="2" w:space="0" w:color="D9D9E3"/>
          </w:divBdr>
          <w:divsChild>
            <w:div w:id="389622095">
              <w:marLeft w:val="0"/>
              <w:marRight w:val="0"/>
              <w:marTop w:val="0"/>
              <w:marBottom w:val="0"/>
              <w:divBdr>
                <w:top w:val="single" w:sz="2" w:space="0" w:color="D9D9E3"/>
                <w:left w:val="single" w:sz="2" w:space="0" w:color="D9D9E3"/>
                <w:bottom w:val="single" w:sz="2" w:space="0" w:color="D9D9E3"/>
                <w:right w:val="single" w:sz="2" w:space="0" w:color="D9D9E3"/>
              </w:divBdr>
              <w:divsChild>
                <w:div w:id="844055517">
                  <w:marLeft w:val="0"/>
                  <w:marRight w:val="0"/>
                  <w:marTop w:val="0"/>
                  <w:marBottom w:val="0"/>
                  <w:divBdr>
                    <w:top w:val="single" w:sz="2" w:space="0" w:color="D9D9E3"/>
                    <w:left w:val="single" w:sz="2" w:space="0" w:color="D9D9E3"/>
                    <w:bottom w:val="single" w:sz="2" w:space="0" w:color="D9D9E3"/>
                    <w:right w:val="single" w:sz="2" w:space="0" w:color="D9D9E3"/>
                  </w:divBdr>
                  <w:divsChild>
                    <w:div w:id="13269529">
                      <w:marLeft w:val="0"/>
                      <w:marRight w:val="0"/>
                      <w:marTop w:val="0"/>
                      <w:marBottom w:val="0"/>
                      <w:divBdr>
                        <w:top w:val="single" w:sz="6" w:space="0" w:color="auto"/>
                        <w:left w:val="single" w:sz="6" w:space="0" w:color="auto"/>
                        <w:bottom w:val="single" w:sz="6" w:space="0" w:color="auto"/>
                        <w:right w:val="single" w:sz="6" w:space="0" w:color="auto"/>
                      </w:divBdr>
                      <w:divsChild>
                        <w:div w:id="1731727478">
                          <w:marLeft w:val="0"/>
                          <w:marRight w:val="0"/>
                          <w:marTop w:val="0"/>
                          <w:marBottom w:val="0"/>
                          <w:divBdr>
                            <w:top w:val="none" w:sz="0" w:space="0" w:color="auto"/>
                            <w:left w:val="none" w:sz="0" w:space="0" w:color="auto"/>
                            <w:bottom w:val="none" w:sz="0" w:space="0" w:color="auto"/>
                            <w:right w:val="none" w:sz="0" w:space="0" w:color="auto"/>
                          </w:divBdr>
                          <w:divsChild>
                            <w:div w:id="1199513314">
                              <w:marLeft w:val="0"/>
                              <w:marRight w:val="0"/>
                              <w:marTop w:val="0"/>
                              <w:marBottom w:val="0"/>
                              <w:divBdr>
                                <w:top w:val="none" w:sz="0" w:space="0" w:color="auto"/>
                                <w:left w:val="none" w:sz="0" w:space="0" w:color="auto"/>
                                <w:bottom w:val="none" w:sz="0" w:space="0" w:color="auto"/>
                                <w:right w:val="none" w:sz="0" w:space="0" w:color="auto"/>
                              </w:divBdr>
                              <w:divsChild>
                                <w:div w:id="1132334436">
                                  <w:marLeft w:val="0"/>
                                  <w:marRight w:val="0"/>
                                  <w:marTop w:val="0"/>
                                  <w:marBottom w:val="0"/>
                                  <w:divBdr>
                                    <w:top w:val="none" w:sz="0" w:space="0" w:color="auto"/>
                                    <w:left w:val="none" w:sz="0" w:space="0" w:color="auto"/>
                                    <w:bottom w:val="none" w:sz="0" w:space="0" w:color="auto"/>
                                    <w:right w:val="none" w:sz="0" w:space="0" w:color="auto"/>
                                  </w:divBdr>
                                  <w:divsChild>
                                    <w:div w:id="831750041">
                                      <w:marLeft w:val="0"/>
                                      <w:marRight w:val="0"/>
                                      <w:marTop w:val="0"/>
                                      <w:marBottom w:val="0"/>
                                      <w:divBdr>
                                        <w:top w:val="none" w:sz="0" w:space="0" w:color="auto"/>
                                        <w:left w:val="none" w:sz="0" w:space="0" w:color="auto"/>
                                        <w:bottom w:val="none" w:sz="0" w:space="0" w:color="auto"/>
                                        <w:right w:val="none" w:sz="0" w:space="0" w:color="auto"/>
                                      </w:divBdr>
                                      <w:divsChild>
                                        <w:div w:id="1665163218">
                                          <w:marLeft w:val="0"/>
                                          <w:marRight w:val="0"/>
                                          <w:marTop w:val="0"/>
                                          <w:marBottom w:val="0"/>
                                          <w:divBdr>
                                            <w:top w:val="none" w:sz="0" w:space="0" w:color="auto"/>
                                            <w:left w:val="none" w:sz="0" w:space="0" w:color="auto"/>
                                            <w:bottom w:val="none" w:sz="0" w:space="0" w:color="auto"/>
                                            <w:right w:val="none" w:sz="0" w:space="0" w:color="auto"/>
                                          </w:divBdr>
                                          <w:divsChild>
                                            <w:div w:id="156278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3758315">
      <w:bodyDiv w:val="1"/>
      <w:marLeft w:val="0"/>
      <w:marRight w:val="0"/>
      <w:marTop w:val="0"/>
      <w:marBottom w:val="0"/>
      <w:divBdr>
        <w:top w:val="none" w:sz="0" w:space="0" w:color="auto"/>
        <w:left w:val="none" w:sz="0" w:space="0" w:color="auto"/>
        <w:bottom w:val="none" w:sz="0" w:space="0" w:color="auto"/>
        <w:right w:val="none" w:sz="0" w:space="0" w:color="auto"/>
      </w:divBdr>
    </w:div>
    <w:div w:id="226889148">
      <w:bodyDiv w:val="1"/>
      <w:marLeft w:val="0"/>
      <w:marRight w:val="0"/>
      <w:marTop w:val="0"/>
      <w:marBottom w:val="0"/>
      <w:divBdr>
        <w:top w:val="none" w:sz="0" w:space="0" w:color="auto"/>
        <w:left w:val="none" w:sz="0" w:space="0" w:color="auto"/>
        <w:bottom w:val="none" w:sz="0" w:space="0" w:color="auto"/>
        <w:right w:val="none" w:sz="0" w:space="0" w:color="auto"/>
      </w:divBdr>
    </w:div>
    <w:div w:id="267394530">
      <w:bodyDiv w:val="1"/>
      <w:marLeft w:val="0"/>
      <w:marRight w:val="0"/>
      <w:marTop w:val="0"/>
      <w:marBottom w:val="0"/>
      <w:divBdr>
        <w:top w:val="none" w:sz="0" w:space="0" w:color="auto"/>
        <w:left w:val="none" w:sz="0" w:space="0" w:color="auto"/>
        <w:bottom w:val="none" w:sz="0" w:space="0" w:color="auto"/>
        <w:right w:val="none" w:sz="0" w:space="0" w:color="auto"/>
      </w:divBdr>
    </w:div>
    <w:div w:id="294528327">
      <w:bodyDiv w:val="1"/>
      <w:marLeft w:val="0"/>
      <w:marRight w:val="0"/>
      <w:marTop w:val="0"/>
      <w:marBottom w:val="0"/>
      <w:divBdr>
        <w:top w:val="none" w:sz="0" w:space="0" w:color="auto"/>
        <w:left w:val="none" w:sz="0" w:space="0" w:color="auto"/>
        <w:bottom w:val="none" w:sz="0" w:space="0" w:color="auto"/>
        <w:right w:val="none" w:sz="0" w:space="0" w:color="auto"/>
      </w:divBdr>
    </w:div>
    <w:div w:id="310330727">
      <w:bodyDiv w:val="1"/>
      <w:marLeft w:val="0"/>
      <w:marRight w:val="0"/>
      <w:marTop w:val="0"/>
      <w:marBottom w:val="0"/>
      <w:divBdr>
        <w:top w:val="none" w:sz="0" w:space="0" w:color="auto"/>
        <w:left w:val="none" w:sz="0" w:space="0" w:color="auto"/>
        <w:bottom w:val="none" w:sz="0" w:space="0" w:color="auto"/>
        <w:right w:val="none" w:sz="0" w:space="0" w:color="auto"/>
      </w:divBdr>
      <w:divsChild>
        <w:div w:id="599988533">
          <w:marLeft w:val="0"/>
          <w:marRight w:val="0"/>
          <w:marTop w:val="0"/>
          <w:marBottom w:val="0"/>
          <w:divBdr>
            <w:top w:val="none" w:sz="0" w:space="0" w:color="auto"/>
            <w:left w:val="none" w:sz="0" w:space="0" w:color="auto"/>
            <w:bottom w:val="none" w:sz="0" w:space="0" w:color="auto"/>
            <w:right w:val="none" w:sz="0" w:space="0" w:color="auto"/>
          </w:divBdr>
          <w:divsChild>
            <w:div w:id="1038823748">
              <w:marLeft w:val="0"/>
              <w:marRight w:val="0"/>
              <w:marTop w:val="0"/>
              <w:marBottom w:val="0"/>
              <w:divBdr>
                <w:top w:val="none" w:sz="0" w:space="0" w:color="auto"/>
                <w:left w:val="none" w:sz="0" w:space="0" w:color="auto"/>
                <w:bottom w:val="none" w:sz="0" w:space="0" w:color="auto"/>
                <w:right w:val="none" w:sz="0" w:space="0" w:color="auto"/>
              </w:divBdr>
              <w:divsChild>
                <w:div w:id="140209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853841">
      <w:bodyDiv w:val="1"/>
      <w:marLeft w:val="0"/>
      <w:marRight w:val="0"/>
      <w:marTop w:val="0"/>
      <w:marBottom w:val="0"/>
      <w:divBdr>
        <w:top w:val="none" w:sz="0" w:space="0" w:color="auto"/>
        <w:left w:val="none" w:sz="0" w:space="0" w:color="auto"/>
        <w:bottom w:val="none" w:sz="0" w:space="0" w:color="auto"/>
        <w:right w:val="none" w:sz="0" w:space="0" w:color="auto"/>
      </w:divBdr>
    </w:div>
    <w:div w:id="354117111">
      <w:bodyDiv w:val="1"/>
      <w:marLeft w:val="0"/>
      <w:marRight w:val="0"/>
      <w:marTop w:val="0"/>
      <w:marBottom w:val="0"/>
      <w:divBdr>
        <w:top w:val="none" w:sz="0" w:space="0" w:color="auto"/>
        <w:left w:val="none" w:sz="0" w:space="0" w:color="auto"/>
        <w:bottom w:val="none" w:sz="0" w:space="0" w:color="auto"/>
        <w:right w:val="none" w:sz="0" w:space="0" w:color="auto"/>
      </w:divBdr>
    </w:div>
    <w:div w:id="382219013">
      <w:bodyDiv w:val="1"/>
      <w:marLeft w:val="0"/>
      <w:marRight w:val="0"/>
      <w:marTop w:val="0"/>
      <w:marBottom w:val="0"/>
      <w:divBdr>
        <w:top w:val="none" w:sz="0" w:space="0" w:color="auto"/>
        <w:left w:val="none" w:sz="0" w:space="0" w:color="auto"/>
        <w:bottom w:val="none" w:sz="0" w:space="0" w:color="auto"/>
        <w:right w:val="none" w:sz="0" w:space="0" w:color="auto"/>
      </w:divBdr>
    </w:div>
    <w:div w:id="386802954">
      <w:bodyDiv w:val="1"/>
      <w:marLeft w:val="0"/>
      <w:marRight w:val="0"/>
      <w:marTop w:val="0"/>
      <w:marBottom w:val="0"/>
      <w:divBdr>
        <w:top w:val="none" w:sz="0" w:space="0" w:color="auto"/>
        <w:left w:val="none" w:sz="0" w:space="0" w:color="auto"/>
        <w:bottom w:val="none" w:sz="0" w:space="0" w:color="auto"/>
        <w:right w:val="none" w:sz="0" w:space="0" w:color="auto"/>
      </w:divBdr>
    </w:div>
    <w:div w:id="403721327">
      <w:bodyDiv w:val="1"/>
      <w:marLeft w:val="0"/>
      <w:marRight w:val="0"/>
      <w:marTop w:val="0"/>
      <w:marBottom w:val="0"/>
      <w:divBdr>
        <w:top w:val="none" w:sz="0" w:space="0" w:color="auto"/>
        <w:left w:val="none" w:sz="0" w:space="0" w:color="auto"/>
        <w:bottom w:val="none" w:sz="0" w:space="0" w:color="auto"/>
        <w:right w:val="none" w:sz="0" w:space="0" w:color="auto"/>
      </w:divBdr>
    </w:div>
    <w:div w:id="404375129">
      <w:bodyDiv w:val="1"/>
      <w:marLeft w:val="0"/>
      <w:marRight w:val="0"/>
      <w:marTop w:val="0"/>
      <w:marBottom w:val="0"/>
      <w:divBdr>
        <w:top w:val="none" w:sz="0" w:space="0" w:color="auto"/>
        <w:left w:val="none" w:sz="0" w:space="0" w:color="auto"/>
        <w:bottom w:val="none" w:sz="0" w:space="0" w:color="auto"/>
        <w:right w:val="none" w:sz="0" w:space="0" w:color="auto"/>
      </w:divBdr>
    </w:div>
    <w:div w:id="415130391">
      <w:bodyDiv w:val="1"/>
      <w:marLeft w:val="0"/>
      <w:marRight w:val="0"/>
      <w:marTop w:val="0"/>
      <w:marBottom w:val="0"/>
      <w:divBdr>
        <w:top w:val="none" w:sz="0" w:space="0" w:color="auto"/>
        <w:left w:val="none" w:sz="0" w:space="0" w:color="auto"/>
        <w:bottom w:val="none" w:sz="0" w:space="0" w:color="auto"/>
        <w:right w:val="none" w:sz="0" w:space="0" w:color="auto"/>
      </w:divBdr>
    </w:div>
    <w:div w:id="428236904">
      <w:bodyDiv w:val="1"/>
      <w:marLeft w:val="0"/>
      <w:marRight w:val="0"/>
      <w:marTop w:val="0"/>
      <w:marBottom w:val="0"/>
      <w:divBdr>
        <w:top w:val="none" w:sz="0" w:space="0" w:color="auto"/>
        <w:left w:val="none" w:sz="0" w:space="0" w:color="auto"/>
        <w:bottom w:val="none" w:sz="0" w:space="0" w:color="auto"/>
        <w:right w:val="none" w:sz="0" w:space="0" w:color="auto"/>
      </w:divBdr>
    </w:div>
    <w:div w:id="438331442">
      <w:bodyDiv w:val="1"/>
      <w:marLeft w:val="0"/>
      <w:marRight w:val="0"/>
      <w:marTop w:val="0"/>
      <w:marBottom w:val="0"/>
      <w:divBdr>
        <w:top w:val="none" w:sz="0" w:space="0" w:color="auto"/>
        <w:left w:val="none" w:sz="0" w:space="0" w:color="auto"/>
        <w:bottom w:val="none" w:sz="0" w:space="0" w:color="auto"/>
        <w:right w:val="none" w:sz="0" w:space="0" w:color="auto"/>
      </w:divBdr>
      <w:divsChild>
        <w:div w:id="1604149732">
          <w:marLeft w:val="0"/>
          <w:marRight w:val="0"/>
          <w:marTop w:val="0"/>
          <w:marBottom w:val="0"/>
          <w:divBdr>
            <w:top w:val="none" w:sz="0" w:space="0" w:color="auto"/>
            <w:left w:val="none" w:sz="0" w:space="0" w:color="auto"/>
            <w:bottom w:val="none" w:sz="0" w:space="0" w:color="auto"/>
            <w:right w:val="none" w:sz="0" w:space="0" w:color="auto"/>
          </w:divBdr>
        </w:div>
        <w:div w:id="1824464393">
          <w:marLeft w:val="0"/>
          <w:marRight w:val="0"/>
          <w:marTop w:val="0"/>
          <w:marBottom w:val="0"/>
          <w:divBdr>
            <w:top w:val="none" w:sz="0" w:space="0" w:color="auto"/>
            <w:left w:val="none" w:sz="0" w:space="0" w:color="auto"/>
            <w:bottom w:val="none" w:sz="0" w:space="0" w:color="auto"/>
            <w:right w:val="none" w:sz="0" w:space="0" w:color="auto"/>
          </w:divBdr>
        </w:div>
      </w:divsChild>
    </w:div>
    <w:div w:id="462777281">
      <w:bodyDiv w:val="1"/>
      <w:marLeft w:val="0"/>
      <w:marRight w:val="0"/>
      <w:marTop w:val="0"/>
      <w:marBottom w:val="0"/>
      <w:divBdr>
        <w:top w:val="none" w:sz="0" w:space="0" w:color="auto"/>
        <w:left w:val="none" w:sz="0" w:space="0" w:color="auto"/>
        <w:bottom w:val="none" w:sz="0" w:space="0" w:color="auto"/>
        <w:right w:val="none" w:sz="0" w:space="0" w:color="auto"/>
      </w:divBdr>
    </w:div>
    <w:div w:id="464081649">
      <w:bodyDiv w:val="1"/>
      <w:marLeft w:val="0"/>
      <w:marRight w:val="0"/>
      <w:marTop w:val="0"/>
      <w:marBottom w:val="0"/>
      <w:divBdr>
        <w:top w:val="none" w:sz="0" w:space="0" w:color="auto"/>
        <w:left w:val="none" w:sz="0" w:space="0" w:color="auto"/>
        <w:bottom w:val="none" w:sz="0" w:space="0" w:color="auto"/>
        <w:right w:val="none" w:sz="0" w:space="0" w:color="auto"/>
      </w:divBdr>
    </w:div>
    <w:div w:id="481389050">
      <w:bodyDiv w:val="1"/>
      <w:marLeft w:val="0"/>
      <w:marRight w:val="0"/>
      <w:marTop w:val="0"/>
      <w:marBottom w:val="0"/>
      <w:divBdr>
        <w:top w:val="none" w:sz="0" w:space="0" w:color="auto"/>
        <w:left w:val="none" w:sz="0" w:space="0" w:color="auto"/>
        <w:bottom w:val="none" w:sz="0" w:space="0" w:color="auto"/>
        <w:right w:val="none" w:sz="0" w:space="0" w:color="auto"/>
      </w:divBdr>
    </w:div>
    <w:div w:id="490760355">
      <w:bodyDiv w:val="1"/>
      <w:marLeft w:val="0"/>
      <w:marRight w:val="0"/>
      <w:marTop w:val="0"/>
      <w:marBottom w:val="0"/>
      <w:divBdr>
        <w:top w:val="none" w:sz="0" w:space="0" w:color="auto"/>
        <w:left w:val="none" w:sz="0" w:space="0" w:color="auto"/>
        <w:bottom w:val="none" w:sz="0" w:space="0" w:color="auto"/>
        <w:right w:val="none" w:sz="0" w:space="0" w:color="auto"/>
      </w:divBdr>
    </w:div>
    <w:div w:id="492572778">
      <w:bodyDiv w:val="1"/>
      <w:marLeft w:val="0"/>
      <w:marRight w:val="0"/>
      <w:marTop w:val="0"/>
      <w:marBottom w:val="0"/>
      <w:divBdr>
        <w:top w:val="none" w:sz="0" w:space="0" w:color="auto"/>
        <w:left w:val="none" w:sz="0" w:space="0" w:color="auto"/>
        <w:bottom w:val="none" w:sz="0" w:space="0" w:color="auto"/>
        <w:right w:val="none" w:sz="0" w:space="0" w:color="auto"/>
      </w:divBdr>
    </w:div>
    <w:div w:id="496582180">
      <w:bodyDiv w:val="1"/>
      <w:marLeft w:val="0"/>
      <w:marRight w:val="0"/>
      <w:marTop w:val="0"/>
      <w:marBottom w:val="0"/>
      <w:divBdr>
        <w:top w:val="none" w:sz="0" w:space="0" w:color="auto"/>
        <w:left w:val="none" w:sz="0" w:space="0" w:color="auto"/>
        <w:bottom w:val="none" w:sz="0" w:space="0" w:color="auto"/>
        <w:right w:val="none" w:sz="0" w:space="0" w:color="auto"/>
      </w:divBdr>
    </w:div>
    <w:div w:id="503671066">
      <w:bodyDiv w:val="1"/>
      <w:marLeft w:val="0"/>
      <w:marRight w:val="0"/>
      <w:marTop w:val="0"/>
      <w:marBottom w:val="0"/>
      <w:divBdr>
        <w:top w:val="none" w:sz="0" w:space="0" w:color="auto"/>
        <w:left w:val="none" w:sz="0" w:space="0" w:color="auto"/>
        <w:bottom w:val="none" w:sz="0" w:space="0" w:color="auto"/>
        <w:right w:val="none" w:sz="0" w:space="0" w:color="auto"/>
      </w:divBdr>
    </w:div>
    <w:div w:id="505361099">
      <w:bodyDiv w:val="1"/>
      <w:marLeft w:val="0"/>
      <w:marRight w:val="0"/>
      <w:marTop w:val="0"/>
      <w:marBottom w:val="0"/>
      <w:divBdr>
        <w:top w:val="none" w:sz="0" w:space="0" w:color="auto"/>
        <w:left w:val="none" w:sz="0" w:space="0" w:color="auto"/>
        <w:bottom w:val="none" w:sz="0" w:space="0" w:color="auto"/>
        <w:right w:val="none" w:sz="0" w:space="0" w:color="auto"/>
      </w:divBdr>
    </w:div>
    <w:div w:id="527566114">
      <w:bodyDiv w:val="1"/>
      <w:marLeft w:val="0"/>
      <w:marRight w:val="0"/>
      <w:marTop w:val="0"/>
      <w:marBottom w:val="0"/>
      <w:divBdr>
        <w:top w:val="none" w:sz="0" w:space="0" w:color="auto"/>
        <w:left w:val="none" w:sz="0" w:space="0" w:color="auto"/>
        <w:bottom w:val="none" w:sz="0" w:space="0" w:color="auto"/>
        <w:right w:val="none" w:sz="0" w:space="0" w:color="auto"/>
      </w:divBdr>
    </w:div>
    <w:div w:id="532036687">
      <w:bodyDiv w:val="1"/>
      <w:marLeft w:val="0"/>
      <w:marRight w:val="0"/>
      <w:marTop w:val="0"/>
      <w:marBottom w:val="0"/>
      <w:divBdr>
        <w:top w:val="none" w:sz="0" w:space="0" w:color="auto"/>
        <w:left w:val="none" w:sz="0" w:space="0" w:color="auto"/>
        <w:bottom w:val="none" w:sz="0" w:space="0" w:color="auto"/>
        <w:right w:val="none" w:sz="0" w:space="0" w:color="auto"/>
      </w:divBdr>
      <w:divsChild>
        <w:div w:id="1385176197">
          <w:marLeft w:val="0"/>
          <w:marRight w:val="0"/>
          <w:marTop w:val="0"/>
          <w:marBottom w:val="0"/>
          <w:divBdr>
            <w:top w:val="none" w:sz="0" w:space="0" w:color="auto"/>
            <w:left w:val="none" w:sz="0" w:space="0" w:color="auto"/>
            <w:bottom w:val="none" w:sz="0" w:space="0" w:color="auto"/>
            <w:right w:val="none" w:sz="0" w:space="0" w:color="auto"/>
          </w:divBdr>
          <w:divsChild>
            <w:div w:id="1624729759">
              <w:marLeft w:val="0"/>
              <w:marRight w:val="0"/>
              <w:marTop w:val="0"/>
              <w:marBottom w:val="0"/>
              <w:divBdr>
                <w:top w:val="none" w:sz="0" w:space="0" w:color="auto"/>
                <w:left w:val="none" w:sz="0" w:space="0" w:color="auto"/>
                <w:bottom w:val="none" w:sz="0" w:space="0" w:color="auto"/>
                <w:right w:val="none" w:sz="0" w:space="0" w:color="auto"/>
              </w:divBdr>
              <w:divsChild>
                <w:div w:id="139435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625355">
      <w:bodyDiv w:val="1"/>
      <w:marLeft w:val="0"/>
      <w:marRight w:val="0"/>
      <w:marTop w:val="0"/>
      <w:marBottom w:val="0"/>
      <w:divBdr>
        <w:top w:val="none" w:sz="0" w:space="0" w:color="auto"/>
        <w:left w:val="none" w:sz="0" w:space="0" w:color="auto"/>
        <w:bottom w:val="none" w:sz="0" w:space="0" w:color="auto"/>
        <w:right w:val="none" w:sz="0" w:space="0" w:color="auto"/>
      </w:divBdr>
    </w:div>
    <w:div w:id="655567663">
      <w:bodyDiv w:val="1"/>
      <w:marLeft w:val="0"/>
      <w:marRight w:val="0"/>
      <w:marTop w:val="0"/>
      <w:marBottom w:val="0"/>
      <w:divBdr>
        <w:top w:val="none" w:sz="0" w:space="0" w:color="auto"/>
        <w:left w:val="none" w:sz="0" w:space="0" w:color="auto"/>
        <w:bottom w:val="none" w:sz="0" w:space="0" w:color="auto"/>
        <w:right w:val="none" w:sz="0" w:space="0" w:color="auto"/>
      </w:divBdr>
      <w:divsChild>
        <w:div w:id="1664115076">
          <w:marLeft w:val="0"/>
          <w:marRight w:val="0"/>
          <w:marTop w:val="0"/>
          <w:marBottom w:val="0"/>
          <w:divBdr>
            <w:top w:val="none" w:sz="0" w:space="0" w:color="auto"/>
            <w:left w:val="none" w:sz="0" w:space="0" w:color="auto"/>
            <w:bottom w:val="none" w:sz="0" w:space="0" w:color="auto"/>
            <w:right w:val="none" w:sz="0" w:space="0" w:color="auto"/>
          </w:divBdr>
          <w:divsChild>
            <w:div w:id="149757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181935">
      <w:bodyDiv w:val="1"/>
      <w:marLeft w:val="0"/>
      <w:marRight w:val="0"/>
      <w:marTop w:val="0"/>
      <w:marBottom w:val="0"/>
      <w:divBdr>
        <w:top w:val="none" w:sz="0" w:space="0" w:color="auto"/>
        <w:left w:val="none" w:sz="0" w:space="0" w:color="auto"/>
        <w:bottom w:val="none" w:sz="0" w:space="0" w:color="auto"/>
        <w:right w:val="none" w:sz="0" w:space="0" w:color="auto"/>
      </w:divBdr>
    </w:div>
    <w:div w:id="682585167">
      <w:bodyDiv w:val="1"/>
      <w:marLeft w:val="0"/>
      <w:marRight w:val="0"/>
      <w:marTop w:val="0"/>
      <w:marBottom w:val="0"/>
      <w:divBdr>
        <w:top w:val="none" w:sz="0" w:space="0" w:color="auto"/>
        <w:left w:val="none" w:sz="0" w:space="0" w:color="auto"/>
        <w:bottom w:val="none" w:sz="0" w:space="0" w:color="auto"/>
        <w:right w:val="none" w:sz="0" w:space="0" w:color="auto"/>
      </w:divBdr>
      <w:divsChild>
        <w:div w:id="1937130061">
          <w:marLeft w:val="0"/>
          <w:marRight w:val="0"/>
          <w:marTop w:val="0"/>
          <w:marBottom w:val="0"/>
          <w:divBdr>
            <w:top w:val="single" w:sz="2" w:space="0" w:color="D9D9E3"/>
            <w:left w:val="single" w:sz="2" w:space="0" w:color="D9D9E3"/>
            <w:bottom w:val="single" w:sz="2" w:space="0" w:color="D9D9E3"/>
            <w:right w:val="single" w:sz="2" w:space="0" w:color="D9D9E3"/>
          </w:divBdr>
          <w:divsChild>
            <w:div w:id="1077360353">
              <w:marLeft w:val="0"/>
              <w:marRight w:val="0"/>
              <w:marTop w:val="0"/>
              <w:marBottom w:val="0"/>
              <w:divBdr>
                <w:top w:val="single" w:sz="2" w:space="0" w:color="D9D9E3"/>
                <w:left w:val="single" w:sz="2" w:space="0" w:color="D9D9E3"/>
                <w:bottom w:val="single" w:sz="2" w:space="0" w:color="D9D9E3"/>
                <w:right w:val="single" w:sz="2" w:space="0" w:color="D9D9E3"/>
              </w:divBdr>
              <w:divsChild>
                <w:div w:id="671295355">
                  <w:marLeft w:val="0"/>
                  <w:marRight w:val="0"/>
                  <w:marTop w:val="0"/>
                  <w:marBottom w:val="0"/>
                  <w:divBdr>
                    <w:top w:val="single" w:sz="2" w:space="0" w:color="D9D9E3"/>
                    <w:left w:val="single" w:sz="2" w:space="0" w:color="D9D9E3"/>
                    <w:bottom w:val="single" w:sz="2" w:space="0" w:color="D9D9E3"/>
                    <w:right w:val="single" w:sz="2" w:space="0" w:color="D9D9E3"/>
                  </w:divBdr>
                  <w:divsChild>
                    <w:div w:id="1823421188">
                      <w:marLeft w:val="0"/>
                      <w:marRight w:val="0"/>
                      <w:marTop w:val="0"/>
                      <w:marBottom w:val="0"/>
                      <w:divBdr>
                        <w:top w:val="single" w:sz="2" w:space="0" w:color="D9D9E3"/>
                        <w:left w:val="single" w:sz="2" w:space="0" w:color="D9D9E3"/>
                        <w:bottom w:val="single" w:sz="2" w:space="0" w:color="D9D9E3"/>
                        <w:right w:val="single" w:sz="2" w:space="0" w:color="D9D9E3"/>
                      </w:divBdr>
                      <w:divsChild>
                        <w:div w:id="1666276545">
                          <w:marLeft w:val="0"/>
                          <w:marRight w:val="0"/>
                          <w:marTop w:val="0"/>
                          <w:marBottom w:val="0"/>
                          <w:divBdr>
                            <w:top w:val="single" w:sz="2" w:space="0" w:color="D9D9E3"/>
                            <w:left w:val="single" w:sz="2" w:space="0" w:color="D9D9E3"/>
                            <w:bottom w:val="single" w:sz="2" w:space="0" w:color="D9D9E3"/>
                            <w:right w:val="single" w:sz="2" w:space="0" w:color="D9D9E3"/>
                          </w:divBdr>
                          <w:divsChild>
                            <w:div w:id="252710805">
                              <w:marLeft w:val="0"/>
                              <w:marRight w:val="0"/>
                              <w:marTop w:val="100"/>
                              <w:marBottom w:val="100"/>
                              <w:divBdr>
                                <w:top w:val="single" w:sz="2" w:space="0" w:color="D9D9E3"/>
                                <w:left w:val="single" w:sz="2" w:space="0" w:color="D9D9E3"/>
                                <w:bottom w:val="single" w:sz="2" w:space="0" w:color="D9D9E3"/>
                                <w:right w:val="single" w:sz="2" w:space="0" w:color="D9D9E3"/>
                              </w:divBdr>
                              <w:divsChild>
                                <w:div w:id="2005089204">
                                  <w:marLeft w:val="0"/>
                                  <w:marRight w:val="0"/>
                                  <w:marTop w:val="0"/>
                                  <w:marBottom w:val="0"/>
                                  <w:divBdr>
                                    <w:top w:val="single" w:sz="2" w:space="0" w:color="D9D9E3"/>
                                    <w:left w:val="single" w:sz="2" w:space="0" w:color="D9D9E3"/>
                                    <w:bottom w:val="single" w:sz="2" w:space="0" w:color="D9D9E3"/>
                                    <w:right w:val="single" w:sz="2" w:space="0" w:color="D9D9E3"/>
                                  </w:divBdr>
                                  <w:divsChild>
                                    <w:div w:id="1426266931">
                                      <w:marLeft w:val="0"/>
                                      <w:marRight w:val="0"/>
                                      <w:marTop w:val="0"/>
                                      <w:marBottom w:val="0"/>
                                      <w:divBdr>
                                        <w:top w:val="single" w:sz="2" w:space="0" w:color="D9D9E3"/>
                                        <w:left w:val="single" w:sz="2" w:space="0" w:color="D9D9E3"/>
                                        <w:bottom w:val="single" w:sz="2" w:space="0" w:color="D9D9E3"/>
                                        <w:right w:val="single" w:sz="2" w:space="0" w:color="D9D9E3"/>
                                      </w:divBdr>
                                      <w:divsChild>
                                        <w:div w:id="2146972578">
                                          <w:marLeft w:val="0"/>
                                          <w:marRight w:val="0"/>
                                          <w:marTop w:val="0"/>
                                          <w:marBottom w:val="0"/>
                                          <w:divBdr>
                                            <w:top w:val="single" w:sz="2" w:space="0" w:color="D9D9E3"/>
                                            <w:left w:val="single" w:sz="2" w:space="0" w:color="D9D9E3"/>
                                            <w:bottom w:val="single" w:sz="2" w:space="0" w:color="D9D9E3"/>
                                            <w:right w:val="single" w:sz="2" w:space="0" w:color="D9D9E3"/>
                                          </w:divBdr>
                                          <w:divsChild>
                                            <w:div w:id="1113670444">
                                              <w:marLeft w:val="0"/>
                                              <w:marRight w:val="0"/>
                                              <w:marTop w:val="0"/>
                                              <w:marBottom w:val="0"/>
                                              <w:divBdr>
                                                <w:top w:val="single" w:sz="2" w:space="0" w:color="D9D9E3"/>
                                                <w:left w:val="single" w:sz="2" w:space="0" w:color="D9D9E3"/>
                                                <w:bottom w:val="single" w:sz="2" w:space="0" w:color="D9D9E3"/>
                                                <w:right w:val="single" w:sz="2" w:space="0" w:color="D9D9E3"/>
                                              </w:divBdr>
                                              <w:divsChild>
                                                <w:div w:id="575748495">
                                                  <w:marLeft w:val="0"/>
                                                  <w:marRight w:val="0"/>
                                                  <w:marTop w:val="0"/>
                                                  <w:marBottom w:val="0"/>
                                                  <w:divBdr>
                                                    <w:top w:val="single" w:sz="2" w:space="0" w:color="D9D9E3"/>
                                                    <w:left w:val="single" w:sz="2" w:space="0" w:color="D9D9E3"/>
                                                    <w:bottom w:val="single" w:sz="2" w:space="0" w:color="D9D9E3"/>
                                                    <w:right w:val="single" w:sz="2" w:space="0" w:color="D9D9E3"/>
                                                  </w:divBdr>
                                                  <w:divsChild>
                                                    <w:div w:id="12327645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6171047">
          <w:marLeft w:val="0"/>
          <w:marRight w:val="0"/>
          <w:marTop w:val="0"/>
          <w:marBottom w:val="0"/>
          <w:divBdr>
            <w:top w:val="single" w:sz="2" w:space="0" w:color="D9D9E3"/>
            <w:left w:val="single" w:sz="2" w:space="0" w:color="D9D9E3"/>
            <w:bottom w:val="single" w:sz="2" w:space="0" w:color="D9D9E3"/>
            <w:right w:val="single" w:sz="2" w:space="0" w:color="D9D9E3"/>
          </w:divBdr>
          <w:divsChild>
            <w:div w:id="1712538729">
              <w:marLeft w:val="0"/>
              <w:marRight w:val="0"/>
              <w:marTop w:val="0"/>
              <w:marBottom w:val="0"/>
              <w:divBdr>
                <w:top w:val="single" w:sz="2" w:space="0" w:color="D9D9E3"/>
                <w:left w:val="single" w:sz="2" w:space="0" w:color="D9D9E3"/>
                <w:bottom w:val="single" w:sz="2" w:space="0" w:color="D9D9E3"/>
                <w:right w:val="single" w:sz="2" w:space="0" w:color="D9D9E3"/>
              </w:divBdr>
              <w:divsChild>
                <w:div w:id="385834844">
                  <w:marLeft w:val="0"/>
                  <w:marRight w:val="0"/>
                  <w:marTop w:val="0"/>
                  <w:marBottom w:val="0"/>
                  <w:divBdr>
                    <w:top w:val="single" w:sz="2" w:space="0" w:color="D9D9E3"/>
                    <w:left w:val="single" w:sz="2" w:space="0" w:color="D9D9E3"/>
                    <w:bottom w:val="single" w:sz="2" w:space="0" w:color="D9D9E3"/>
                    <w:right w:val="single" w:sz="2" w:space="0" w:color="D9D9E3"/>
                  </w:divBdr>
                  <w:divsChild>
                    <w:div w:id="190344153">
                      <w:marLeft w:val="0"/>
                      <w:marRight w:val="0"/>
                      <w:marTop w:val="0"/>
                      <w:marBottom w:val="0"/>
                      <w:divBdr>
                        <w:top w:val="single" w:sz="6" w:space="0" w:color="auto"/>
                        <w:left w:val="single" w:sz="6" w:space="0" w:color="auto"/>
                        <w:bottom w:val="single" w:sz="6" w:space="0" w:color="auto"/>
                        <w:right w:val="single" w:sz="6" w:space="0" w:color="auto"/>
                      </w:divBdr>
                      <w:divsChild>
                        <w:div w:id="796416166">
                          <w:marLeft w:val="0"/>
                          <w:marRight w:val="0"/>
                          <w:marTop w:val="0"/>
                          <w:marBottom w:val="0"/>
                          <w:divBdr>
                            <w:top w:val="none" w:sz="0" w:space="0" w:color="auto"/>
                            <w:left w:val="none" w:sz="0" w:space="0" w:color="auto"/>
                            <w:bottom w:val="none" w:sz="0" w:space="0" w:color="auto"/>
                            <w:right w:val="none" w:sz="0" w:space="0" w:color="auto"/>
                          </w:divBdr>
                          <w:divsChild>
                            <w:div w:id="658076164">
                              <w:marLeft w:val="0"/>
                              <w:marRight w:val="0"/>
                              <w:marTop w:val="0"/>
                              <w:marBottom w:val="0"/>
                              <w:divBdr>
                                <w:top w:val="none" w:sz="0" w:space="0" w:color="auto"/>
                                <w:left w:val="none" w:sz="0" w:space="0" w:color="auto"/>
                                <w:bottom w:val="none" w:sz="0" w:space="0" w:color="auto"/>
                                <w:right w:val="none" w:sz="0" w:space="0" w:color="auto"/>
                              </w:divBdr>
                              <w:divsChild>
                                <w:div w:id="466120956">
                                  <w:marLeft w:val="0"/>
                                  <w:marRight w:val="0"/>
                                  <w:marTop w:val="0"/>
                                  <w:marBottom w:val="0"/>
                                  <w:divBdr>
                                    <w:top w:val="none" w:sz="0" w:space="0" w:color="auto"/>
                                    <w:left w:val="none" w:sz="0" w:space="0" w:color="auto"/>
                                    <w:bottom w:val="none" w:sz="0" w:space="0" w:color="auto"/>
                                    <w:right w:val="none" w:sz="0" w:space="0" w:color="auto"/>
                                  </w:divBdr>
                                  <w:divsChild>
                                    <w:div w:id="866404077">
                                      <w:marLeft w:val="0"/>
                                      <w:marRight w:val="0"/>
                                      <w:marTop w:val="0"/>
                                      <w:marBottom w:val="0"/>
                                      <w:divBdr>
                                        <w:top w:val="none" w:sz="0" w:space="0" w:color="auto"/>
                                        <w:left w:val="none" w:sz="0" w:space="0" w:color="auto"/>
                                        <w:bottom w:val="none" w:sz="0" w:space="0" w:color="auto"/>
                                        <w:right w:val="none" w:sz="0" w:space="0" w:color="auto"/>
                                      </w:divBdr>
                                      <w:divsChild>
                                        <w:div w:id="501354448">
                                          <w:marLeft w:val="0"/>
                                          <w:marRight w:val="0"/>
                                          <w:marTop w:val="0"/>
                                          <w:marBottom w:val="0"/>
                                          <w:divBdr>
                                            <w:top w:val="none" w:sz="0" w:space="0" w:color="auto"/>
                                            <w:left w:val="none" w:sz="0" w:space="0" w:color="auto"/>
                                            <w:bottom w:val="none" w:sz="0" w:space="0" w:color="auto"/>
                                            <w:right w:val="none" w:sz="0" w:space="0" w:color="auto"/>
                                          </w:divBdr>
                                          <w:divsChild>
                                            <w:div w:id="55928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5526139">
      <w:bodyDiv w:val="1"/>
      <w:marLeft w:val="0"/>
      <w:marRight w:val="0"/>
      <w:marTop w:val="0"/>
      <w:marBottom w:val="0"/>
      <w:divBdr>
        <w:top w:val="none" w:sz="0" w:space="0" w:color="auto"/>
        <w:left w:val="none" w:sz="0" w:space="0" w:color="auto"/>
        <w:bottom w:val="none" w:sz="0" w:space="0" w:color="auto"/>
        <w:right w:val="none" w:sz="0" w:space="0" w:color="auto"/>
      </w:divBdr>
    </w:div>
    <w:div w:id="695808336">
      <w:bodyDiv w:val="1"/>
      <w:marLeft w:val="0"/>
      <w:marRight w:val="0"/>
      <w:marTop w:val="0"/>
      <w:marBottom w:val="0"/>
      <w:divBdr>
        <w:top w:val="none" w:sz="0" w:space="0" w:color="auto"/>
        <w:left w:val="none" w:sz="0" w:space="0" w:color="auto"/>
        <w:bottom w:val="none" w:sz="0" w:space="0" w:color="auto"/>
        <w:right w:val="none" w:sz="0" w:space="0" w:color="auto"/>
      </w:divBdr>
    </w:div>
    <w:div w:id="703947690">
      <w:bodyDiv w:val="1"/>
      <w:marLeft w:val="0"/>
      <w:marRight w:val="0"/>
      <w:marTop w:val="0"/>
      <w:marBottom w:val="0"/>
      <w:divBdr>
        <w:top w:val="none" w:sz="0" w:space="0" w:color="auto"/>
        <w:left w:val="none" w:sz="0" w:space="0" w:color="auto"/>
        <w:bottom w:val="none" w:sz="0" w:space="0" w:color="auto"/>
        <w:right w:val="none" w:sz="0" w:space="0" w:color="auto"/>
      </w:divBdr>
    </w:div>
    <w:div w:id="710685838">
      <w:bodyDiv w:val="1"/>
      <w:marLeft w:val="0"/>
      <w:marRight w:val="0"/>
      <w:marTop w:val="0"/>
      <w:marBottom w:val="0"/>
      <w:divBdr>
        <w:top w:val="none" w:sz="0" w:space="0" w:color="auto"/>
        <w:left w:val="none" w:sz="0" w:space="0" w:color="auto"/>
        <w:bottom w:val="none" w:sz="0" w:space="0" w:color="auto"/>
        <w:right w:val="none" w:sz="0" w:space="0" w:color="auto"/>
      </w:divBdr>
    </w:div>
    <w:div w:id="725252201">
      <w:bodyDiv w:val="1"/>
      <w:marLeft w:val="0"/>
      <w:marRight w:val="0"/>
      <w:marTop w:val="0"/>
      <w:marBottom w:val="0"/>
      <w:divBdr>
        <w:top w:val="none" w:sz="0" w:space="0" w:color="auto"/>
        <w:left w:val="none" w:sz="0" w:space="0" w:color="auto"/>
        <w:bottom w:val="none" w:sz="0" w:space="0" w:color="auto"/>
        <w:right w:val="none" w:sz="0" w:space="0" w:color="auto"/>
      </w:divBdr>
    </w:div>
    <w:div w:id="726420405">
      <w:bodyDiv w:val="1"/>
      <w:marLeft w:val="0"/>
      <w:marRight w:val="0"/>
      <w:marTop w:val="0"/>
      <w:marBottom w:val="0"/>
      <w:divBdr>
        <w:top w:val="none" w:sz="0" w:space="0" w:color="auto"/>
        <w:left w:val="none" w:sz="0" w:space="0" w:color="auto"/>
        <w:bottom w:val="none" w:sz="0" w:space="0" w:color="auto"/>
        <w:right w:val="none" w:sz="0" w:space="0" w:color="auto"/>
      </w:divBdr>
    </w:div>
    <w:div w:id="757167849">
      <w:bodyDiv w:val="1"/>
      <w:marLeft w:val="0"/>
      <w:marRight w:val="0"/>
      <w:marTop w:val="0"/>
      <w:marBottom w:val="0"/>
      <w:divBdr>
        <w:top w:val="none" w:sz="0" w:space="0" w:color="auto"/>
        <w:left w:val="none" w:sz="0" w:space="0" w:color="auto"/>
        <w:bottom w:val="none" w:sz="0" w:space="0" w:color="auto"/>
        <w:right w:val="none" w:sz="0" w:space="0" w:color="auto"/>
      </w:divBdr>
    </w:div>
    <w:div w:id="767194197">
      <w:bodyDiv w:val="1"/>
      <w:marLeft w:val="0"/>
      <w:marRight w:val="0"/>
      <w:marTop w:val="0"/>
      <w:marBottom w:val="0"/>
      <w:divBdr>
        <w:top w:val="none" w:sz="0" w:space="0" w:color="auto"/>
        <w:left w:val="none" w:sz="0" w:space="0" w:color="auto"/>
        <w:bottom w:val="none" w:sz="0" w:space="0" w:color="auto"/>
        <w:right w:val="none" w:sz="0" w:space="0" w:color="auto"/>
      </w:divBdr>
      <w:divsChild>
        <w:div w:id="1123571006">
          <w:marLeft w:val="0"/>
          <w:marRight w:val="0"/>
          <w:marTop w:val="0"/>
          <w:marBottom w:val="0"/>
          <w:divBdr>
            <w:top w:val="single" w:sz="2" w:space="0" w:color="D9D9E3"/>
            <w:left w:val="single" w:sz="2" w:space="0" w:color="D9D9E3"/>
            <w:bottom w:val="single" w:sz="2" w:space="0" w:color="D9D9E3"/>
            <w:right w:val="single" w:sz="2" w:space="0" w:color="D9D9E3"/>
          </w:divBdr>
          <w:divsChild>
            <w:div w:id="419185744">
              <w:marLeft w:val="0"/>
              <w:marRight w:val="0"/>
              <w:marTop w:val="0"/>
              <w:marBottom w:val="0"/>
              <w:divBdr>
                <w:top w:val="single" w:sz="2" w:space="0" w:color="D9D9E3"/>
                <w:left w:val="single" w:sz="2" w:space="0" w:color="D9D9E3"/>
                <w:bottom w:val="single" w:sz="2" w:space="0" w:color="D9D9E3"/>
                <w:right w:val="single" w:sz="2" w:space="0" w:color="D9D9E3"/>
              </w:divBdr>
              <w:divsChild>
                <w:div w:id="1349720376">
                  <w:marLeft w:val="0"/>
                  <w:marRight w:val="0"/>
                  <w:marTop w:val="0"/>
                  <w:marBottom w:val="0"/>
                  <w:divBdr>
                    <w:top w:val="single" w:sz="2" w:space="0" w:color="D9D9E3"/>
                    <w:left w:val="single" w:sz="2" w:space="0" w:color="D9D9E3"/>
                    <w:bottom w:val="single" w:sz="2" w:space="0" w:color="D9D9E3"/>
                    <w:right w:val="single" w:sz="2" w:space="0" w:color="D9D9E3"/>
                  </w:divBdr>
                  <w:divsChild>
                    <w:div w:id="1400135916">
                      <w:marLeft w:val="0"/>
                      <w:marRight w:val="0"/>
                      <w:marTop w:val="0"/>
                      <w:marBottom w:val="0"/>
                      <w:divBdr>
                        <w:top w:val="single" w:sz="2" w:space="0" w:color="D9D9E3"/>
                        <w:left w:val="single" w:sz="2" w:space="0" w:color="D9D9E3"/>
                        <w:bottom w:val="single" w:sz="2" w:space="0" w:color="D9D9E3"/>
                        <w:right w:val="single" w:sz="2" w:space="0" w:color="D9D9E3"/>
                      </w:divBdr>
                      <w:divsChild>
                        <w:div w:id="617297649">
                          <w:marLeft w:val="0"/>
                          <w:marRight w:val="0"/>
                          <w:marTop w:val="0"/>
                          <w:marBottom w:val="0"/>
                          <w:divBdr>
                            <w:top w:val="single" w:sz="2" w:space="0" w:color="D9D9E3"/>
                            <w:left w:val="single" w:sz="2" w:space="0" w:color="D9D9E3"/>
                            <w:bottom w:val="single" w:sz="2" w:space="0" w:color="D9D9E3"/>
                            <w:right w:val="single" w:sz="2" w:space="0" w:color="D9D9E3"/>
                          </w:divBdr>
                          <w:divsChild>
                            <w:div w:id="1646543100">
                              <w:marLeft w:val="0"/>
                              <w:marRight w:val="0"/>
                              <w:marTop w:val="100"/>
                              <w:marBottom w:val="100"/>
                              <w:divBdr>
                                <w:top w:val="single" w:sz="2" w:space="0" w:color="D9D9E3"/>
                                <w:left w:val="single" w:sz="2" w:space="0" w:color="D9D9E3"/>
                                <w:bottom w:val="single" w:sz="2" w:space="0" w:color="D9D9E3"/>
                                <w:right w:val="single" w:sz="2" w:space="0" w:color="D9D9E3"/>
                              </w:divBdr>
                              <w:divsChild>
                                <w:div w:id="1993753190">
                                  <w:marLeft w:val="0"/>
                                  <w:marRight w:val="0"/>
                                  <w:marTop w:val="0"/>
                                  <w:marBottom w:val="0"/>
                                  <w:divBdr>
                                    <w:top w:val="single" w:sz="2" w:space="0" w:color="D9D9E3"/>
                                    <w:left w:val="single" w:sz="2" w:space="0" w:color="D9D9E3"/>
                                    <w:bottom w:val="single" w:sz="2" w:space="0" w:color="D9D9E3"/>
                                    <w:right w:val="single" w:sz="2" w:space="0" w:color="D9D9E3"/>
                                  </w:divBdr>
                                  <w:divsChild>
                                    <w:div w:id="219944838">
                                      <w:marLeft w:val="0"/>
                                      <w:marRight w:val="0"/>
                                      <w:marTop w:val="0"/>
                                      <w:marBottom w:val="0"/>
                                      <w:divBdr>
                                        <w:top w:val="single" w:sz="2" w:space="0" w:color="D9D9E3"/>
                                        <w:left w:val="single" w:sz="2" w:space="0" w:color="D9D9E3"/>
                                        <w:bottom w:val="single" w:sz="2" w:space="0" w:color="D9D9E3"/>
                                        <w:right w:val="single" w:sz="2" w:space="0" w:color="D9D9E3"/>
                                      </w:divBdr>
                                      <w:divsChild>
                                        <w:div w:id="2037268912">
                                          <w:marLeft w:val="0"/>
                                          <w:marRight w:val="0"/>
                                          <w:marTop w:val="0"/>
                                          <w:marBottom w:val="0"/>
                                          <w:divBdr>
                                            <w:top w:val="single" w:sz="2" w:space="0" w:color="D9D9E3"/>
                                            <w:left w:val="single" w:sz="2" w:space="0" w:color="D9D9E3"/>
                                            <w:bottom w:val="single" w:sz="2" w:space="0" w:color="D9D9E3"/>
                                            <w:right w:val="single" w:sz="2" w:space="0" w:color="D9D9E3"/>
                                          </w:divBdr>
                                          <w:divsChild>
                                            <w:div w:id="789393815">
                                              <w:marLeft w:val="0"/>
                                              <w:marRight w:val="0"/>
                                              <w:marTop w:val="0"/>
                                              <w:marBottom w:val="0"/>
                                              <w:divBdr>
                                                <w:top w:val="single" w:sz="2" w:space="0" w:color="D9D9E3"/>
                                                <w:left w:val="single" w:sz="2" w:space="0" w:color="D9D9E3"/>
                                                <w:bottom w:val="single" w:sz="2" w:space="0" w:color="D9D9E3"/>
                                                <w:right w:val="single" w:sz="2" w:space="0" w:color="D9D9E3"/>
                                              </w:divBdr>
                                              <w:divsChild>
                                                <w:div w:id="1163667130">
                                                  <w:marLeft w:val="0"/>
                                                  <w:marRight w:val="0"/>
                                                  <w:marTop w:val="0"/>
                                                  <w:marBottom w:val="0"/>
                                                  <w:divBdr>
                                                    <w:top w:val="single" w:sz="2" w:space="0" w:color="D9D9E3"/>
                                                    <w:left w:val="single" w:sz="2" w:space="0" w:color="D9D9E3"/>
                                                    <w:bottom w:val="single" w:sz="2" w:space="0" w:color="D9D9E3"/>
                                                    <w:right w:val="single" w:sz="2" w:space="0" w:color="D9D9E3"/>
                                                  </w:divBdr>
                                                  <w:divsChild>
                                                    <w:div w:id="1880336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20657959">
          <w:marLeft w:val="0"/>
          <w:marRight w:val="0"/>
          <w:marTop w:val="0"/>
          <w:marBottom w:val="0"/>
          <w:divBdr>
            <w:top w:val="single" w:sz="2" w:space="0" w:color="D9D9E3"/>
            <w:left w:val="single" w:sz="2" w:space="0" w:color="D9D9E3"/>
            <w:bottom w:val="single" w:sz="2" w:space="0" w:color="D9D9E3"/>
            <w:right w:val="single" w:sz="2" w:space="0" w:color="D9D9E3"/>
          </w:divBdr>
          <w:divsChild>
            <w:div w:id="533463853">
              <w:marLeft w:val="0"/>
              <w:marRight w:val="0"/>
              <w:marTop w:val="0"/>
              <w:marBottom w:val="0"/>
              <w:divBdr>
                <w:top w:val="single" w:sz="2" w:space="0" w:color="D9D9E3"/>
                <w:left w:val="single" w:sz="2" w:space="0" w:color="D9D9E3"/>
                <w:bottom w:val="single" w:sz="2" w:space="0" w:color="D9D9E3"/>
                <w:right w:val="single" w:sz="2" w:space="0" w:color="D9D9E3"/>
              </w:divBdr>
              <w:divsChild>
                <w:div w:id="1957832270">
                  <w:marLeft w:val="0"/>
                  <w:marRight w:val="0"/>
                  <w:marTop w:val="0"/>
                  <w:marBottom w:val="0"/>
                  <w:divBdr>
                    <w:top w:val="single" w:sz="2" w:space="0" w:color="D9D9E3"/>
                    <w:left w:val="single" w:sz="2" w:space="0" w:color="D9D9E3"/>
                    <w:bottom w:val="single" w:sz="2" w:space="0" w:color="D9D9E3"/>
                    <w:right w:val="single" w:sz="2" w:space="0" w:color="D9D9E3"/>
                  </w:divBdr>
                  <w:divsChild>
                    <w:div w:id="602608921">
                      <w:marLeft w:val="0"/>
                      <w:marRight w:val="0"/>
                      <w:marTop w:val="0"/>
                      <w:marBottom w:val="0"/>
                      <w:divBdr>
                        <w:top w:val="single" w:sz="6" w:space="0" w:color="auto"/>
                        <w:left w:val="single" w:sz="6" w:space="0" w:color="auto"/>
                        <w:bottom w:val="single" w:sz="6" w:space="0" w:color="auto"/>
                        <w:right w:val="single" w:sz="6" w:space="0" w:color="auto"/>
                      </w:divBdr>
                      <w:divsChild>
                        <w:div w:id="1130634850">
                          <w:marLeft w:val="0"/>
                          <w:marRight w:val="0"/>
                          <w:marTop w:val="0"/>
                          <w:marBottom w:val="0"/>
                          <w:divBdr>
                            <w:top w:val="none" w:sz="0" w:space="0" w:color="auto"/>
                            <w:left w:val="none" w:sz="0" w:space="0" w:color="auto"/>
                            <w:bottom w:val="none" w:sz="0" w:space="0" w:color="auto"/>
                            <w:right w:val="none" w:sz="0" w:space="0" w:color="auto"/>
                          </w:divBdr>
                          <w:divsChild>
                            <w:div w:id="356925483">
                              <w:marLeft w:val="0"/>
                              <w:marRight w:val="0"/>
                              <w:marTop w:val="0"/>
                              <w:marBottom w:val="0"/>
                              <w:divBdr>
                                <w:top w:val="none" w:sz="0" w:space="0" w:color="auto"/>
                                <w:left w:val="none" w:sz="0" w:space="0" w:color="auto"/>
                                <w:bottom w:val="none" w:sz="0" w:space="0" w:color="auto"/>
                                <w:right w:val="none" w:sz="0" w:space="0" w:color="auto"/>
                              </w:divBdr>
                              <w:divsChild>
                                <w:div w:id="388573631">
                                  <w:marLeft w:val="0"/>
                                  <w:marRight w:val="0"/>
                                  <w:marTop w:val="0"/>
                                  <w:marBottom w:val="0"/>
                                  <w:divBdr>
                                    <w:top w:val="none" w:sz="0" w:space="0" w:color="auto"/>
                                    <w:left w:val="none" w:sz="0" w:space="0" w:color="auto"/>
                                    <w:bottom w:val="none" w:sz="0" w:space="0" w:color="auto"/>
                                    <w:right w:val="none" w:sz="0" w:space="0" w:color="auto"/>
                                  </w:divBdr>
                                  <w:divsChild>
                                    <w:div w:id="28770665">
                                      <w:marLeft w:val="0"/>
                                      <w:marRight w:val="0"/>
                                      <w:marTop w:val="0"/>
                                      <w:marBottom w:val="0"/>
                                      <w:divBdr>
                                        <w:top w:val="none" w:sz="0" w:space="0" w:color="auto"/>
                                        <w:left w:val="none" w:sz="0" w:space="0" w:color="auto"/>
                                        <w:bottom w:val="none" w:sz="0" w:space="0" w:color="auto"/>
                                        <w:right w:val="none" w:sz="0" w:space="0" w:color="auto"/>
                                      </w:divBdr>
                                      <w:divsChild>
                                        <w:div w:id="1687710721">
                                          <w:marLeft w:val="0"/>
                                          <w:marRight w:val="0"/>
                                          <w:marTop w:val="0"/>
                                          <w:marBottom w:val="0"/>
                                          <w:divBdr>
                                            <w:top w:val="none" w:sz="0" w:space="0" w:color="auto"/>
                                            <w:left w:val="none" w:sz="0" w:space="0" w:color="auto"/>
                                            <w:bottom w:val="none" w:sz="0" w:space="0" w:color="auto"/>
                                            <w:right w:val="none" w:sz="0" w:space="0" w:color="auto"/>
                                          </w:divBdr>
                                          <w:divsChild>
                                            <w:div w:id="129579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9475119">
      <w:bodyDiv w:val="1"/>
      <w:marLeft w:val="0"/>
      <w:marRight w:val="0"/>
      <w:marTop w:val="0"/>
      <w:marBottom w:val="0"/>
      <w:divBdr>
        <w:top w:val="none" w:sz="0" w:space="0" w:color="auto"/>
        <w:left w:val="none" w:sz="0" w:space="0" w:color="auto"/>
        <w:bottom w:val="none" w:sz="0" w:space="0" w:color="auto"/>
        <w:right w:val="none" w:sz="0" w:space="0" w:color="auto"/>
      </w:divBdr>
    </w:div>
    <w:div w:id="784886670">
      <w:bodyDiv w:val="1"/>
      <w:marLeft w:val="0"/>
      <w:marRight w:val="0"/>
      <w:marTop w:val="0"/>
      <w:marBottom w:val="0"/>
      <w:divBdr>
        <w:top w:val="none" w:sz="0" w:space="0" w:color="auto"/>
        <w:left w:val="none" w:sz="0" w:space="0" w:color="auto"/>
        <w:bottom w:val="none" w:sz="0" w:space="0" w:color="auto"/>
        <w:right w:val="none" w:sz="0" w:space="0" w:color="auto"/>
      </w:divBdr>
    </w:div>
    <w:div w:id="786507221">
      <w:bodyDiv w:val="1"/>
      <w:marLeft w:val="0"/>
      <w:marRight w:val="0"/>
      <w:marTop w:val="0"/>
      <w:marBottom w:val="0"/>
      <w:divBdr>
        <w:top w:val="none" w:sz="0" w:space="0" w:color="auto"/>
        <w:left w:val="none" w:sz="0" w:space="0" w:color="auto"/>
        <w:bottom w:val="none" w:sz="0" w:space="0" w:color="auto"/>
        <w:right w:val="none" w:sz="0" w:space="0" w:color="auto"/>
      </w:divBdr>
    </w:div>
    <w:div w:id="801654402">
      <w:bodyDiv w:val="1"/>
      <w:marLeft w:val="0"/>
      <w:marRight w:val="0"/>
      <w:marTop w:val="0"/>
      <w:marBottom w:val="0"/>
      <w:divBdr>
        <w:top w:val="none" w:sz="0" w:space="0" w:color="auto"/>
        <w:left w:val="none" w:sz="0" w:space="0" w:color="auto"/>
        <w:bottom w:val="none" w:sz="0" w:space="0" w:color="auto"/>
        <w:right w:val="none" w:sz="0" w:space="0" w:color="auto"/>
      </w:divBdr>
      <w:divsChild>
        <w:div w:id="1293905192">
          <w:marLeft w:val="0"/>
          <w:marRight w:val="0"/>
          <w:marTop w:val="0"/>
          <w:marBottom w:val="0"/>
          <w:divBdr>
            <w:top w:val="none" w:sz="0" w:space="0" w:color="auto"/>
            <w:left w:val="none" w:sz="0" w:space="0" w:color="auto"/>
            <w:bottom w:val="none" w:sz="0" w:space="0" w:color="auto"/>
            <w:right w:val="none" w:sz="0" w:space="0" w:color="auto"/>
          </w:divBdr>
          <w:divsChild>
            <w:div w:id="909003743">
              <w:marLeft w:val="0"/>
              <w:marRight w:val="0"/>
              <w:marTop w:val="0"/>
              <w:marBottom w:val="0"/>
              <w:divBdr>
                <w:top w:val="none" w:sz="0" w:space="0" w:color="auto"/>
                <w:left w:val="none" w:sz="0" w:space="0" w:color="auto"/>
                <w:bottom w:val="none" w:sz="0" w:space="0" w:color="auto"/>
                <w:right w:val="none" w:sz="0" w:space="0" w:color="auto"/>
              </w:divBdr>
              <w:divsChild>
                <w:div w:id="1366522093">
                  <w:marLeft w:val="0"/>
                  <w:marRight w:val="0"/>
                  <w:marTop w:val="0"/>
                  <w:marBottom w:val="0"/>
                  <w:divBdr>
                    <w:top w:val="none" w:sz="0" w:space="0" w:color="auto"/>
                    <w:left w:val="none" w:sz="0" w:space="0" w:color="auto"/>
                    <w:bottom w:val="none" w:sz="0" w:space="0" w:color="auto"/>
                    <w:right w:val="none" w:sz="0" w:space="0" w:color="auto"/>
                  </w:divBdr>
                  <w:divsChild>
                    <w:div w:id="23941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9322244">
      <w:bodyDiv w:val="1"/>
      <w:marLeft w:val="0"/>
      <w:marRight w:val="0"/>
      <w:marTop w:val="0"/>
      <w:marBottom w:val="0"/>
      <w:divBdr>
        <w:top w:val="none" w:sz="0" w:space="0" w:color="auto"/>
        <w:left w:val="none" w:sz="0" w:space="0" w:color="auto"/>
        <w:bottom w:val="none" w:sz="0" w:space="0" w:color="auto"/>
        <w:right w:val="none" w:sz="0" w:space="0" w:color="auto"/>
      </w:divBdr>
    </w:div>
    <w:div w:id="859975192">
      <w:bodyDiv w:val="1"/>
      <w:marLeft w:val="0"/>
      <w:marRight w:val="0"/>
      <w:marTop w:val="0"/>
      <w:marBottom w:val="0"/>
      <w:divBdr>
        <w:top w:val="none" w:sz="0" w:space="0" w:color="auto"/>
        <w:left w:val="none" w:sz="0" w:space="0" w:color="auto"/>
        <w:bottom w:val="none" w:sz="0" w:space="0" w:color="auto"/>
        <w:right w:val="none" w:sz="0" w:space="0" w:color="auto"/>
      </w:divBdr>
    </w:div>
    <w:div w:id="863205003">
      <w:bodyDiv w:val="1"/>
      <w:marLeft w:val="0"/>
      <w:marRight w:val="0"/>
      <w:marTop w:val="0"/>
      <w:marBottom w:val="0"/>
      <w:divBdr>
        <w:top w:val="none" w:sz="0" w:space="0" w:color="auto"/>
        <w:left w:val="none" w:sz="0" w:space="0" w:color="auto"/>
        <w:bottom w:val="none" w:sz="0" w:space="0" w:color="auto"/>
        <w:right w:val="none" w:sz="0" w:space="0" w:color="auto"/>
      </w:divBdr>
    </w:div>
    <w:div w:id="863788434">
      <w:bodyDiv w:val="1"/>
      <w:marLeft w:val="0"/>
      <w:marRight w:val="0"/>
      <w:marTop w:val="0"/>
      <w:marBottom w:val="0"/>
      <w:divBdr>
        <w:top w:val="none" w:sz="0" w:space="0" w:color="auto"/>
        <w:left w:val="none" w:sz="0" w:space="0" w:color="auto"/>
        <w:bottom w:val="none" w:sz="0" w:space="0" w:color="auto"/>
        <w:right w:val="none" w:sz="0" w:space="0" w:color="auto"/>
      </w:divBdr>
    </w:div>
    <w:div w:id="888303885">
      <w:bodyDiv w:val="1"/>
      <w:marLeft w:val="0"/>
      <w:marRight w:val="0"/>
      <w:marTop w:val="0"/>
      <w:marBottom w:val="0"/>
      <w:divBdr>
        <w:top w:val="none" w:sz="0" w:space="0" w:color="auto"/>
        <w:left w:val="none" w:sz="0" w:space="0" w:color="auto"/>
        <w:bottom w:val="none" w:sz="0" w:space="0" w:color="auto"/>
        <w:right w:val="none" w:sz="0" w:space="0" w:color="auto"/>
      </w:divBdr>
      <w:divsChild>
        <w:div w:id="522522286">
          <w:marLeft w:val="0"/>
          <w:marRight w:val="0"/>
          <w:marTop w:val="0"/>
          <w:marBottom w:val="0"/>
          <w:divBdr>
            <w:top w:val="none" w:sz="0" w:space="0" w:color="auto"/>
            <w:left w:val="none" w:sz="0" w:space="0" w:color="auto"/>
            <w:bottom w:val="none" w:sz="0" w:space="0" w:color="auto"/>
            <w:right w:val="none" w:sz="0" w:space="0" w:color="auto"/>
          </w:divBdr>
          <w:divsChild>
            <w:div w:id="1322276360">
              <w:marLeft w:val="0"/>
              <w:marRight w:val="0"/>
              <w:marTop w:val="0"/>
              <w:marBottom w:val="0"/>
              <w:divBdr>
                <w:top w:val="none" w:sz="0" w:space="0" w:color="auto"/>
                <w:left w:val="none" w:sz="0" w:space="0" w:color="auto"/>
                <w:bottom w:val="none" w:sz="0" w:space="0" w:color="auto"/>
                <w:right w:val="none" w:sz="0" w:space="0" w:color="auto"/>
              </w:divBdr>
              <w:divsChild>
                <w:div w:id="186555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814486">
      <w:bodyDiv w:val="1"/>
      <w:marLeft w:val="0"/>
      <w:marRight w:val="0"/>
      <w:marTop w:val="0"/>
      <w:marBottom w:val="0"/>
      <w:divBdr>
        <w:top w:val="none" w:sz="0" w:space="0" w:color="auto"/>
        <w:left w:val="none" w:sz="0" w:space="0" w:color="auto"/>
        <w:bottom w:val="none" w:sz="0" w:space="0" w:color="auto"/>
        <w:right w:val="none" w:sz="0" w:space="0" w:color="auto"/>
      </w:divBdr>
    </w:div>
    <w:div w:id="939483619">
      <w:bodyDiv w:val="1"/>
      <w:marLeft w:val="0"/>
      <w:marRight w:val="0"/>
      <w:marTop w:val="0"/>
      <w:marBottom w:val="0"/>
      <w:divBdr>
        <w:top w:val="none" w:sz="0" w:space="0" w:color="auto"/>
        <w:left w:val="none" w:sz="0" w:space="0" w:color="auto"/>
        <w:bottom w:val="none" w:sz="0" w:space="0" w:color="auto"/>
        <w:right w:val="none" w:sz="0" w:space="0" w:color="auto"/>
      </w:divBdr>
    </w:div>
    <w:div w:id="993222089">
      <w:bodyDiv w:val="1"/>
      <w:marLeft w:val="0"/>
      <w:marRight w:val="0"/>
      <w:marTop w:val="0"/>
      <w:marBottom w:val="0"/>
      <w:divBdr>
        <w:top w:val="none" w:sz="0" w:space="0" w:color="auto"/>
        <w:left w:val="none" w:sz="0" w:space="0" w:color="auto"/>
        <w:bottom w:val="none" w:sz="0" w:space="0" w:color="auto"/>
        <w:right w:val="none" w:sz="0" w:space="0" w:color="auto"/>
      </w:divBdr>
    </w:div>
    <w:div w:id="1012073512">
      <w:bodyDiv w:val="1"/>
      <w:marLeft w:val="0"/>
      <w:marRight w:val="0"/>
      <w:marTop w:val="0"/>
      <w:marBottom w:val="0"/>
      <w:divBdr>
        <w:top w:val="none" w:sz="0" w:space="0" w:color="auto"/>
        <w:left w:val="none" w:sz="0" w:space="0" w:color="auto"/>
        <w:bottom w:val="none" w:sz="0" w:space="0" w:color="auto"/>
        <w:right w:val="none" w:sz="0" w:space="0" w:color="auto"/>
      </w:divBdr>
    </w:div>
    <w:div w:id="1019697772">
      <w:bodyDiv w:val="1"/>
      <w:marLeft w:val="0"/>
      <w:marRight w:val="0"/>
      <w:marTop w:val="0"/>
      <w:marBottom w:val="0"/>
      <w:divBdr>
        <w:top w:val="none" w:sz="0" w:space="0" w:color="auto"/>
        <w:left w:val="none" w:sz="0" w:space="0" w:color="auto"/>
        <w:bottom w:val="none" w:sz="0" w:space="0" w:color="auto"/>
        <w:right w:val="none" w:sz="0" w:space="0" w:color="auto"/>
      </w:divBdr>
    </w:div>
    <w:div w:id="1028026960">
      <w:bodyDiv w:val="1"/>
      <w:marLeft w:val="0"/>
      <w:marRight w:val="0"/>
      <w:marTop w:val="0"/>
      <w:marBottom w:val="0"/>
      <w:divBdr>
        <w:top w:val="none" w:sz="0" w:space="0" w:color="auto"/>
        <w:left w:val="none" w:sz="0" w:space="0" w:color="auto"/>
        <w:bottom w:val="none" w:sz="0" w:space="0" w:color="auto"/>
        <w:right w:val="none" w:sz="0" w:space="0" w:color="auto"/>
      </w:divBdr>
    </w:div>
    <w:div w:id="1029645784">
      <w:bodyDiv w:val="1"/>
      <w:marLeft w:val="0"/>
      <w:marRight w:val="0"/>
      <w:marTop w:val="0"/>
      <w:marBottom w:val="0"/>
      <w:divBdr>
        <w:top w:val="none" w:sz="0" w:space="0" w:color="auto"/>
        <w:left w:val="none" w:sz="0" w:space="0" w:color="auto"/>
        <w:bottom w:val="none" w:sz="0" w:space="0" w:color="auto"/>
        <w:right w:val="none" w:sz="0" w:space="0" w:color="auto"/>
      </w:divBdr>
    </w:div>
    <w:div w:id="1042941075">
      <w:bodyDiv w:val="1"/>
      <w:marLeft w:val="0"/>
      <w:marRight w:val="0"/>
      <w:marTop w:val="0"/>
      <w:marBottom w:val="0"/>
      <w:divBdr>
        <w:top w:val="none" w:sz="0" w:space="0" w:color="auto"/>
        <w:left w:val="none" w:sz="0" w:space="0" w:color="auto"/>
        <w:bottom w:val="none" w:sz="0" w:space="0" w:color="auto"/>
        <w:right w:val="none" w:sz="0" w:space="0" w:color="auto"/>
      </w:divBdr>
    </w:div>
    <w:div w:id="1057702394">
      <w:bodyDiv w:val="1"/>
      <w:marLeft w:val="0"/>
      <w:marRight w:val="0"/>
      <w:marTop w:val="0"/>
      <w:marBottom w:val="0"/>
      <w:divBdr>
        <w:top w:val="none" w:sz="0" w:space="0" w:color="auto"/>
        <w:left w:val="none" w:sz="0" w:space="0" w:color="auto"/>
        <w:bottom w:val="none" w:sz="0" w:space="0" w:color="auto"/>
        <w:right w:val="none" w:sz="0" w:space="0" w:color="auto"/>
      </w:divBdr>
    </w:div>
    <w:div w:id="1063288620">
      <w:bodyDiv w:val="1"/>
      <w:marLeft w:val="0"/>
      <w:marRight w:val="0"/>
      <w:marTop w:val="0"/>
      <w:marBottom w:val="0"/>
      <w:divBdr>
        <w:top w:val="none" w:sz="0" w:space="0" w:color="auto"/>
        <w:left w:val="none" w:sz="0" w:space="0" w:color="auto"/>
        <w:bottom w:val="none" w:sz="0" w:space="0" w:color="auto"/>
        <w:right w:val="none" w:sz="0" w:space="0" w:color="auto"/>
      </w:divBdr>
    </w:div>
    <w:div w:id="1066417110">
      <w:bodyDiv w:val="1"/>
      <w:marLeft w:val="0"/>
      <w:marRight w:val="0"/>
      <w:marTop w:val="0"/>
      <w:marBottom w:val="0"/>
      <w:divBdr>
        <w:top w:val="none" w:sz="0" w:space="0" w:color="auto"/>
        <w:left w:val="none" w:sz="0" w:space="0" w:color="auto"/>
        <w:bottom w:val="none" w:sz="0" w:space="0" w:color="auto"/>
        <w:right w:val="none" w:sz="0" w:space="0" w:color="auto"/>
      </w:divBdr>
    </w:div>
    <w:div w:id="1081176307">
      <w:bodyDiv w:val="1"/>
      <w:marLeft w:val="0"/>
      <w:marRight w:val="0"/>
      <w:marTop w:val="0"/>
      <w:marBottom w:val="0"/>
      <w:divBdr>
        <w:top w:val="none" w:sz="0" w:space="0" w:color="auto"/>
        <w:left w:val="none" w:sz="0" w:space="0" w:color="auto"/>
        <w:bottom w:val="none" w:sz="0" w:space="0" w:color="auto"/>
        <w:right w:val="none" w:sz="0" w:space="0" w:color="auto"/>
      </w:divBdr>
    </w:div>
    <w:div w:id="1087464797">
      <w:bodyDiv w:val="1"/>
      <w:marLeft w:val="0"/>
      <w:marRight w:val="0"/>
      <w:marTop w:val="0"/>
      <w:marBottom w:val="0"/>
      <w:divBdr>
        <w:top w:val="none" w:sz="0" w:space="0" w:color="auto"/>
        <w:left w:val="none" w:sz="0" w:space="0" w:color="auto"/>
        <w:bottom w:val="none" w:sz="0" w:space="0" w:color="auto"/>
        <w:right w:val="none" w:sz="0" w:space="0" w:color="auto"/>
      </w:divBdr>
    </w:div>
    <w:div w:id="1101997273">
      <w:bodyDiv w:val="1"/>
      <w:marLeft w:val="0"/>
      <w:marRight w:val="0"/>
      <w:marTop w:val="0"/>
      <w:marBottom w:val="0"/>
      <w:divBdr>
        <w:top w:val="none" w:sz="0" w:space="0" w:color="auto"/>
        <w:left w:val="none" w:sz="0" w:space="0" w:color="auto"/>
        <w:bottom w:val="none" w:sz="0" w:space="0" w:color="auto"/>
        <w:right w:val="none" w:sz="0" w:space="0" w:color="auto"/>
      </w:divBdr>
      <w:divsChild>
        <w:div w:id="1446726236">
          <w:marLeft w:val="0"/>
          <w:marRight w:val="0"/>
          <w:marTop w:val="0"/>
          <w:marBottom w:val="0"/>
          <w:divBdr>
            <w:top w:val="none" w:sz="0" w:space="0" w:color="auto"/>
            <w:left w:val="none" w:sz="0" w:space="0" w:color="auto"/>
            <w:bottom w:val="none" w:sz="0" w:space="0" w:color="auto"/>
            <w:right w:val="none" w:sz="0" w:space="0" w:color="auto"/>
          </w:divBdr>
          <w:divsChild>
            <w:div w:id="286815529">
              <w:marLeft w:val="0"/>
              <w:marRight w:val="0"/>
              <w:marTop w:val="0"/>
              <w:marBottom w:val="0"/>
              <w:divBdr>
                <w:top w:val="none" w:sz="0" w:space="0" w:color="auto"/>
                <w:left w:val="none" w:sz="0" w:space="0" w:color="auto"/>
                <w:bottom w:val="none" w:sz="0" w:space="0" w:color="auto"/>
                <w:right w:val="none" w:sz="0" w:space="0" w:color="auto"/>
              </w:divBdr>
              <w:divsChild>
                <w:div w:id="96705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158201">
      <w:bodyDiv w:val="1"/>
      <w:marLeft w:val="0"/>
      <w:marRight w:val="0"/>
      <w:marTop w:val="0"/>
      <w:marBottom w:val="0"/>
      <w:divBdr>
        <w:top w:val="none" w:sz="0" w:space="0" w:color="auto"/>
        <w:left w:val="none" w:sz="0" w:space="0" w:color="auto"/>
        <w:bottom w:val="none" w:sz="0" w:space="0" w:color="auto"/>
        <w:right w:val="none" w:sz="0" w:space="0" w:color="auto"/>
      </w:divBdr>
    </w:div>
    <w:div w:id="1108280524">
      <w:bodyDiv w:val="1"/>
      <w:marLeft w:val="0"/>
      <w:marRight w:val="0"/>
      <w:marTop w:val="0"/>
      <w:marBottom w:val="0"/>
      <w:divBdr>
        <w:top w:val="none" w:sz="0" w:space="0" w:color="auto"/>
        <w:left w:val="none" w:sz="0" w:space="0" w:color="auto"/>
        <w:bottom w:val="none" w:sz="0" w:space="0" w:color="auto"/>
        <w:right w:val="none" w:sz="0" w:space="0" w:color="auto"/>
      </w:divBdr>
    </w:div>
    <w:div w:id="1118182145">
      <w:bodyDiv w:val="1"/>
      <w:marLeft w:val="0"/>
      <w:marRight w:val="0"/>
      <w:marTop w:val="0"/>
      <w:marBottom w:val="0"/>
      <w:divBdr>
        <w:top w:val="none" w:sz="0" w:space="0" w:color="auto"/>
        <w:left w:val="none" w:sz="0" w:space="0" w:color="auto"/>
        <w:bottom w:val="none" w:sz="0" w:space="0" w:color="auto"/>
        <w:right w:val="none" w:sz="0" w:space="0" w:color="auto"/>
      </w:divBdr>
    </w:div>
    <w:div w:id="1165777760">
      <w:bodyDiv w:val="1"/>
      <w:marLeft w:val="0"/>
      <w:marRight w:val="0"/>
      <w:marTop w:val="0"/>
      <w:marBottom w:val="0"/>
      <w:divBdr>
        <w:top w:val="none" w:sz="0" w:space="0" w:color="auto"/>
        <w:left w:val="none" w:sz="0" w:space="0" w:color="auto"/>
        <w:bottom w:val="none" w:sz="0" w:space="0" w:color="auto"/>
        <w:right w:val="none" w:sz="0" w:space="0" w:color="auto"/>
      </w:divBdr>
    </w:div>
    <w:div w:id="1167593854">
      <w:bodyDiv w:val="1"/>
      <w:marLeft w:val="0"/>
      <w:marRight w:val="0"/>
      <w:marTop w:val="0"/>
      <w:marBottom w:val="0"/>
      <w:divBdr>
        <w:top w:val="none" w:sz="0" w:space="0" w:color="auto"/>
        <w:left w:val="none" w:sz="0" w:space="0" w:color="auto"/>
        <w:bottom w:val="none" w:sz="0" w:space="0" w:color="auto"/>
        <w:right w:val="none" w:sz="0" w:space="0" w:color="auto"/>
      </w:divBdr>
    </w:div>
    <w:div w:id="1179199272">
      <w:bodyDiv w:val="1"/>
      <w:marLeft w:val="0"/>
      <w:marRight w:val="0"/>
      <w:marTop w:val="0"/>
      <w:marBottom w:val="0"/>
      <w:divBdr>
        <w:top w:val="none" w:sz="0" w:space="0" w:color="auto"/>
        <w:left w:val="none" w:sz="0" w:space="0" w:color="auto"/>
        <w:bottom w:val="none" w:sz="0" w:space="0" w:color="auto"/>
        <w:right w:val="none" w:sz="0" w:space="0" w:color="auto"/>
      </w:divBdr>
    </w:div>
    <w:div w:id="1264729405">
      <w:bodyDiv w:val="1"/>
      <w:marLeft w:val="0"/>
      <w:marRight w:val="0"/>
      <w:marTop w:val="0"/>
      <w:marBottom w:val="0"/>
      <w:divBdr>
        <w:top w:val="none" w:sz="0" w:space="0" w:color="auto"/>
        <w:left w:val="none" w:sz="0" w:space="0" w:color="auto"/>
        <w:bottom w:val="none" w:sz="0" w:space="0" w:color="auto"/>
        <w:right w:val="none" w:sz="0" w:space="0" w:color="auto"/>
      </w:divBdr>
    </w:div>
    <w:div w:id="1270355439">
      <w:bodyDiv w:val="1"/>
      <w:marLeft w:val="0"/>
      <w:marRight w:val="0"/>
      <w:marTop w:val="0"/>
      <w:marBottom w:val="0"/>
      <w:divBdr>
        <w:top w:val="none" w:sz="0" w:space="0" w:color="auto"/>
        <w:left w:val="none" w:sz="0" w:space="0" w:color="auto"/>
        <w:bottom w:val="none" w:sz="0" w:space="0" w:color="auto"/>
        <w:right w:val="none" w:sz="0" w:space="0" w:color="auto"/>
      </w:divBdr>
    </w:div>
    <w:div w:id="1282104321">
      <w:bodyDiv w:val="1"/>
      <w:marLeft w:val="0"/>
      <w:marRight w:val="0"/>
      <w:marTop w:val="0"/>
      <w:marBottom w:val="0"/>
      <w:divBdr>
        <w:top w:val="none" w:sz="0" w:space="0" w:color="auto"/>
        <w:left w:val="none" w:sz="0" w:space="0" w:color="auto"/>
        <w:bottom w:val="none" w:sz="0" w:space="0" w:color="auto"/>
        <w:right w:val="none" w:sz="0" w:space="0" w:color="auto"/>
      </w:divBdr>
    </w:div>
    <w:div w:id="1283728027">
      <w:bodyDiv w:val="1"/>
      <w:marLeft w:val="0"/>
      <w:marRight w:val="0"/>
      <w:marTop w:val="0"/>
      <w:marBottom w:val="0"/>
      <w:divBdr>
        <w:top w:val="none" w:sz="0" w:space="0" w:color="auto"/>
        <w:left w:val="none" w:sz="0" w:space="0" w:color="auto"/>
        <w:bottom w:val="none" w:sz="0" w:space="0" w:color="auto"/>
        <w:right w:val="none" w:sz="0" w:space="0" w:color="auto"/>
      </w:divBdr>
    </w:div>
    <w:div w:id="1296330549">
      <w:bodyDiv w:val="1"/>
      <w:marLeft w:val="0"/>
      <w:marRight w:val="0"/>
      <w:marTop w:val="0"/>
      <w:marBottom w:val="0"/>
      <w:divBdr>
        <w:top w:val="none" w:sz="0" w:space="0" w:color="auto"/>
        <w:left w:val="none" w:sz="0" w:space="0" w:color="auto"/>
        <w:bottom w:val="none" w:sz="0" w:space="0" w:color="auto"/>
        <w:right w:val="none" w:sz="0" w:space="0" w:color="auto"/>
      </w:divBdr>
    </w:div>
    <w:div w:id="1299726975">
      <w:bodyDiv w:val="1"/>
      <w:marLeft w:val="0"/>
      <w:marRight w:val="0"/>
      <w:marTop w:val="0"/>
      <w:marBottom w:val="0"/>
      <w:divBdr>
        <w:top w:val="none" w:sz="0" w:space="0" w:color="auto"/>
        <w:left w:val="none" w:sz="0" w:space="0" w:color="auto"/>
        <w:bottom w:val="none" w:sz="0" w:space="0" w:color="auto"/>
        <w:right w:val="none" w:sz="0" w:space="0" w:color="auto"/>
      </w:divBdr>
    </w:div>
    <w:div w:id="1336346978">
      <w:bodyDiv w:val="1"/>
      <w:marLeft w:val="0"/>
      <w:marRight w:val="0"/>
      <w:marTop w:val="0"/>
      <w:marBottom w:val="0"/>
      <w:divBdr>
        <w:top w:val="none" w:sz="0" w:space="0" w:color="auto"/>
        <w:left w:val="none" w:sz="0" w:space="0" w:color="auto"/>
        <w:bottom w:val="none" w:sz="0" w:space="0" w:color="auto"/>
        <w:right w:val="none" w:sz="0" w:space="0" w:color="auto"/>
      </w:divBdr>
    </w:div>
    <w:div w:id="1369449964">
      <w:bodyDiv w:val="1"/>
      <w:marLeft w:val="0"/>
      <w:marRight w:val="0"/>
      <w:marTop w:val="0"/>
      <w:marBottom w:val="0"/>
      <w:divBdr>
        <w:top w:val="none" w:sz="0" w:space="0" w:color="auto"/>
        <w:left w:val="none" w:sz="0" w:space="0" w:color="auto"/>
        <w:bottom w:val="none" w:sz="0" w:space="0" w:color="auto"/>
        <w:right w:val="none" w:sz="0" w:space="0" w:color="auto"/>
      </w:divBdr>
    </w:div>
    <w:div w:id="1384211038">
      <w:bodyDiv w:val="1"/>
      <w:marLeft w:val="0"/>
      <w:marRight w:val="0"/>
      <w:marTop w:val="0"/>
      <w:marBottom w:val="0"/>
      <w:divBdr>
        <w:top w:val="none" w:sz="0" w:space="0" w:color="auto"/>
        <w:left w:val="none" w:sz="0" w:space="0" w:color="auto"/>
        <w:bottom w:val="none" w:sz="0" w:space="0" w:color="auto"/>
        <w:right w:val="none" w:sz="0" w:space="0" w:color="auto"/>
      </w:divBdr>
    </w:div>
    <w:div w:id="1402487801">
      <w:bodyDiv w:val="1"/>
      <w:marLeft w:val="0"/>
      <w:marRight w:val="0"/>
      <w:marTop w:val="0"/>
      <w:marBottom w:val="0"/>
      <w:divBdr>
        <w:top w:val="none" w:sz="0" w:space="0" w:color="auto"/>
        <w:left w:val="none" w:sz="0" w:space="0" w:color="auto"/>
        <w:bottom w:val="none" w:sz="0" w:space="0" w:color="auto"/>
        <w:right w:val="none" w:sz="0" w:space="0" w:color="auto"/>
      </w:divBdr>
    </w:div>
    <w:div w:id="1403138576">
      <w:bodyDiv w:val="1"/>
      <w:marLeft w:val="0"/>
      <w:marRight w:val="0"/>
      <w:marTop w:val="0"/>
      <w:marBottom w:val="0"/>
      <w:divBdr>
        <w:top w:val="none" w:sz="0" w:space="0" w:color="auto"/>
        <w:left w:val="none" w:sz="0" w:space="0" w:color="auto"/>
        <w:bottom w:val="none" w:sz="0" w:space="0" w:color="auto"/>
        <w:right w:val="none" w:sz="0" w:space="0" w:color="auto"/>
      </w:divBdr>
      <w:divsChild>
        <w:div w:id="1929461319">
          <w:marLeft w:val="0"/>
          <w:marRight w:val="0"/>
          <w:marTop w:val="0"/>
          <w:marBottom w:val="0"/>
          <w:divBdr>
            <w:top w:val="none" w:sz="0" w:space="0" w:color="auto"/>
            <w:left w:val="none" w:sz="0" w:space="0" w:color="auto"/>
            <w:bottom w:val="none" w:sz="0" w:space="0" w:color="auto"/>
            <w:right w:val="none" w:sz="0" w:space="0" w:color="auto"/>
          </w:divBdr>
          <w:divsChild>
            <w:div w:id="1228299737">
              <w:marLeft w:val="0"/>
              <w:marRight w:val="0"/>
              <w:marTop w:val="0"/>
              <w:marBottom w:val="0"/>
              <w:divBdr>
                <w:top w:val="none" w:sz="0" w:space="0" w:color="auto"/>
                <w:left w:val="none" w:sz="0" w:space="0" w:color="auto"/>
                <w:bottom w:val="none" w:sz="0" w:space="0" w:color="auto"/>
                <w:right w:val="none" w:sz="0" w:space="0" w:color="auto"/>
              </w:divBdr>
              <w:divsChild>
                <w:div w:id="1073356570">
                  <w:marLeft w:val="0"/>
                  <w:marRight w:val="0"/>
                  <w:marTop w:val="0"/>
                  <w:marBottom w:val="0"/>
                  <w:divBdr>
                    <w:top w:val="none" w:sz="0" w:space="0" w:color="auto"/>
                    <w:left w:val="none" w:sz="0" w:space="0" w:color="auto"/>
                    <w:bottom w:val="none" w:sz="0" w:space="0" w:color="auto"/>
                    <w:right w:val="none" w:sz="0" w:space="0" w:color="auto"/>
                  </w:divBdr>
                  <w:divsChild>
                    <w:div w:id="133962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5751">
      <w:bodyDiv w:val="1"/>
      <w:marLeft w:val="0"/>
      <w:marRight w:val="0"/>
      <w:marTop w:val="0"/>
      <w:marBottom w:val="0"/>
      <w:divBdr>
        <w:top w:val="none" w:sz="0" w:space="0" w:color="auto"/>
        <w:left w:val="none" w:sz="0" w:space="0" w:color="auto"/>
        <w:bottom w:val="none" w:sz="0" w:space="0" w:color="auto"/>
        <w:right w:val="none" w:sz="0" w:space="0" w:color="auto"/>
      </w:divBdr>
    </w:div>
    <w:div w:id="1405688619">
      <w:bodyDiv w:val="1"/>
      <w:marLeft w:val="0"/>
      <w:marRight w:val="0"/>
      <w:marTop w:val="0"/>
      <w:marBottom w:val="0"/>
      <w:divBdr>
        <w:top w:val="none" w:sz="0" w:space="0" w:color="auto"/>
        <w:left w:val="none" w:sz="0" w:space="0" w:color="auto"/>
        <w:bottom w:val="none" w:sz="0" w:space="0" w:color="auto"/>
        <w:right w:val="none" w:sz="0" w:space="0" w:color="auto"/>
      </w:divBdr>
    </w:div>
    <w:div w:id="1409419924">
      <w:bodyDiv w:val="1"/>
      <w:marLeft w:val="0"/>
      <w:marRight w:val="0"/>
      <w:marTop w:val="0"/>
      <w:marBottom w:val="0"/>
      <w:divBdr>
        <w:top w:val="none" w:sz="0" w:space="0" w:color="auto"/>
        <w:left w:val="none" w:sz="0" w:space="0" w:color="auto"/>
        <w:bottom w:val="none" w:sz="0" w:space="0" w:color="auto"/>
        <w:right w:val="none" w:sz="0" w:space="0" w:color="auto"/>
      </w:divBdr>
    </w:div>
    <w:div w:id="1424107332">
      <w:bodyDiv w:val="1"/>
      <w:marLeft w:val="0"/>
      <w:marRight w:val="0"/>
      <w:marTop w:val="0"/>
      <w:marBottom w:val="0"/>
      <w:divBdr>
        <w:top w:val="none" w:sz="0" w:space="0" w:color="auto"/>
        <w:left w:val="none" w:sz="0" w:space="0" w:color="auto"/>
        <w:bottom w:val="none" w:sz="0" w:space="0" w:color="auto"/>
        <w:right w:val="none" w:sz="0" w:space="0" w:color="auto"/>
      </w:divBdr>
    </w:div>
    <w:div w:id="1432043940">
      <w:bodyDiv w:val="1"/>
      <w:marLeft w:val="0"/>
      <w:marRight w:val="0"/>
      <w:marTop w:val="0"/>
      <w:marBottom w:val="0"/>
      <w:divBdr>
        <w:top w:val="none" w:sz="0" w:space="0" w:color="auto"/>
        <w:left w:val="none" w:sz="0" w:space="0" w:color="auto"/>
        <w:bottom w:val="none" w:sz="0" w:space="0" w:color="auto"/>
        <w:right w:val="none" w:sz="0" w:space="0" w:color="auto"/>
      </w:divBdr>
    </w:div>
    <w:div w:id="1436830459">
      <w:bodyDiv w:val="1"/>
      <w:marLeft w:val="0"/>
      <w:marRight w:val="0"/>
      <w:marTop w:val="0"/>
      <w:marBottom w:val="0"/>
      <w:divBdr>
        <w:top w:val="none" w:sz="0" w:space="0" w:color="auto"/>
        <w:left w:val="none" w:sz="0" w:space="0" w:color="auto"/>
        <w:bottom w:val="none" w:sz="0" w:space="0" w:color="auto"/>
        <w:right w:val="none" w:sz="0" w:space="0" w:color="auto"/>
      </w:divBdr>
      <w:divsChild>
        <w:div w:id="906304109">
          <w:marLeft w:val="0"/>
          <w:marRight w:val="0"/>
          <w:marTop w:val="0"/>
          <w:marBottom w:val="0"/>
          <w:divBdr>
            <w:top w:val="none" w:sz="0" w:space="0" w:color="auto"/>
            <w:left w:val="none" w:sz="0" w:space="0" w:color="auto"/>
            <w:bottom w:val="none" w:sz="0" w:space="0" w:color="auto"/>
            <w:right w:val="none" w:sz="0" w:space="0" w:color="auto"/>
          </w:divBdr>
          <w:divsChild>
            <w:div w:id="767314911">
              <w:marLeft w:val="0"/>
              <w:marRight w:val="0"/>
              <w:marTop w:val="0"/>
              <w:marBottom w:val="0"/>
              <w:divBdr>
                <w:top w:val="none" w:sz="0" w:space="0" w:color="auto"/>
                <w:left w:val="none" w:sz="0" w:space="0" w:color="auto"/>
                <w:bottom w:val="none" w:sz="0" w:space="0" w:color="auto"/>
                <w:right w:val="none" w:sz="0" w:space="0" w:color="auto"/>
              </w:divBdr>
              <w:divsChild>
                <w:div w:id="75316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49338">
      <w:bodyDiv w:val="1"/>
      <w:marLeft w:val="0"/>
      <w:marRight w:val="0"/>
      <w:marTop w:val="0"/>
      <w:marBottom w:val="0"/>
      <w:divBdr>
        <w:top w:val="none" w:sz="0" w:space="0" w:color="auto"/>
        <w:left w:val="none" w:sz="0" w:space="0" w:color="auto"/>
        <w:bottom w:val="none" w:sz="0" w:space="0" w:color="auto"/>
        <w:right w:val="none" w:sz="0" w:space="0" w:color="auto"/>
      </w:divBdr>
    </w:div>
    <w:div w:id="1450470126">
      <w:bodyDiv w:val="1"/>
      <w:marLeft w:val="0"/>
      <w:marRight w:val="0"/>
      <w:marTop w:val="0"/>
      <w:marBottom w:val="0"/>
      <w:divBdr>
        <w:top w:val="none" w:sz="0" w:space="0" w:color="auto"/>
        <w:left w:val="none" w:sz="0" w:space="0" w:color="auto"/>
        <w:bottom w:val="none" w:sz="0" w:space="0" w:color="auto"/>
        <w:right w:val="none" w:sz="0" w:space="0" w:color="auto"/>
      </w:divBdr>
    </w:div>
    <w:div w:id="1455100170">
      <w:bodyDiv w:val="1"/>
      <w:marLeft w:val="0"/>
      <w:marRight w:val="0"/>
      <w:marTop w:val="0"/>
      <w:marBottom w:val="0"/>
      <w:divBdr>
        <w:top w:val="none" w:sz="0" w:space="0" w:color="auto"/>
        <w:left w:val="none" w:sz="0" w:space="0" w:color="auto"/>
        <w:bottom w:val="none" w:sz="0" w:space="0" w:color="auto"/>
        <w:right w:val="none" w:sz="0" w:space="0" w:color="auto"/>
      </w:divBdr>
    </w:div>
    <w:div w:id="1458915941">
      <w:bodyDiv w:val="1"/>
      <w:marLeft w:val="0"/>
      <w:marRight w:val="0"/>
      <w:marTop w:val="0"/>
      <w:marBottom w:val="0"/>
      <w:divBdr>
        <w:top w:val="none" w:sz="0" w:space="0" w:color="auto"/>
        <w:left w:val="none" w:sz="0" w:space="0" w:color="auto"/>
        <w:bottom w:val="none" w:sz="0" w:space="0" w:color="auto"/>
        <w:right w:val="none" w:sz="0" w:space="0" w:color="auto"/>
      </w:divBdr>
    </w:div>
    <w:div w:id="1473255297">
      <w:bodyDiv w:val="1"/>
      <w:marLeft w:val="0"/>
      <w:marRight w:val="0"/>
      <w:marTop w:val="0"/>
      <w:marBottom w:val="0"/>
      <w:divBdr>
        <w:top w:val="none" w:sz="0" w:space="0" w:color="auto"/>
        <w:left w:val="none" w:sz="0" w:space="0" w:color="auto"/>
        <w:bottom w:val="none" w:sz="0" w:space="0" w:color="auto"/>
        <w:right w:val="none" w:sz="0" w:space="0" w:color="auto"/>
      </w:divBdr>
    </w:div>
    <w:div w:id="1504734154">
      <w:bodyDiv w:val="1"/>
      <w:marLeft w:val="0"/>
      <w:marRight w:val="0"/>
      <w:marTop w:val="0"/>
      <w:marBottom w:val="0"/>
      <w:divBdr>
        <w:top w:val="none" w:sz="0" w:space="0" w:color="auto"/>
        <w:left w:val="none" w:sz="0" w:space="0" w:color="auto"/>
        <w:bottom w:val="none" w:sz="0" w:space="0" w:color="auto"/>
        <w:right w:val="none" w:sz="0" w:space="0" w:color="auto"/>
      </w:divBdr>
    </w:div>
    <w:div w:id="1529105745">
      <w:bodyDiv w:val="1"/>
      <w:marLeft w:val="0"/>
      <w:marRight w:val="0"/>
      <w:marTop w:val="0"/>
      <w:marBottom w:val="0"/>
      <w:divBdr>
        <w:top w:val="none" w:sz="0" w:space="0" w:color="auto"/>
        <w:left w:val="none" w:sz="0" w:space="0" w:color="auto"/>
        <w:bottom w:val="none" w:sz="0" w:space="0" w:color="auto"/>
        <w:right w:val="none" w:sz="0" w:space="0" w:color="auto"/>
      </w:divBdr>
    </w:div>
    <w:div w:id="1550845132">
      <w:bodyDiv w:val="1"/>
      <w:marLeft w:val="0"/>
      <w:marRight w:val="0"/>
      <w:marTop w:val="0"/>
      <w:marBottom w:val="0"/>
      <w:divBdr>
        <w:top w:val="none" w:sz="0" w:space="0" w:color="auto"/>
        <w:left w:val="none" w:sz="0" w:space="0" w:color="auto"/>
        <w:bottom w:val="none" w:sz="0" w:space="0" w:color="auto"/>
        <w:right w:val="none" w:sz="0" w:space="0" w:color="auto"/>
      </w:divBdr>
    </w:div>
    <w:div w:id="1553496141">
      <w:bodyDiv w:val="1"/>
      <w:marLeft w:val="0"/>
      <w:marRight w:val="0"/>
      <w:marTop w:val="0"/>
      <w:marBottom w:val="0"/>
      <w:divBdr>
        <w:top w:val="none" w:sz="0" w:space="0" w:color="auto"/>
        <w:left w:val="none" w:sz="0" w:space="0" w:color="auto"/>
        <w:bottom w:val="none" w:sz="0" w:space="0" w:color="auto"/>
        <w:right w:val="none" w:sz="0" w:space="0" w:color="auto"/>
      </w:divBdr>
    </w:div>
    <w:div w:id="1575815436">
      <w:bodyDiv w:val="1"/>
      <w:marLeft w:val="0"/>
      <w:marRight w:val="0"/>
      <w:marTop w:val="0"/>
      <w:marBottom w:val="0"/>
      <w:divBdr>
        <w:top w:val="none" w:sz="0" w:space="0" w:color="auto"/>
        <w:left w:val="none" w:sz="0" w:space="0" w:color="auto"/>
        <w:bottom w:val="none" w:sz="0" w:space="0" w:color="auto"/>
        <w:right w:val="none" w:sz="0" w:space="0" w:color="auto"/>
      </w:divBdr>
    </w:div>
    <w:div w:id="1594431393">
      <w:bodyDiv w:val="1"/>
      <w:marLeft w:val="0"/>
      <w:marRight w:val="0"/>
      <w:marTop w:val="0"/>
      <w:marBottom w:val="0"/>
      <w:divBdr>
        <w:top w:val="none" w:sz="0" w:space="0" w:color="auto"/>
        <w:left w:val="none" w:sz="0" w:space="0" w:color="auto"/>
        <w:bottom w:val="none" w:sz="0" w:space="0" w:color="auto"/>
        <w:right w:val="none" w:sz="0" w:space="0" w:color="auto"/>
      </w:divBdr>
    </w:div>
    <w:div w:id="1601334917">
      <w:bodyDiv w:val="1"/>
      <w:marLeft w:val="0"/>
      <w:marRight w:val="0"/>
      <w:marTop w:val="0"/>
      <w:marBottom w:val="0"/>
      <w:divBdr>
        <w:top w:val="none" w:sz="0" w:space="0" w:color="auto"/>
        <w:left w:val="none" w:sz="0" w:space="0" w:color="auto"/>
        <w:bottom w:val="none" w:sz="0" w:space="0" w:color="auto"/>
        <w:right w:val="none" w:sz="0" w:space="0" w:color="auto"/>
      </w:divBdr>
    </w:div>
    <w:div w:id="1603490095">
      <w:bodyDiv w:val="1"/>
      <w:marLeft w:val="0"/>
      <w:marRight w:val="0"/>
      <w:marTop w:val="0"/>
      <w:marBottom w:val="0"/>
      <w:divBdr>
        <w:top w:val="none" w:sz="0" w:space="0" w:color="auto"/>
        <w:left w:val="none" w:sz="0" w:space="0" w:color="auto"/>
        <w:bottom w:val="none" w:sz="0" w:space="0" w:color="auto"/>
        <w:right w:val="none" w:sz="0" w:space="0" w:color="auto"/>
      </w:divBdr>
    </w:div>
    <w:div w:id="1618485604">
      <w:bodyDiv w:val="1"/>
      <w:marLeft w:val="0"/>
      <w:marRight w:val="0"/>
      <w:marTop w:val="0"/>
      <w:marBottom w:val="0"/>
      <w:divBdr>
        <w:top w:val="none" w:sz="0" w:space="0" w:color="auto"/>
        <w:left w:val="none" w:sz="0" w:space="0" w:color="auto"/>
        <w:bottom w:val="none" w:sz="0" w:space="0" w:color="auto"/>
        <w:right w:val="none" w:sz="0" w:space="0" w:color="auto"/>
      </w:divBdr>
    </w:div>
    <w:div w:id="1621381289">
      <w:bodyDiv w:val="1"/>
      <w:marLeft w:val="0"/>
      <w:marRight w:val="0"/>
      <w:marTop w:val="0"/>
      <w:marBottom w:val="0"/>
      <w:divBdr>
        <w:top w:val="none" w:sz="0" w:space="0" w:color="auto"/>
        <w:left w:val="none" w:sz="0" w:space="0" w:color="auto"/>
        <w:bottom w:val="none" w:sz="0" w:space="0" w:color="auto"/>
        <w:right w:val="none" w:sz="0" w:space="0" w:color="auto"/>
      </w:divBdr>
    </w:div>
    <w:div w:id="1627539096">
      <w:bodyDiv w:val="1"/>
      <w:marLeft w:val="0"/>
      <w:marRight w:val="0"/>
      <w:marTop w:val="0"/>
      <w:marBottom w:val="0"/>
      <w:divBdr>
        <w:top w:val="none" w:sz="0" w:space="0" w:color="auto"/>
        <w:left w:val="none" w:sz="0" w:space="0" w:color="auto"/>
        <w:bottom w:val="none" w:sz="0" w:space="0" w:color="auto"/>
        <w:right w:val="none" w:sz="0" w:space="0" w:color="auto"/>
      </w:divBdr>
    </w:div>
    <w:div w:id="1649017465">
      <w:bodyDiv w:val="1"/>
      <w:marLeft w:val="0"/>
      <w:marRight w:val="0"/>
      <w:marTop w:val="0"/>
      <w:marBottom w:val="0"/>
      <w:divBdr>
        <w:top w:val="none" w:sz="0" w:space="0" w:color="auto"/>
        <w:left w:val="none" w:sz="0" w:space="0" w:color="auto"/>
        <w:bottom w:val="none" w:sz="0" w:space="0" w:color="auto"/>
        <w:right w:val="none" w:sz="0" w:space="0" w:color="auto"/>
      </w:divBdr>
    </w:div>
    <w:div w:id="1661497052">
      <w:bodyDiv w:val="1"/>
      <w:marLeft w:val="0"/>
      <w:marRight w:val="0"/>
      <w:marTop w:val="0"/>
      <w:marBottom w:val="0"/>
      <w:divBdr>
        <w:top w:val="none" w:sz="0" w:space="0" w:color="auto"/>
        <w:left w:val="none" w:sz="0" w:space="0" w:color="auto"/>
        <w:bottom w:val="none" w:sz="0" w:space="0" w:color="auto"/>
        <w:right w:val="none" w:sz="0" w:space="0" w:color="auto"/>
      </w:divBdr>
    </w:div>
    <w:div w:id="1662154533">
      <w:bodyDiv w:val="1"/>
      <w:marLeft w:val="0"/>
      <w:marRight w:val="0"/>
      <w:marTop w:val="0"/>
      <w:marBottom w:val="0"/>
      <w:divBdr>
        <w:top w:val="none" w:sz="0" w:space="0" w:color="auto"/>
        <w:left w:val="none" w:sz="0" w:space="0" w:color="auto"/>
        <w:bottom w:val="none" w:sz="0" w:space="0" w:color="auto"/>
        <w:right w:val="none" w:sz="0" w:space="0" w:color="auto"/>
      </w:divBdr>
    </w:div>
    <w:div w:id="1671788779">
      <w:bodyDiv w:val="1"/>
      <w:marLeft w:val="0"/>
      <w:marRight w:val="0"/>
      <w:marTop w:val="0"/>
      <w:marBottom w:val="0"/>
      <w:divBdr>
        <w:top w:val="none" w:sz="0" w:space="0" w:color="auto"/>
        <w:left w:val="none" w:sz="0" w:space="0" w:color="auto"/>
        <w:bottom w:val="none" w:sz="0" w:space="0" w:color="auto"/>
        <w:right w:val="none" w:sz="0" w:space="0" w:color="auto"/>
      </w:divBdr>
    </w:div>
    <w:div w:id="1711539221">
      <w:bodyDiv w:val="1"/>
      <w:marLeft w:val="0"/>
      <w:marRight w:val="0"/>
      <w:marTop w:val="0"/>
      <w:marBottom w:val="0"/>
      <w:divBdr>
        <w:top w:val="none" w:sz="0" w:space="0" w:color="auto"/>
        <w:left w:val="none" w:sz="0" w:space="0" w:color="auto"/>
        <w:bottom w:val="none" w:sz="0" w:space="0" w:color="auto"/>
        <w:right w:val="none" w:sz="0" w:space="0" w:color="auto"/>
      </w:divBdr>
    </w:div>
    <w:div w:id="1751149211">
      <w:bodyDiv w:val="1"/>
      <w:marLeft w:val="0"/>
      <w:marRight w:val="0"/>
      <w:marTop w:val="0"/>
      <w:marBottom w:val="0"/>
      <w:divBdr>
        <w:top w:val="none" w:sz="0" w:space="0" w:color="auto"/>
        <w:left w:val="none" w:sz="0" w:space="0" w:color="auto"/>
        <w:bottom w:val="none" w:sz="0" w:space="0" w:color="auto"/>
        <w:right w:val="none" w:sz="0" w:space="0" w:color="auto"/>
      </w:divBdr>
    </w:div>
    <w:div w:id="1751154686">
      <w:bodyDiv w:val="1"/>
      <w:marLeft w:val="0"/>
      <w:marRight w:val="0"/>
      <w:marTop w:val="0"/>
      <w:marBottom w:val="0"/>
      <w:divBdr>
        <w:top w:val="none" w:sz="0" w:space="0" w:color="auto"/>
        <w:left w:val="none" w:sz="0" w:space="0" w:color="auto"/>
        <w:bottom w:val="none" w:sz="0" w:space="0" w:color="auto"/>
        <w:right w:val="none" w:sz="0" w:space="0" w:color="auto"/>
      </w:divBdr>
    </w:div>
    <w:div w:id="1764840536">
      <w:bodyDiv w:val="1"/>
      <w:marLeft w:val="0"/>
      <w:marRight w:val="0"/>
      <w:marTop w:val="0"/>
      <w:marBottom w:val="0"/>
      <w:divBdr>
        <w:top w:val="none" w:sz="0" w:space="0" w:color="auto"/>
        <w:left w:val="none" w:sz="0" w:space="0" w:color="auto"/>
        <w:bottom w:val="none" w:sz="0" w:space="0" w:color="auto"/>
        <w:right w:val="none" w:sz="0" w:space="0" w:color="auto"/>
      </w:divBdr>
    </w:div>
    <w:div w:id="1766732586">
      <w:bodyDiv w:val="1"/>
      <w:marLeft w:val="0"/>
      <w:marRight w:val="0"/>
      <w:marTop w:val="0"/>
      <w:marBottom w:val="0"/>
      <w:divBdr>
        <w:top w:val="none" w:sz="0" w:space="0" w:color="auto"/>
        <w:left w:val="none" w:sz="0" w:space="0" w:color="auto"/>
        <w:bottom w:val="none" w:sz="0" w:space="0" w:color="auto"/>
        <w:right w:val="none" w:sz="0" w:space="0" w:color="auto"/>
      </w:divBdr>
    </w:div>
    <w:div w:id="1782021096">
      <w:bodyDiv w:val="1"/>
      <w:marLeft w:val="0"/>
      <w:marRight w:val="0"/>
      <w:marTop w:val="0"/>
      <w:marBottom w:val="0"/>
      <w:divBdr>
        <w:top w:val="none" w:sz="0" w:space="0" w:color="auto"/>
        <w:left w:val="none" w:sz="0" w:space="0" w:color="auto"/>
        <w:bottom w:val="none" w:sz="0" w:space="0" w:color="auto"/>
        <w:right w:val="none" w:sz="0" w:space="0" w:color="auto"/>
      </w:divBdr>
    </w:div>
    <w:div w:id="1793591093">
      <w:bodyDiv w:val="1"/>
      <w:marLeft w:val="0"/>
      <w:marRight w:val="0"/>
      <w:marTop w:val="0"/>
      <w:marBottom w:val="0"/>
      <w:divBdr>
        <w:top w:val="none" w:sz="0" w:space="0" w:color="auto"/>
        <w:left w:val="none" w:sz="0" w:space="0" w:color="auto"/>
        <w:bottom w:val="none" w:sz="0" w:space="0" w:color="auto"/>
        <w:right w:val="none" w:sz="0" w:space="0" w:color="auto"/>
      </w:divBdr>
    </w:div>
    <w:div w:id="1817525351">
      <w:bodyDiv w:val="1"/>
      <w:marLeft w:val="0"/>
      <w:marRight w:val="0"/>
      <w:marTop w:val="0"/>
      <w:marBottom w:val="0"/>
      <w:divBdr>
        <w:top w:val="none" w:sz="0" w:space="0" w:color="auto"/>
        <w:left w:val="none" w:sz="0" w:space="0" w:color="auto"/>
        <w:bottom w:val="none" w:sz="0" w:space="0" w:color="auto"/>
        <w:right w:val="none" w:sz="0" w:space="0" w:color="auto"/>
      </w:divBdr>
    </w:div>
    <w:div w:id="1837070141">
      <w:bodyDiv w:val="1"/>
      <w:marLeft w:val="0"/>
      <w:marRight w:val="0"/>
      <w:marTop w:val="0"/>
      <w:marBottom w:val="0"/>
      <w:divBdr>
        <w:top w:val="none" w:sz="0" w:space="0" w:color="auto"/>
        <w:left w:val="none" w:sz="0" w:space="0" w:color="auto"/>
        <w:bottom w:val="none" w:sz="0" w:space="0" w:color="auto"/>
        <w:right w:val="none" w:sz="0" w:space="0" w:color="auto"/>
      </w:divBdr>
      <w:divsChild>
        <w:div w:id="788740540">
          <w:marLeft w:val="0"/>
          <w:marRight w:val="0"/>
          <w:marTop w:val="0"/>
          <w:marBottom w:val="0"/>
          <w:divBdr>
            <w:top w:val="none" w:sz="0" w:space="0" w:color="auto"/>
            <w:left w:val="none" w:sz="0" w:space="0" w:color="auto"/>
            <w:bottom w:val="none" w:sz="0" w:space="0" w:color="auto"/>
            <w:right w:val="none" w:sz="0" w:space="0" w:color="auto"/>
          </w:divBdr>
          <w:divsChild>
            <w:div w:id="1830364310">
              <w:marLeft w:val="0"/>
              <w:marRight w:val="0"/>
              <w:marTop w:val="0"/>
              <w:marBottom w:val="0"/>
              <w:divBdr>
                <w:top w:val="none" w:sz="0" w:space="0" w:color="auto"/>
                <w:left w:val="none" w:sz="0" w:space="0" w:color="auto"/>
                <w:bottom w:val="none" w:sz="0" w:space="0" w:color="auto"/>
                <w:right w:val="none" w:sz="0" w:space="0" w:color="auto"/>
              </w:divBdr>
              <w:divsChild>
                <w:div w:id="99151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693673">
      <w:bodyDiv w:val="1"/>
      <w:marLeft w:val="0"/>
      <w:marRight w:val="0"/>
      <w:marTop w:val="0"/>
      <w:marBottom w:val="0"/>
      <w:divBdr>
        <w:top w:val="none" w:sz="0" w:space="0" w:color="auto"/>
        <w:left w:val="none" w:sz="0" w:space="0" w:color="auto"/>
        <w:bottom w:val="none" w:sz="0" w:space="0" w:color="auto"/>
        <w:right w:val="none" w:sz="0" w:space="0" w:color="auto"/>
      </w:divBdr>
    </w:div>
    <w:div w:id="1851335046">
      <w:bodyDiv w:val="1"/>
      <w:marLeft w:val="0"/>
      <w:marRight w:val="0"/>
      <w:marTop w:val="0"/>
      <w:marBottom w:val="0"/>
      <w:divBdr>
        <w:top w:val="none" w:sz="0" w:space="0" w:color="auto"/>
        <w:left w:val="none" w:sz="0" w:space="0" w:color="auto"/>
        <w:bottom w:val="none" w:sz="0" w:space="0" w:color="auto"/>
        <w:right w:val="none" w:sz="0" w:space="0" w:color="auto"/>
      </w:divBdr>
    </w:div>
    <w:div w:id="1870099302">
      <w:bodyDiv w:val="1"/>
      <w:marLeft w:val="0"/>
      <w:marRight w:val="0"/>
      <w:marTop w:val="0"/>
      <w:marBottom w:val="0"/>
      <w:divBdr>
        <w:top w:val="none" w:sz="0" w:space="0" w:color="auto"/>
        <w:left w:val="none" w:sz="0" w:space="0" w:color="auto"/>
        <w:bottom w:val="none" w:sz="0" w:space="0" w:color="auto"/>
        <w:right w:val="none" w:sz="0" w:space="0" w:color="auto"/>
      </w:divBdr>
    </w:div>
    <w:div w:id="1873499633">
      <w:bodyDiv w:val="1"/>
      <w:marLeft w:val="0"/>
      <w:marRight w:val="0"/>
      <w:marTop w:val="0"/>
      <w:marBottom w:val="0"/>
      <w:divBdr>
        <w:top w:val="none" w:sz="0" w:space="0" w:color="auto"/>
        <w:left w:val="none" w:sz="0" w:space="0" w:color="auto"/>
        <w:bottom w:val="none" w:sz="0" w:space="0" w:color="auto"/>
        <w:right w:val="none" w:sz="0" w:space="0" w:color="auto"/>
      </w:divBdr>
    </w:div>
    <w:div w:id="1879581307">
      <w:bodyDiv w:val="1"/>
      <w:marLeft w:val="0"/>
      <w:marRight w:val="0"/>
      <w:marTop w:val="0"/>
      <w:marBottom w:val="0"/>
      <w:divBdr>
        <w:top w:val="none" w:sz="0" w:space="0" w:color="auto"/>
        <w:left w:val="none" w:sz="0" w:space="0" w:color="auto"/>
        <w:bottom w:val="none" w:sz="0" w:space="0" w:color="auto"/>
        <w:right w:val="none" w:sz="0" w:space="0" w:color="auto"/>
      </w:divBdr>
    </w:div>
    <w:div w:id="1902517150">
      <w:bodyDiv w:val="1"/>
      <w:marLeft w:val="0"/>
      <w:marRight w:val="0"/>
      <w:marTop w:val="0"/>
      <w:marBottom w:val="0"/>
      <w:divBdr>
        <w:top w:val="none" w:sz="0" w:space="0" w:color="auto"/>
        <w:left w:val="none" w:sz="0" w:space="0" w:color="auto"/>
        <w:bottom w:val="none" w:sz="0" w:space="0" w:color="auto"/>
        <w:right w:val="none" w:sz="0" w:space="0" w:color="auto"/>
      </w:divBdr>
    </w:div>
    <w:div w:id="1903253665">
      <w:bodyDiv w:val="1"/>
      <w:marLeft w:val="0"/>
      <w:marRight w:val="0"/>
      <w:marTop w:val="0"/>
      <w:marBottom w:val="0"/>
      <w:divBdr>
        <w:top w:val="none" w:sz="0" w:space="0" w:color="auto"/>
        <w:left w:val="none" w:sz="0" w:space="0" w:color="auto"/>
        <w:bottom w:val="none" w:sz="0" w:space="0" w:color="auto"/>
        <w:right w:val="none" w:sz="0" w:space="0" w:color="auto"/>
      </w:divBdr>
    </w:div>
    <w:div w:id="1911429497">
      <w:bodyDiv w:val="1"/>
      <w:marLeft w:val="0"/>
      <w:marRight w:val="0"/>
      <w:marTop w:val="0"/>
      <w:marBottom w:val="0"/>
      <w:divBdr>
        <w:top w:val="none" w:sz="0" w:space="0" w:color="auto"/>
        <w:left w:val="none" w:sz="0" w:space="0" w:color="auto"/>
        <w:bottom w:val="none" w:sz="0" w:space="0" w:color="auto"/>
        <w:right w:val="none" w:sz="0" w:space="0" w:color="auto"/>
      </w:divBdr>
    </w:div>
    <w:div w:id="1928341715">
      <w:bodyDiv w:val="1"/>
      <w:marLeft w:val="0"/>
      <w:marRight w:val="0"/>
      <w:marTop w:val="0"/>
      <w:marBottom w:val="0"/>
      <w:divBdr>
        <w:top w:val="none" w:sz="0" w:space="0" w:color="auto"/>
        <w:left w:val="none" w:sz="0" w:space="0" w:color="auto"/>
        <w:bottom w:val="none" w:sz="0" w:space="0" w:color="auto"/>
        <w:right w:val="none" w:sz="0" w:space="0" w:color="auto"/>
      </w:divBdr>
      <w:divsChild>
        <w:div w:id="29379805">
          <w:marLeft w:val="0"/>
          <w:marRight w:val="0"/>
          <w:marTop w:val="0"/>
          <w:marBottom w:val="0"/>
          <w:divBdr>
            <w:top w:val="none" w:sz="0" w:space="0" w:color="auto"/>
            <w:left w:val="none" w:sz="0" w:space="0" w:color="auto"/>
            <w:bottom w:val="none" w:sz="0" w:space="0" w:color="auto"/>
            <w:right w:val="none" w:sz="0" w:space="0" w:color="auto"/>
          </w:divBdr>
        </w:div>
        <w:div w:id="51127578">
          <w:marLeft w:val="0"/>
          <w:marRight w:val="0"/>
          <w:marTop w:val="0"/>
          <w:marBottom w:val="0"/>
          <w:divBdr>
            <w:top w:val="none" w:sz="0" w:space="0" w:color="auto"/>
            <w:left w:val="none" w:sz="0" w:space="0" w:color="auto"/>
            <w:bottom w:val="none" w:sz="0" w:space="0" w:color="auto"/>
            <w:right w:val="none" w:sz="0" w:space="0" w:color="auto"/>
          </w:divBdr>
        </w:div>
        <w:div w:id="339701634">
          <w:marLeft w:val="0"/>
          <w:marRight w:val="0"/>
          <w:marTop w:val="0"/>
          <w:marBottom w:val="0"/>
          <w:divBdr>
            <w:top w:val="none" w:sz="0" w:space="0" w:color="auto"/>
            <w:left w:val="none" w:sz="0" w:space="0" w:color="auto"/>
            <w:bottom w:val="none" w:sz="0" w:space="0" w:color="auto"/>
            <w:right w:val="none" w:sz="0" w:space="0" w:color="auto"/>
          </w:divBdr>
        </w:div>
        <w:div w:id="555897656">
          <w:marLeft w:val="0"/>
          <w:marRight w:val="0"/>
          <w:marTop w:val="0"/>
          <w:marBottom w:val="0"/>
          <w:divBdr>
            <w:top w:val="none" w:sz="0" w:space="0" w:color="auto"/>
            <w:left w:val="none" w:sz="0" w:space="0" w:color="auto"/>
            <w:bottom w:val="none" w:sz="0" w:space="0" w:color="auto"/>
            <w:right w:val="none" w:sz="0" w:space="0" w:color="auto"/>
          </w:divBdr>
        </w:div>
        <w:div w:id="631401101">
          <w:marLeft w:val="0"/>
          <w:marRight w:val="0"/>
          <w:marTop w:val="0"/>
          <w:marBottom w:val="0"/>
          <w:divBdr>
            <w:top w:val="none" w:sz="0" w:space="0" w:color="auto"/>
            <w:left w:val="none" w:sz="0" w:space="0" w:color="auto"/>
            <w:bottom w:val="none" w:sz="0" w:space="0" w:color="auto"/>
            <w:right w:val="none" w:sz="0" w:space="0" w:color="auto"/>
          </w:divBdr>
        </w:div>
        <w:div w:id="851455584">
          <w:marLeft w:val="0"/>
          <w:marRight w:val="0"/>
          <w:marTop w:val="0"/>
          <w:marBottom w:val="0"/>
          <w:divBdr>
            <w:top w:val="none" w:sz="0" w:space="0" w:color="auto"/>
            <w:left w:val="none" w:sz="0" w:space="0" w:color="auto"/>
            <w:bottom w:val="none" w:sz="0" w:space="0" w:color="auto"/>
            <w:right w:val="none" w:sz="0" w:space="0" w:color="auto"/>
          </w:divBdr>
        </w:div>
        <w:div w:id="914363964">
          <w:marLeft w:val="0"/>
          <w:marRight w:val="0"/>
          <w:marTop w:val="0"/>
          <w:marBottom w:val="0"/>
          <w:divBdr>
            <w:top w:val="none" w:sz="0" w:space="0" w:color="auto"/>
            <w:left w:val="none" w:sz="0" w:space="0" w:color="auto"/>
            <w:bottom w:val="none" w:sz="0" w:space="0" w:color="auto"/>
            <w:right w:val="none" w:sz="0" w:space="0" w:color="auto"/>
          </w:divBdr>
        </w:div>
        <w:div w:id="1424913999">
          <w:marLeft w:val="0"/>
          <w:marRight w:val="0"/>
          <w:marTop w:val="0"/>
          <w:marBottom w:val="0"/>
          <w:divBdr>
            <w:top w:val="none" w:sz="0" w:space="0" w:color="auto"/>
            <w:left w:val="none" w:sz="0" w:space="0" w:color="auto"/>
            <w:bottom w:val="none" w:sz="0" w:space="0" w:color="auto"/>
            <w:right w:val="none" w:sz="0" w:space="0" w:color="auto"/>
          </w:divBdr>
        </w:div>
        <w:div w:id="1466387945">
          <w:marLeft w:val="0"/>
          <w:marRight w:val="0"/>
          <w:marTop w:val="0"/>
          <w:marBottom w:val="0"/>
          <w:divBdr>
            <w:top w:val="none" w:sz="0" w:space="0" w:color="auto"/>
            <w:left w:val="none" w:sz="0" w:space="0" w:color="auto"/>
            <w:bottom w:val="none" w:sz="0" w:space="0" w:color="auto"/>
            <w:right w:val="none" w:sz="0" w:space="0" w:color="auto"/>
          </w:divBdr>
        </w:div>
        <w:div w:id="1479804432">
          <w:marLeft w:val="0"/>
          <w:marRight w:val="0"/>
          <w:marTop w:val="0"/>
          <w:marBottom w:val="0"/>
          <w:divBdr>
            <w:top w:val="none" w:sz="0" w:space="0" w:color="auto"/>
            <w:left w:val="none" w:sz="0" w:space="0" w:color="auto"/>
            <w:bottom w:val="none" w:sz="0" w:space="0" w:color="auto"/>
            <w:right w:val="none" w:sz="0" w:space="0" w:color="auto"/>
          </w:divBdr>
        </w:div>
        <w:div w:id="1867017251">
          <w:marLeft w:val="0"/>
          <w:marRight w:val="0"/>
          <w:marTop w:val="0"/>
          <w:marBottom w:val="0"/>
          <w:divBdr>
            <w:top w:val="none" w:sz="0" w:space="0" w:color="auto"/>
            <w:left w:val="none" w:sz="0" w:space="0" w:color="auto"/>
            <w:bottom w:val="none" w:sz="0" w:space="0" w:color="auto"/>
            <w:right w:val="none" w:sz="0" w:space="0" w:color="auto"/>
          </w:divBdr>
        </w:div>
      </w:divsChild>
    </w:div>
    <w:div w:id="1940218894">
      <w:bodyDiv w:val="1"/>
      <w:marLeft w:val="0"/>
      <w:marRight w:val="0"/>
      <w:marTop w:val="0"/>
      <w:marBottom w:val="0"/>
      <w:divBdr>
        <w:top w:val="none" w:sz="0" w:space="0" w:color="auto"/>
        <w:left w:val="none" w:sz="0" w:space="0" w:color="auto"/>
        <w:bottom w:val="none" w:sz="0" w:space="0" w:color="auto"/>
        <w:right w:val="none" w:sz="0" w:space="0" w:color="auto"/>
      </w:divBdr>
    </w:div>
    <w:div w:id="1951886817">
      <w:bodyDiv w:val="1"/>
      <w:marLeft w:val="0"/>
      <w:marRight w:val="0"/>
      <w:marTop w:val="0"/>
      <w:marBottom w:val="0"/>
      <w:divBdr>
        <w:top w:val="none" w:sz="0" w:space="0" w:color="auto"/>
        <w:left w:val="none" w:sz="0" w:space="0" w:color="auto"/>
        <w:bottom w:val="none" w:sz="0" w:space="0" w:color="auto"/>
        <w:right w:val="none" w:sz="0" w:space="0" w:color="auto"/>
      </w:divBdr>
    </w:div>
    <w:div w:id="1980381999">
      <w:bodyDiv w:val="1"/>
      <w:marLeft w:val="0"/>
      <w:marRight w:val="0"/>
      <w:marTop w:val="0"/>
      <w:marBottom w:val="0"/>
      <w:divBdr>
        <w:top w:val="none" w:sz="0" w:space="0" w:color="auto"/>
        <w:left w:val="none" w:sz="0" w:space="0" w:color="auto"/>
        <w:bottom w:val="none" w:sz="0" w:space="0" w:color="auto"/>
        <w:right w:val="none" w:sz="0" w:space="0" w:color="auto"/>
      </w:divBdr>
    </w:div>
    <w:div w:id="1996293846">
      <w:bodyDiv w:val="1"/>
      <w:marLeft w:val="0"/>
      <w:marRight w:val="0"/>
      <w:marTop w:val="0"/>
      <w:marBottom w:val="0"/>
      <w:divBdr>
        <w:top w:val="none" w:sz="0" w:space="0" w:color="auto"/>
        <w:left w:val="none" w:sz="0" w:space="0" w:color="auto"/>
        <w:bottom w:val="none" w:sz="0" w:space="0" w:color="auto"/>
        <w:right w:val="none" w:sz="0" w:space="0" w:color="auto"/>
      </w:divBdr>
    </w:div>
    <w:div w:id="2002004891">
      <w:bodyDiv w:val="1"/>
      <w:marLeft w:val="0"/>
      <w:marRight w:val="0"/>
      <w:marTop w:val="0"/>
      <w:marBottom w:val="0"/>
      <w:divBdr>
        <w:top w:val="none" w:sz="0" w:space="0" w:color="auto"/>
        <w:left w:val="none" w:sz="0" w:space="0" w:color="auto"/>
        <w:bottom w:val="none" w:sz="0" w:space="0" w:color="auto"/>
        <w:right w:val="none" w:sz="0" w:space="0" w:color="auto"/>
      </w:divBdr>
    </w:div>
    <w:div w:id="2012639300">
      <w:bodyDiv w:val="1"/>
      <w:marLeft w:val="0"/>
      <w:marRight w:val="0"/>
      <w:marTop w:val="0"/>
      <w:marBottom w:val="0"/>
      <w:divBdr>
        <w:top w:val="none" w:sz="0" w:space="0" w:color="auto"/>
        <w:left w:val="none" w:sz="0" w:space="0" w:color="auto"/>
        <w:bottom w:val="none" w:sz="0" w:space="0" w:color="auto"/>
        <w:right w:val="none" w:sz="0" w:space="0" w:color="auto"/>
      </w:divBdr>
    </w:div>
    <w:div w:id="2017806417">
      <w:bodyDiv w:val="1"/>
      <w:marLeft w:val="0"/>
      <w:marRight w:val="0"/>
      <w:marTop w:val="0"/>
      <w:marBottom w:val="0"/>
      <w:divBdr>
        <w:top w:val="none" w:sz="0" w:space="0" w:color="auto"/>
        <w:left w:val="none" w:sz="0" w:space="0" w:color="auto"/>
        <w:bottom w:val="none" w:sz="0" w:space="0" w:color="auto"/>
        <w:right w:val="none" w:sz="0" w:space="0" w:color="auto"/>
      </w:divBdr>
    </w:div>
    <w:div w:id="2062090525">
      <w:bodyDiv w:val="1"/>
      <w:marLeft w:val="0"/>
      <w:marRight w:val="0"/>
      <w:marTop w:val="0"/>
      <w:marBottom w:val="0"/>
      <w:divBdr>
        <w:top w:val="none" w:sz="0" w:space="0" w:color="auto"/>
        <w:left w:val="none" w:sz="0" w:space="0" w:color="auto"/>
        <w:bottom w:val="none" w:sz="0" w:space="0" w:color="auto"/>
        <w:right w:val="none" w:sz="0" w:space="0" w:color="auto"/>
      </w:divBdr>
      <w:divsChild>
        <w:div w:id="660080827">
          <w:marLeft w:val="0"/>
          <w:marRight w:val="0"/>
          <w:marTop w:val="0"/>
          <w:marBottom w:val="0"/>
          <w:divBdr>
            <w:top w:val="single" w:sz="2" w:space="0" w:color="D9D9E3"/>
            <w:left w:val="single" w:sz="2" w:space="0" w:color="D9D9E3"/>
            <w:bottom w:val="single" w:sz="2" w:space="0" w:color="D9D9E3"/>
            <w:right w:val="single" w:sz="2" w:space="0" w:color="D9D9E3"/>
          </w:divBdr>
          <w:divsChild>
            <w:div w:id="775095687">
              <w:marLeft w:val="0"/>
              <w:marRight w:val="0"/>
              <w:marTop w:val="0"/>
              <w:marBottom w:val="0"/>
              <w:divBdr>
                <w:top w:val="single" w:sz="2" w:space="0" w:color="D9D9E3"/>
                <w:left w:val="single" w:sz="2" w:space="0" w:color="D9D9E3"/>
                <w:bottom w:val="single" w:sz="2" w:space="0" w:color="D9D9E3"/>
                <w:right w:val="single" w:sz="2" w:space="0" w:color="D9D9E3"/>
              </w:divBdr>
              <w:divsChild>
                <w:div w:id="556362210">
                  <w:marLeft w:val="0"/>
                  <w:marRight w:val="0"/>
                  <w:marTop w:val="0"/>
                  <w:marBottom w:val="0"/>
                  <w:divBdr>
                    <w:top w:val="single" w:sz="2" w:space="0" w:color="D9D9E3"/>
                    <w:left w:val="single" w:sz="2" w:space="0" w:color="D9D9E3"/>
                    <w:bottom w:val="single" w:sz="2" w:space="0" w:color="D9D9E3"/>
                    <w:right w:val="single" w:sz="2" w:space="0" w:color="D9D9E3"/>
                  </w:divBdr>
                  <w:divsChild>
                    <w:div w:id="2147041916">
                      <w:marLeft w:val="0"/>
                      <w:marRight w:val="0"/>
                      <w:marTop w:val="0"/>
                      <w:marBottom w:val="0"/>
                      <w:divBdr>
                        <w:top w:val="single" w:sz="2" w:space="0" w:color="D9D9E3"/>
                        <w:left w:val="single" w:sz="2" w:space="0" w:color="D9D9E3"/>
                        <w:bottom w:val="single" w:sz="2" w:space="0" w:color="D9D9E3"/>
                        <w:right w:val="single" w:sz="2" w:space="0" w:color="D9D9E3"/>
                      </w:divBdr>
                      <w:divsChild>
                        <w:div w:id="141511809">
                          <w:marLeft w:val="0"/>
                          <w:marRight w:val="0"/>
                          <w:marTop w:val="0"/>
                          <w:marBottom w:val="0"/>
                          <w:divBdr>
                            <w:top w:val="single" w:sz="2" w:space="0" w:color="D9D9E3"/>
                            <w:left w:val="single" w:sz="2" w:space="0" w:color="D9D9E3"/>
                            <w:bottom w:val="single" w:sz="2" w:space="0" w:color="D9D9E3"/>
                            <w:right w:val="single" w:sz="2" w:space="0" w:color="D9D9E3"/>
                          </w:divBdr>
                          <w:divsChild>
                            <w:div w:id="23874062">
                              <w:marLeft w:val="0"/>
                              <w:marRight w:val="0"/>
                              <w:marTop w:val="100"/>
                              <w:marBottom w:val="100"/>
                              <w:divBdr>
                                <w:top w:val="single" w:sz="2" w:space="0" w:color="D9D9E3"/>
                                <w:left w:val="single" w:sz="2" w:space="0" w:color="D9D9E3"/>
                                <w:bottom w:val="single" w:sz="2" w:space="0" w:color="D9D9E3"/>
                                <w:right w:val="single" w:sz="2" w:space="0" w:color="D9D9E3"/>
                              </w:divBdr>
                              <w:divsChild>
                                <w:div w:id="857885935">
                                  <w:marLeft w:val="0"/>
                                  <w:marRight w:val="0"/>
                                  <w:marTop w:val="0"/>
                                  <w:marBottom w:val="0"/>
                                  <w:divBdr>
                                    <w:top w:val="single" w:sz="2" w:space="0" w:color="D9D9E3"/>
                                    <w:left w:val="single" w:sz="2" w:space="0" w:color="D9D9E3"/>
                                    <w:bottom w:val="single" w:sz="2" w:space="0" w:color="D9D9E3"/>
                                    <w:right w:val="single" w:sz="2" w:space="0" w:color="D9D9E3"/>
                                  </w:divBdr>
                                  <w:divsChild>
                                    <w:div w:id="2012098288">
                                      <w:marLeft w:val="0"/>
                                      <w:marRight w:val="0"/>
                                      <w:marTop w:val="0"/>
                                      <w:marBottom w:val="0"/>
                                      <w:divBdr>
                                        <w:top w:val="single" w:sz="2" w:space="0" w:color="D9D9E3"/>
                                        <w:left w:val="single" w:sz="2" w:space="0" w:color="D9D9E3"/>
                                        <w:bottom w:val="single" w:sz="2" w:space="0" w:color="D9D9E3"/>
                                        <w:right w:val="single" w:sz="2" w:space="0" w:color="D9D9E3"/>
                                      </w:divBdr>
                                      <w:divsChild>
                                        <w:div w:id="2073305317">
                                          <w:marLeft w:val="0"/>
                                          <w:marRight w:val="0"/>
                                          <w:marTop w:val="0"/>
                                          <w:marBottom w:val="0"/>
                                          <w:divBdr>
                                            <w:top w:val="single" w:sz="2" w:space="0" w:color="D9D9E3"/>
                                            <w:left w:val="single" w:sz="2" w:space="0" w:color="D9D9E3"/>
                                            <w:bottom w:val="single" w:sz="2" w:space="0" w:color="D9D9E3"/>
                                            <w:right w:val="single" w:sz="2" w:space="0" w:color="D9D9E3"/>
                                          </w:divBdr>
                                          <w:divsChild>
                                            <w:div w:id="972564709">
                                              <w:marLeft w:val="0"/>
                                              <w:marRight w:val="0"/>
                                              <w:marTop w:val="0"/>
                                              <w:marBottom w:val="0"/>
                                              <w:divBdr>
                                                <w:top w:val="single" w:sz="2" w:space="0" w:color="D9D9E3"/>
                                                <w:left w:val="single" w:sz="2" w:space="0" w:color="D9D9E3"/>
                                                <w:bottom w:val="single" w:sz="2" w:space="0" w:color="D9D9E3"/>
                                                <w:right w:val="single" w:sz="2" w:space="0" w:color="D9D9E3"/>
                                              </w:divBdr>
                                              <w:divsChild>
                                                <w:div w:id="327830982">
                                                  <w:marLeft w:val="0"/>
                                                  <w:marRight w:val="0"/>
                                                  <w:marTop w:val="0"/>
                                                  <w:marBottom w:val="0"/>
                                                  <w:divBdr>
                                                    <w:top w:val="single" w:sz="2" w:space="0" w:color="D9D9E3"/>
                                                    <w:left w:val="single" w:sz="2" w:space="0" w:color="D9D9E3"/>
                                                    <w:bottom w:val="single" w:sz="2" w:space="0" w:color="D9D9E3"/>
                                                    <w:right w:val="single" w:sz="2" w:space="0" w:color="D9D9E3"/>
                                                  </w:divBdr>
                                                  <w:divsChild>
                                                    <w:div w:id="5262560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64086534">
          <w:marLeft w:val="0"/>
          <w:marRight w:val="0"/>
          <w:marTop w:val="0"/>
          <w:marBottom w:val="0"/>
          <w:divBdr>
            <w:top w:val="single" w:sz="2" w:space="0" w:color="D9D9E3"/>
            <w:left w:val="single" w:sz="2" w:space="0" w:color="D9D9E3"/>
            <w:bottom w:val="single" w:sz="2" w:space="0" w:color="D9D9E3"/>
            <w:right w:val="single" w:sz="2" w:space="0" w:color="D9D9E3"/>
          </w:divBdr>
          <w:divsChild>
            <w:div w:id="345987476">
              <w:marLeft w:val="0"/>
              <w:marRight w:val="0"/>
              <w:marTop w:val="0"/>
              <w:marBottom w:val="0"/>
              <w:divBdr>
                <w:top w:val="single" w:sz="2" w:space="0" w:color="D9D9E3"/>
                <w:left w:val="single" w:sz="2" w:space="0" w:color="D9D9E3"/>
                <w:bottom w:val="single" w:sz="2" w:space="0" w:color="D9D9E3"/>
                <w:right w:val="single" w:sz="2" w:space="0" w:color="D9D9E3"/>
              </w:divBdr>
              <w:divsChild>
                <w:div w:id="1891107564">
                  <w:marLeft w:val="0"/>
                  <w:marRight w:val="0"/>
                  <w:marTop w:val="0"/>
                  <w:marBottom w:val="0"/>
                  <w:divBdr>
                    <w:top w:val="single" w:sz="2" w:space="0" w:color="D9D9E3"/>
                    <w:left w:val="single" w:sz="2" w:space="0" w:color="D9D9E3"/>
                    <w:bottom w:val="single" w:sz="2" w:space="0" w:color="D9D9E3"/>
                    <w:right w:val="single" w:sz="2" w:space="0" w:color="D9D9E3"/>
                  </w:divBdr>
                  <w:divsChild>
                    <w:div w:id="216162123">
                      <w:marLeft w:val="0"/>
                      <w:marRight w:val="0"/>
                      <w:marTop w:val="0"/>
                      <w:marBottom w:val="0"/>
                      <w:divBdr>
                        <w:top w:val="single" w:sz="6" w:space="0" w:color="auto"/>
                        <w:left w:val="single" w:sz="6" w:space="0" w:color="auto"/>
                        <w:bottom w:val="single" w:sz="6" w:space="0" w:color="auto"/>
                        <w:right w:val="single" w:sz="6" w:space="0" w:color="auto"/>
                      </w:divBdr>
                      <w:divsChild>
                        <w:div w:id="1712536901">
                          <w:marLeft w:val="0"/>
                          <w:marRight w:val="0"/>
                          <w:marTop w:val="0"/>
                          <w:marBottom w:val="0"/>
                          <w:divBdr>
                            <w:top w:val="none" w:sz="0" w:space="0" w:color="auto"/>
                            <w:left w:val="none" w:sz="0" w:space="0" w:color="auto"/>
                            <w:bottom w:val="none" w:sz="0" w:space="0" w:color="auto"/>
                            <w:right w:val="none" w:sz="0" w:space="0" w:color="auto"/>
                          </w:divBdr>
                          <w:divsChild>
                            <w:div w:id="1249315660">
                              <w:marLeft w:val="0"/>
                              <w:marRight w:val="0"/>
                              <w:marTop w:val="0"/>
                              <w:marBottom w:val="0"/>
                              <w:divBdr>
                                <w:top w:val="none" w:sz="0" w:space="0" w:color="auto"/>
                                <w:left w:val="none" w:sz="0" w:space="0" w:color="auto"/>
                                <w:bottom w:val="none" w:sz="0" w:space="0" w:color="auto"/>
                                <w:right w:val="none" w:sz="0" w:space="0" w:color="auto"/>
                              </w:divBdr>
                              <w:divsChild>
                                <w:div w:id="98987514">
                                  <w:marLeft w:val="0"/>
                                  <w:marRight w:val="0"/>
                                  <w:marTop w:val="0"/>
                                  <w:marBottom w:val="0"/>
                                  <w:divBdr>
                                    <w:top w:val="none" w:sz="0" w:space="0" w:color="auto"/>
                                    <w:left w:val="none" w:sz="0" w:space="0" w:color="auto"/>
                                    <w:bottom w:val="none" w:sz="0" w:space="0" w:color="auto"/>
                                    <w:right w:val="none" w:sz="0" w:space="0" w:color="auto"/>
                                  </w:divBdr>
                                  <w:divsChild>
                                    <w:div w:id="223684691">
                                      <w:marLeft w:val="0"/>
                                      <w:marRight w:val="0"/>
                                      <w:marTop w:val="0"/>
                                      <w:marBottom w:val="0"/>
                                      <w:divBdr>
                                        <w:top w:val="none" w:sz="0" w:space="0" w:color="auto"/>
                                        <w:left w:val="none" w:sz="0" w:space="0" w:color="auto"/>
                                        <w:bottom w:val="none" w:sz="0" w:space="0" w:color="auto"/>
                                        <w:right w:val="none" w:sz="0" w:space="0" w:color="auto"/>
                                      </w:divBdr>
                                      <w:divsChild>
                                        <w:div w:id="1397555494">
                                          <w:marLeft w:val="0"/>
                                          <w:marRight w:val="0"/>
                                          <w:marTop w:val="0"/>
                                          <w:marBottom w:val="0"/>
                                          <w:divBdr>
                                            <w:top w:val="none" w:sz="0" w:space="0" w:color="auto"/>
                                            <w:left w:val="none" w:sz="0" w:space="0" w:color="auto"/>
                                            <w:bottom w:val="none" w:sz="0" w:space="0" w:color="auto"/>
                                            <w:right w:val="none" w:sz="0" w:space="0" w:color="auto"/>
                                          </w:divBdr>
                                          <w:divsChild>
                                            <w:div w:id="201329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65175222">
      <w:bodyDiv w:val="1"/>
      <w:marLeft w:val="0"/>
      <w:marRight w:val="0"/>
      <w:marTop w:val="0"/>
      <w:marBottom w:val="0"/>
      <w:divBdr>
        <w:top w:val="none" w:sz="0" w:space="0" w:color="auto"/>
        <w:left w:val="none" w:sz="0" w:space="0" w:color="auto"/>
        <w:bottom w:val="none" w:sz="0" w:space="0" w:color="auto"/>
        <w:right w:val="none" w:sz="0" w:space="0" w:color="auto"/>
      </w:divBdr>
      <w:divsChild>
        <w:div w:id="211118381">
          <w:marLeft w:val="0"/>
          <w:marRight w:val="0"/>
          <w:marTop w:val="0"/>
          <w:marBottom w:val="0"/>
          <w:divBdr>
            <w:top w:val="single" w:sz="2" w:space="0" w:color="D9D9E3"/>
            <w:left w:val="single" w:sz="2" w:space="0" w:color="D9D9E3"/>
            <w:bottom w:val="single" w:sz="2" w:space="0" w:color="D9D9E3"/>
            <w:right w:val="single" w:sz="2" w:space="0" w:color="D9D9E3"/>
          </w:divBdr>
          <w:divsChild>
            <w:div w:id="791020141">
              <w:marLeft w:val="0"/>
              <w:marRight w:val="0"/>
              <w:marTop w:val="0"/>
              <w:marBottom w:val="0"/>
              <w:divBdr>
                <w:top w:val="single" w:sz="2" w:space="0" w:color="D9D9E3"/>
                <w:left w:val="single" w:sz="2" w:space="0" w:color="D9D9E3"/>
                <w:bottom w:val="single" w:sz="2" w:space="0" w:color="D9D9E3"/>
                <w:right w:val="single" w:sz="2" w:space="0" w:color="D9D9E3"/>
              </w:divBdr>
              <w:divsChild>
                <w:div w:id="549464038">
                  <w:marLeft w:val="0"/>
                  <w:marRight w:val="0"/>
                  <w:marTop w:val="0"/>
                  <w:marBottom w:val="0"/>
                  <w:divBdr>
                    <w:top w:val="single" w:sz="2" w:space="0" w:color="D9D9E3"/>
                    <w:left w:val="single" w:sz="2" w:space="0" w:color="D9D9E3"/>
                    <w:bottom w:val="single" w:sz="2" w:space="0" w:color="D9D9E3"/>
                    <w:right w:val="single" w:sz="2" w:space="0" w:color="D9D9E3"/>
                  </w:divBdr>
                  <w:divsChild>
                    <w:div w:id="1793740519">
                      <w:marLeft w:val="0"/>
                      <w:marRight w:val="0"/>
                      <w:marTop w:val="0"/>
                      <w:marBottom w:val="0"/>
                      <w:divBdr>
                        <w:top w:val="single" w:sz="2" w:space="0" w:color="D9D9E3"/>
                        <w:left w:val="single" w:sz="2" w:space="0" w:color="D9D9E3"/>
                        <w:bottom w:val="single" w:sz="2" w:space="0" w:color="D9D9E3"/>
                        <w:right w:val="single" w:sz="2" w:space="0" w:color="D9D9E3"/>
                      </w:divBdr>
                      <w:divsChild>
                        <w:div w:id="795564771">
                          <w:marLeft w:val="0"/>
                          <w:marRight w:val="0"/>
                          <w:marTop w:val="0"/>
                          <w:marBottom w:val="0"/>
                          <w:divBdr>
                            <w:top w:val="single" w:sz="2" w:space="0" w:color="D9D9E3"/>
                            <w:left w:val="single" w:sz="2" w:space="0" w:color="D9D9E3"/>
                            <w:bottom w:val="single" w:sz="2" w:space="0" w:color="D9D9E3"/>
                            <w:right w:val="single" w:sz="2" w:space="0" w:color="D9D9E3"/>
                          </w:divBdr>
                          <w:divsChild>
                            <w:div w:id="2130512167">
                              <w:marLeft w:val="0"/>
                              <w:marRight w:val="0"/>
                              <w:marTop w:val="100"/>
                              <w:marBottom w:val="100"/>
                              <w:divBdr>
                                <w:top w:val="single" w:sz="2" w:space="0" w:color="D9D9E3"/>
                                <w:left w:val="single" w:sz="2" w:space="0" w:color="D9D9E3"/>
                                <w:bottom w:val="single" w:sz="2" w:space="0" w:color="D9D9E3"/>
                                <w:right w:val="single" w:sz="2" w:space="0" w:color="D9D9E3"/>
                              </w:divBdr>
                              <w:divsChild>
                                <w:div w:id="314143689">
                                  <w:marLeft w:val="0"/>
                                  <w:marRight w:val="0"/>
                                  <w:marTop w:val="0"/>
                                  <w:marBottom w:val="0"/>
                                  <w:divBdr>
                                    <w:top w:val="single" w:sz="2" w:space="0" w:color="D9D9E3"/>
                                    <w:left w:val="single" w:sz="2" w:space="0" w:color="D9D9E3"/>
                                    <w:bottom w:val="single" w:sz="2" w:space="0" w:color="D9D9E3"/>
                                    <w:right w:val="single" w:sz="2" w:space="0" w:color="D9D9E3"/>
                                  </w:divBdr>
                                  <w:divsChild>
                                    <w:div w:id="458687469">
                                      <w:marLeft w:val="0"/>
                                      <w:marRight w:val="0"/>
                                      <w:marTop w:val="0"/>
                                      <w:marBottom w:val="0"/>
                                      <w:divBdr>
                                        <w:top w:val="single" w:sz="2" w:space="0" w:color="D9D9E3"/>
                                        <w:left w:val="single" w:sz="2" w:space="0" w:color="D9D9E3"/>
                                        <w:bottom w:val="single" w:sz="2" w:space="0" w:color="D9D9E3"/>
                                        <w:right w:val="single" w:sz="2" w:space="0" w:color="D9D9E3"/>
                                      </w:divBdr>
                                      <w:divsChild>
                                        <w:div w:id="1744182361">
                                          <w:marLeft w:val="0"/>
                                          <w:marRight w:val="0"/>
                                          <w:marTop w:val="0"/>
                                          <w:marBottom w:val="0"/>
                                          <w:divBdr>
                                            <w:top w:val="single" w:sz="2" w:space="0" w:color="D9D9E3"/>
                                            <w:left w:val="single" w:sz="2" w:space="0" w:color="D9D9E3"/>
                                            <w:bottom w:val="single" w:sz="2" w:space="0" w:color="D9D9E3"/>
                                            <w:right w:val="single" w:sz="2" w:space="0" w:color="D9D9E3"/>
                                          </w:divBdr>
                                          <w:divsChild>
                                            <w:div w:id="721829852">
                                              <w:marLeft w:val="0"/>
                                              <w:marRight w:val="0"/>
                                              <w:marTop w:val="0"/>
                                              <w:marBottom w:val="0"/>
                                              <w:divBdr>
                                                <w:top w:val="single" w:sz="2" w:space="0" w:color="D9D9E3"/>
                                                <w:left w:val="single" w:sz="2" w:space="0" w:color="D9D9E3"/>
                                                <w:bottom w:val="single" w:sz="2" w:space="0" w:color="D9D9E3"/>
                                                <w:right w:val="single" w:sz="2" w:space="0" w:color="D9D9E3"/>
                                              </w:divBdr>
                                              <w:divsChild>
                                                <w:div w:id="958413162">
                                                  <w:marLeft w:val="0"/>
                                                  <w:marRight w:val="0"/>
                                                  <w:marTop w:val="0"/>
                                                  <w:marBottom w:val="0"/>
                                                  <w:divBdr>
                                                    <w:top w:val="single" w:sz="2" w:space="0" w:color="D9D9E3"/>
                                                    <w:left w:val="single" w:sz="2" w:space="0" w:color="D9D9E3"/>
                                                    <w:bottom w:val="single" w:sz="2" w:space="0" w:color="D9D9E3"/>
                                                    <w:right w:val="single" w:sz="2" w:space="0" w:color="D9D9E3"/>
                                                  </w:divBdr>
                                                  <w:divsChild>
                                                    <w:div w:id="3809104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68154088">
          <w:marLeft w:val="0"/>
          <w:marRight w:val="0"/>
          <w:marTop w:val="0"/>
          <w:marBottom w:val="0"/>
          <w:divBdr>
            <w:top w:val="single" w:sz="2" w:space="0" w:color="D9D9E3"/>
            <w:left w:val="single" w:sz="2" w:space="0" w:color="D9D9E3"/>
            <w:bottom w:val="single" w:sz="2" w:space="0" w:color="D9D9E3"/>
            <w:right w:val="single" w:sz="2" w:space="0" w:color="D9D9E3"/>
          </w:divBdr>
          <w:divsChild>
            <w:div w:id="362171835">
              <w:marLeft w:val="0"/>
              <w:marRight w:val="0"/>
              <w:marTop w:val="0"/>
              <w:marBottom w:val="0"/>
              <w:divBdr>
                <w:top w:val="single" w:sz="2" w:space="0" w:color="D9D9E3"/>
                <w:left w:val="single" w:sz="2" w:space="0" w:color="D9D9E3"/>
                <w:bottom w:val="single" w:sz="2" w:space="0" w:color="D9D9E3"/>
                <w:right w:val="single" w:sz="2" w:space="0" w:color="D9D9E3"/>
              </w:divBdr>
              <w:divsChild>
                <w:div w:id="435178418">
                  <w:marLeft w:val="0"/>
                  <w:marRight w:val="0"/>
                  <w:marTop w:val="0"/>
                  <w:marBottom w:val="0"/>
                  <w:divBdr>
                    <w:top w:val="single" w:sz="2" w:space="0" w:color="D9D9E3"/>
                    <w:left w:val="single" w:sz="2" w:space="0" w:color="D9D9E3"/>
                    <w:bottom w:val="single" w:sz="2" w:space="0" w:color="D9D9E3"/>
                    <w:right w:val="single" w:sz="2" w:space="0" w:color="D9D9E3"/>
                  </w:divBdr>
                  <w:divsChild>
                    <w:div w:id="2517230">
                      <w:marLeft w:val="0"/>
                      <w:marRight w:val="0"/>
                      <w:marTop w:val="0"/>
                      <w:marBottom w:val="0"/>
                      <w:divBdr>
                        <w:top w:val="single" w:sz="6" w:space="0" w:color="auto"/>
                        <w:left w:val="single" w:sz="6" w:space="0" w:color="auto"/>
                        <w:bottom w:val="single" w:sz="6" w:space="0" w:color="auto"/>
                        <w:right w:val="single" w:sz="6" w:space="0" w:color="auto"/>
                      </w:divBdr>
                      <w:divsChild>
                        <w:div w:id="603346373">
                          <w:marLeft w:val="0"/>
                          <w:marRight w:val="0"/>
                          <w:marTop w:val="0"/>
                          <w:marBottom w:val="0"/>
                          <w:divBdr>
                            <w:top w:val="none" w:sz="0" w:space="0" w:color="auto"/>
                            <w:left w:val="none" w:sz="0" w:space="0" w:color="auto"/>
                            <w:bottom w:val="none" w:sz="0" w:space="0" w:color="auto"/>
                            <w:right w:val="none" w:sz="0" w:space="0" w:color="auto"/>
                          </w:divBdr>
                          <w:divsChild>
                            <w:div w:id="2083134140">
                              <w:marLeft w:val="0"/>
                              <w:marRight w:val="0"/>
                              <w:marTop w:val="0"/>
                              <w:marBottom w:val="0"/>
                              <w:divBdr>
                                <w:top w:val="none" w:sz="0" w:space="0" w:color="auto"/>
                                <w:left w:val="none" w:sz="0" w:space="0" w:color="auto"/>
                                <w:bottom w:val="none" w:sz="0" w:space="0" w:color="auto"/>
                                <w:right w:val="none" w:sz="0" w:space="0" w:color="auto"/>
                              </w:divBdr>
                              <w:divsChild>
                                <w:div w:id="1225489517">
                                  <w:marLeft w:val="0"/>
                                  <w:marRight w:val="0"/>
                                  <w:marTop w:val="0"/>
                                  <w:marBottom w:val="0"/>
                                  <w:divBdr>
                                    <w:top w:val="none" w:sz="0" w:space="0" w:color="auto"/>
                                    <w:left w:val="none" w:sz="0" w:space="0" w:color="auto"/>
                                    <w:bottom w:val="none" w:sz="0" w:space="0" w:color="auto"/>
                                    <w:right w:val="none" w:sz="0" w:space="0" w:color="auto"/>
                                  </w:divBdr>
                                  <w:divsChild>
                                    <w:div w:id="2127851897">
                                      <w:marLeft w:val="0"/>
                                      <w:marRight w:val="0"/>
                                      <w:marTop w:val="0"/>
                                      <w:marBottom w:val="0"/>
                                      <w:divBdr>
                                        <w:top w:val="none" w:sz="0" w:space="0" w:color="auto"/>
                                        <w:left w:val="none" w:sz="0" w:space="0" w:color="auto"/>
                                        <w:bottom w:val="none" w:sz="0" w:space="0" w:color="auto"/>
                                        <w:right w:val="none" w:sz="0" w:space="0" w:color="auto"/>
                                      </w:divBdr>
                                      <w:divsChild>
                                        <w:div w:id="99494581">
                                          <w:marLeft w:val="0"/>
                                          <w:marRight w:val="0"/>
                                          <w:marTop w:val="0"/>
                                          <w:marBottom w:val="0"/>
                                          <w:divBdr>
                                            <w:top w:val="none" w:sz="0" w:space="0" w:color="auto"/>
                                            <w:left w:val="none" w:sz="0" w:space="0" w:color="auto"/>
                                            <w:bottom w:val="none" w:sz="0" w:space="0" w:color="auto"/>
                                            <w:right w:val="none" w:sz="0" w:space="0" w:color="auto"/>
                                          </w:divBdr>
                                          <w:divsChild>
                                            <w:div w:id="13349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0638383">
      <w:bodyDiv w:val="1"/>
      <w:marLeft w:val="0"/>
      <w:marRight w:val="0"/>
      <w:marTop w:val="0"/>
      <w:marBottom w:val="0"/>
      <w:divBdr>
        <w:top w:val="none" w:sz="0" w:space="0" w:color="auto"/>
        <w:left w:val="none" w:sz="0" w:space="0" w:color="auto"/>
        <w:bottom w:val="none" w:sz="0" w:space="0" w:color="auto"/>
        <w:right w:val="none" w:sz="0" w:space="0" w:color="auto"/>
      </w:divBdr>
    </w:div>
    <w:div w:id="2082826944">
      <w:bodyDiv w:val="1"/>
      <w:marLeft w:val="0"/>
      <w:marRight w:val="0"/>
      <w:marTop w:val="0"/>
      <w:marBottom w:val="0"/>
      <w:divBdr>
        <w:top w:val="none" w:sz="0" w:space="0" w:color="auto"/>
        <w:left w:val="none" w:sz="0" w:space="0" w:color="auto"/>
        <w:bottom w:val="none" w:sz="0" w:space="0" w:color="auto"/>
        <w:right w:val="none" w:sz="0" w:space="0" w:color="auto"/>
      </w:divBdr>
    </w:div>
    <w:div w:id="2101022267">
      <w:bodyDiv w:val="1"/>
      <w:marLeft w:val="0"/>
      <w:marRight w:val="0"/>
      <w:marTop w:val="0"/>
      <w:marBottom w:val="0"/>
      <w:divBdr>
        <w:top w:val="none" w:sz="0" w:space="0" w:color="auto"/>
        <w:left w:val="none" w:sz="0" w:space="0" w:color="auto"/>
        <w:bottom w:val="none" w:sz="0" w:space="0" w:color="auto"/>
        <w:right w:val="none" w:sz="0" w:space="0" w:color="auto"/>
      </w:divBdr>
    </w:div>
    <w:div w:id="2109154060">
      <w:bodyDiv w:val="1"/>
      <w:marLeft w:val="0"/>
      <w:marRight w:val="0"/>
      <w:marTop w:val="0"/>
      <w:marBottom w:val="0"/>
      <w:divBdr>
        <w:top w:val="none" w:sz="0" w:space="0" w:color="auto"/>
        <w:left w:val="none" w:sz="0" w:space="0" w:color="auto"/>
        <w:bottom w:val="none" w:sz="0" w:space="0" w:color="auto"/>
        <w:right w:val="none" w:sz="0" w:space="0" w:color="auto"/>
      </w:divBdr>
      <w:divsChild>
        <w:div w:id="1437362914">
          <w:marLeft w:val="0"/>
          <w:marRight w:val="0"/>
          <w:marTop w:val="0"/>
          <w:marBottom w:val="0"/>
          <w:divBdr>
            <w:top w:val="none" w:sz="0" w:space="0" w:color="auto"/>
            <w:left w:val="none" w:sz="0" w:space="0" w:color="auto"/>
            <w:bottom w:val="none" w:sz="0" w:space="0" w:color="auto"/>
            <w:right w:val="none" w:sz="0" w:space="0" w:color="auto"/>
          </w:divBdr>
          <w:divsChild>
            <w:div w:id="942955849">
              <w:marLeft w:val="0"/>
              <w:marRight w:val="0"/>
              <w:marTop w:val="0"/>
              <w:marBottom w:val="0"/>
              <w:divBdr>
                <w:top w:val="none" w:sz="0" w:space="0" w:color="auto"/>
                <w:left w:val="none" w:sz="0" w:space="0" w:color="auto"/>
                <w:bottom w:val="none" w:sz="0" w:space="0" w:color="auto"/>
                <w:right w:val="none" w:sz="0" w:space="0" w:color="auto"/>
              </w:divBdr>
              <w:divsChild>
                <w:div w:id="1487013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437581">
      <w:bodyDiv w:val="1"/>
      <w:marLeft w:val="0"/>
      <w:marRight w:val="0"/>
      <w:marTop w:val="0"/>
      <w:marBottom w:val="0"/>
      <w:divBdr>
        <w:top w:val="none" w:sz="0" w:space="0" w:color="auto"/>
        <w:left w:val="none" w:sz="0" w:space="0" w:color="auto"/>
        <w:bottom w:val="none" w:sz="0" w:space="0" w:color="auto"/>
        <w:right w:val="none" w:sz="0" w:space="0" w:color="auto"/>
      </w:divBdr>
      <w:divsChild>
        <w:div w:id="825517668">
          <w:marLeft w:val="0"/>
          <w:marRight w:val="0"/>
          <w:marTop w:val="0"/>
          <w:marBottom w:val="0"/>
          <w:divBdr>
            <w:top w:val="none" w:sz="0" w:space="0" w:color="auto"/>
            <w:left w:val="none" w:sz="0" w:space="0" w:color="auto"/>
            <w:bottom w:val="none" w:sz="0" w:space="0" w:color="auto"/>
            <w:right w:val="none" w:sz="0" w:space="0" w:color="auto"/>
          </w:divBdr>
        </w:div>
        <w:div w:id="1401319790">
          <w:marLeft w:val="0"/>
          <w:marRight w:val="0"/>
          <w:marTop w:val="0"/>
          <w:marBottom w:val="0"/>
          <w:divBdr>
            <w:top w:val="none" w:sz="0" w:space="0" w:color="auto"/>
            <w:left w:val="none" w:sz="0" w:space="0" w:color="auto"/>
            <w:bottom w:val="none" w:sz="0" w:space="0" w:color="auto"/>
            <w:right w:val="none" w:sz="0" w:space="0" w:color="auto"/>
          </w:divBdr>
        </w:div>
      </w:divsChild>
    </w:div>
    <w:div w:id="2134902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yperlink" Target="https://www.congress.gov/bill/104th-congress/house-bill/3103/text"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apc01.safelinks.protection.outlook.com/?url=https%3A%2F%2Fwww.ncbi.nlm.nih.gov%2Fbooks%2FNBK481583%2F&amp;data=05%7C01%7Cktr5261%40autuni.ac.nz%7C7a761a33eeb547c6f82f08dbe16f55e4%7C5e022ca15c044f878db7d588726274e3%7C1%7C0%7C638351640520016082%7CUnknown%7CTWFpbGZsb3d8eyJWIjoiMC4wLjAwMDAiLCJQIjoiV2luMzIiLCJBTiI6Ik1haWwiLCJXVCI6Mn0%3D%7C3000%7C%7C%7C&amp;sdata=TUtFbH%2FN17YWXINeeMYWfOH0PcICar7%2B80NEotJpc98%3D&amp;reserved=0"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grandviewresearch.com/industry-analysis/telehealth-market-report" TargetMode="External"/><Relationship Id="rId25" Type="http://schemas.openxmlformats.org/officeDocument/2006/relationships/hyperlink" Target="https://iris.who.int/bitstream/handle/10665/252529/9789241511780-eng.pdf?sequence=1" TargetMode="External"/><Relationship Id="rId2" Type="http://schemas.openxmlformats.org/officeDocument/2006/relationships/numbering" Target="numbering.xml"/><Relationship Id="rId16" Type="http://schemas.openxmlformats.org/officeDocument/2006/relationships/hyperlink" Target="https://www.europarl.europa.eu/RegData/etudes/BRIE/2021/690548/EPRS_BRI(2021)690548_EN.pdf" TargetMode="External"/><Relationship Id="rId20" Type="http://schemas.openxmlformats.org/officeDocument/2006/relationships/hyperlink" Target="https://conductscience.com/conceptual-research-vs-empirical-researc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hhs.gov/hipaa/for-professionals/privacy/laws-regulations/index.html" TargetMode="External"/><Relationship Id="rId5" Type="http://schemas.openxmlformats.org/officeDocument/2006/relationships/webSettings" Target="webSettings.xml"/><Relationship Id="rId15" Type="http://schemas.openxmlformats.org/officeDocument/2006/relationships/hyperlink" Target="https://www.ifap.ru/library/book466.pdf" TargetMode="External"/><Relationship Id="rId23" Type="http://schemas.openxmlformats.org/officeDocument/2006/relationships/hyperlink" Target="https://www.statista.com/statistics/407644/global-rates-of-organ-transplanted-patients-in-select-countries/" TargetMode="External"/><Relationship Id="rId10" Type="http://schemas.openxmlformats.org/officeDocument/2006/relationships/footer" Target="footer1.xml"/><Relationship Id="rId19" Type="http://schemas.openxmlformats.org/officeDocument/2006/relationships/hyperlink" Target="https://www.forbes.com/sites/forbestechcouncil/2020/04/06/how-the-growing-relationship-between-technology-and-healthcare-will-improve-our-lives/?sh=228f3c70156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www.precedenceresearch.com/ehealth-market"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3BEFBD-C9DD-1744-90E1-8C1E493030F3}">
  <ds:schemaRefs>
    <ds:schemaRef ds:uri="http://schemas.openxmlformats.org/officeDocument/2006/bibliography"/>
  </ds:schemaRefs>
</ds:datastoreItem>
</file>

<file path=docMetadata/LabelInfo.xml><?xml version="1.0" encoding="utf-8"?>
<clbl:labelList xmlns:clbl="http://schemas.microsoft.com/office/2020/mipLabelMetadata">
  <clbl:label id="{d1b36e95-0d50-42e9-958f-b63fa906beaa}" enabled="0" method="" siteId="{d1b36e95-0d50-42e9-958f-b63fa906beaa}" removed="1"/>
</clbl:labelList>
</file>

<file path=docProps/app.xml><?xml version="1.0" encoding="utf-8"?>
<Properties xmlns="http://schemas.openxmlformats.org/officeDocument/2006/extended-properties" xmlns:vt="http://schemas.openxmlformats.org/officeDocument/2006/docPropsVTypes">
  <Template>Normal.dotm</Template>
  <TotalTime>115</TotalTime>
  <Pages>78</Pages>
  <Words>27719</Words>
  <Characters>158001</Characters>
  <Application>Microsoft Office Word</Application>
  <DocSecurity>0</DocSecurity>
  <Lines>1316</Lines>
  <Paragraphs>370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185350</CharactersWithSpaces>
  <SharedDoc>false</SharedDoc>
  <HLinks>
    <vt:vector size="360" baseType="variant">
      <vt:variant>
        <vt:i4>3342379</vt:i4>
      </vt:variant>
      <vt:variant>
        <vt:i4>357</vt:i4>
      </vt:variant>
      <vt:variant>
        <vt:i4>0</vt:i4>
      </vt:variant>
      <vt:variant>
        <vt:i4>5</vt:i4>
      </vt:variant>
      <vt:variant>
        <vt:lpwstr>https://iris.who.int/bitstream/handle/10665/252529/9789241511780-eng.pdf?sequence=1</vt:lpwstr>
      </vt:variant>
      <vt:variant>
        <vt:lpwstr/>
      </vt:variant>
      <vt:variant>
        <vt:i4>3735607</vt:i4>
      </vt:variant>
      <vt:variant>
        <vt:i4>354</vt:i4>
      </vt:variant>
      <vt:variant>
        <vt:i4>0</vt:i4>
      </vt:variant>
      <vt:variant>
        <vt:i4>5</vt:i4>
      </vt:variant>
      <vt:variant>
        <vt:lpwstr>https://www.statista.com/statistics/407644/global-rates-of-organ-transplanted-patients-in-select-countries/</vt:lpwstr>
      </vt:variant>
      <vt:variant>
        <vt:lpwstr/>
      </vt:variant>
      <vt:variant>
        <vt:i4>6029313</vt:i4>
      </vt:variant>
      <vt:variant>
        <vt:i4>351</vt:i4>
      </vt:variant>
      <vt:variant>
        <vt:i4>0</vt:i4>
      </vt:variant>
      <vt:variant>
        <vt:i4>5</vt:i4>
      </vt:variant>
      <vt:variant>
        <vt:lpwstr>https://www.precedenceresearch.com/ehealth-market</vt:lpwstr>
      </vt:variant>
      <vt:variant>
        <vt:lpwstr/>
      </vt:variant>
      <vt:variant>
        <vt:i4>3866744</vt:i4>
      </vt:variant>
      <vt:variant>
        <vt:i4>348</vt:i4>
      </vt:variant>
      <vt:variant>
        <vt:i4>0</vt:i4>
      </vt:variant>
      <vt:variant>
        <vt:i4>5</vt:i4>
      </vt:variant>
      <vt:variant>
        <vt:lpwstr>https://apc01.safelinks.protection.outlook.com/?url=https%3A%2F%2Fwww.ncbi.nlm.nih.gov%2Fbooks%2FNBK481583%2F&amp;data=05%7C01%7Cktr5261%40autuni.ac.nz%7C7a761a33eeb547c6f82f08dbe16f55e4%7C5e022ca15c044f878db7d588726274e3%7C1%7C0%7C638351640520016082%7CUnknown%7CTWFpbGZsb3d8eyJWIjoiMC4wLjAwMDAiLCJQIjoiV2luMzIiLCJBTiI6Ik1haWwiLCJXVCI6Mn0%3D%7C3000%7C%7C%7C&amp;sdata=TUtFbH%2FN17YWXINeeMYWfOH0PcICar7%2B80NEotJpc98%3D&amp;reserved=0</vt:lpwstr>
      </vt:variant>
      <vt:variant>
        <vt:lpwstr/>
      </vt:variant>
      <vt:variant>
        <vt:i4>4980756</vt:i4>
      </vt:variant>
      <vt:variant>
        <vt:i4>345</vt:i4>
      </vt:variant>
      <vt:variant>
        <vt:i4>0</vt:i4>
      </vt:variant>
      <vt:variant>
        <vt:i4>5</vt:i4>
      </vt:variant>
      <vt:variant>
        <vt:lpwstr>https://conductscience.com/conceptual-research-vs-empirical-research/</vt:lpwstr>
      </vt:variant>
      <vt:variant>
        <vt:lpwstr/>
      </vt:variant>
      <vt:variant>
        <vt:i4>4915213</vt:i4>
      </vt:variant>
      <vt:variant>
        <vt:i4>342</vt:i4>
      </vt:variant>
      <vt:variant>
        <vt:i4>0</vt:i4>
      </vt:variant>
      <vt:variant>
        <vt:i4>5</vt:i4>
      </vt:variant>
      <vt:variant>
        <vt:lpwstr>https://www.forbes.com/sites/forbestechcouncil/2020/04/06/how-the-growing-relationship-between-technology-and-healthcare-will-improve-our-lives/?sh=228f3c701567</vt:lpwstr>
      </vt:variant>
      <vt:variant>
        <vt:lpwstr/>
      </vt:variant>
      <vt:variant>
        <vt:i4>4915277</vt:i4>
      </vt:variant>
      <vt:variant>
        <vt:i4>339</vt:i4>
      </vt:variant>
      <vt:variant>
        <vt:i4>0</vt:i4>
      </vt:variant>
      <vt:variant>
        <vt:i4>5</vt:i4>
      </vt:variant>
      <vt:variant>
        <vt:lpwstr>https://www.grandviewresearch.com/industry-analysis/telehealth-market-report</vt:lpwstr>
      </vt:variant>
      <vt:variant>
        <vt:lpwstr/>
      </vt:variant>
      <vt:variant>
        <vt:i4>2490481</vt:i4>
      </vt:variant>
      <vt:variant>
        <vt:i4>336</vt:i4>
      </vt:variant>
      <vt:variant>
        <vt:i4>0</vt:i4>
      </vt:variant>
      <vt:variant>
        <vt:i4>5</vt:i4>
      </vt:variant>
      <vt:variant>
        <vt:lpwstr>https://www.europarl.europa.eu/RegData/etudes/BRIE/2021/690548/EPRS_BRI(2021)690548_EN.pdf</vt:lpwstr>
      </vt:variant>
      <vt:variant>
        <vt:lpwstr/>
      </vt:variant>
      <vt:variant>
        <vt:i4>3997818</vt:i4>
      </vt:variant>
      <vt:variant>
        <vt:i4>333</vt:i4>
      </vt:variant>
      <vt:variant>
        <vt:i4>0</vt:i4>
      </vt:variant>
      <vt:variant>
        <vt:i4>5</vt:i4>
      </vt:variant>
      <vt:variant>
        <vt:lpwstr>https://www.ifap.ru/library/book466.pdf</vt:lpwstr>
      </vt:variant>
      <vt:variant>
        <vt:lpwstr/>
      </vt:variant>
      <vt:variant>
        <vt:i4>1048624</vt:i4>
      </vt:variant>
      <vt:variant>
        <vt:i4>308</vt:i4>
      </vt:variant>
      <vt:variant>
        <vt:i4>0</vt:i4>
      </vt:variant>
      <vt:variant>
        <vt:i4>5</vt:i4>
      </vt:variant>
      <vt:variant>
        <vt:lpwstr/>
      </vt:variant>
      <vt:variant>
        <vt:lpwstr>_Toc153444628</vt:lpwstr>
      </vt:variant>
      <vt:variant>
        <vt:i4>1048624</vt:i4>
      </vt:variant>
      <vt:variant>
        <vt:i4>302</vt:i4>
      </vt:variant>
      <vt:variant>
        <vt:i4>0</vt:i4>
      </vt:variant>
      <vt:variant>
        <vt:i4>5</vt:i4>
      </vt:variant>
      <vt:variant>
        <vt:lpwstr/>
      </vt:variant>
      <vt:variant>
        <vt:lpwstr>_Toc153444627</vt:lpwstr>
      </vt:variant>
      <vt:variant>
        <vt:i4>1310769</vt:i4>
      </vt:variant>
      <vt:variant>
        <vt:i4>293</vt:i4>
      </vt:variant>
      <vt:variant>
        <vt:i4>0</vt:i4>
      </vt:variant>
      <vt:variant>
        <vt:i4>5</vt:i4>
      </vt:variant>
      <vt:variant>
        <vt:lpwstr/>
      </vt:variant>
      <vt:variant>
        <vt:lpwstr>_Toc153444769</vt:lpwstr>
      </vt:variant>
      <vt:variant>
        <vt:i4>1310769</vt:i4>
      </vt:variant>
      <vt:variant>
        <vt:i4>287</vt:i4>
      </vt:variant>
      <vt:variant>
        <vt:i4>0</vt:i4>
      </vt:variant>
      <vt:variant>
        <vt:i4>5</vt:i4>
      </vt:variant>
      <vt:variant>
        <vt:lpwstr/>
      </vt:variant>
      <vt:variant>
        <vt:lpwstr>_Toc153444768</vt:lpwstr>
      </vt:variant>
      <vt:variant>
        <vt:i4>1310769</vt:i4>
      </vt:variant>
      <vt:variant>
        <vt:i4>281</vt:i4>
      </vt:variant>
      <vt:variant>
        <vt:i4>0</vt:i4>
      </vt:variant>
      <vt:variant>
        <vt:i4>5</vt:i4>
      </vt:variant>
      <vt:variant>
        <vt:lpwstr/>
      </vt:variant>
      <vt:variant>
        <vt:lpwstr>_Toc153444767</vt:lpwstr>
      </vt:variant>
      <vt:variant>
        <vt:i4>1310769</vt:i4>
      </vt:variant>
      <vt:variant>
        <vt:i4>275</vt:i4>
      </vt:variant>
      <vt:variant>
        <vt:i4>0</vt:i4>
      </vt:variant>
      <vt:variant>
        <vt:i4>5</vt:i4>
      </vt:variant>
      <vt:variant>
        <vt:lpwstr/>
      </vt:variant>
      <vt:variant>
        <vt:lpwstr>_Toc153444766</vt:lpwstr>
      </vt:variant>
      <vt:variant>
        <vt:i4>1179710</vt:i4>
      </vt:variant>
      <vt:variant>
        <vt:i4>266</vt:i4>
      </vt:variant>
      <vt:variant>
        <vt:i4>0</vt:i4>
      </vt:variant>
      <vt:variant>
        <vt:i4>5</vt:i4>
      </vt:variant>
      <vt:variant>
        <vt:lpwstr/>
      </vt:variant>
      <vt:variant>
        <vt:lpwstr>_Toc154095258</vt:lpwstr>
      </vt:variant>
      <vt:variant>
        <vt:i4>1179710</vt:i4>
      </vt:variant>
      <vt:variant>
        <vt:i4>260</vt:i4>
      </vt:variant>
      <vt:variant>
        <vt:i4>0</vt:i4>
      </vt:variant>
      <vt:variant>
        <vt:i4>5</vt:i4>
      </vt:variant>
      <vt:variant>
        <vt:lpwstr/>
      </vt:variant>
      <vt:variant>
        <vt:lpwstr>_Toc154095257</vt:lpwstr>
      </vt:variant>
      <vt:variant>
        <vt:i4>1179710</vt:i4>
      </vt:variant>
      <vt:variant>
        <vt:i4>254</vt:i4>
      </vt:variant>
      <vt:variant>
        <vt:i4>0</vt:i4>
      </vt:variant>
      <vt:variant>
        <vt:i4>5</vt:i4>
      </vt:variant>
      <vt:variant>
        <vt:lpwstr/>
      </vt:variant>
      <vt:variant>
        <vt:lpwstr>_Toc154095256</vt:lpwstr>
      </vt:variant>
      <vt:variant>
        <vt:i4>1179710</vt:i4>
      </vt:variant>
      <vt:variant>
        <vt:i4>248</vt:i4>
      </vt:variant>
      <vt:variant>
        <vt:i4>0</vt:i4>
      </vt:variant>
      <vt:variant>
        <vt:i4>5</vt:i4>
      </vt:variant>
      <vt:variant>
        <vt:lpwstr/>
      </vt:variant>
      <vt:variant>
        <vt:lpwstr>_Toc154095255</vt:lpwstr>
      </vt:variant>
      <vt:variant>
        <vt:i4>1179710</vt:i4>
      </vt:variant>
      <vt:variant>
        <vt:i4>242</vt:i4>
      </vt:variant>
      <vt:variant>
        <vt:i4>0</vt:i4>
      </vt:variant>
      <vt:variant>
        <vt:i4>5</vt:i4>
      </vt:variant>
      <vt:variant>
        <vt:lpwstr/>
      </vt:variant>
      <vt:variant>
        <vt:lpwstr>_Toc154095254</vt:lpwstr>
      </vt:variant>
      <vt:variant>
        <vt:i4>1179710</vt:i4>
      </vt:variant>
      <vt:variant>
        <vt:i4>236</vt:i4>
      </vt:variant>
      <vt:variant>
        <vt:i4>0</vt:i4>
      </vt:variant>
      <vt:variant>
        <vt:i4>5</vt:i4>
      </vt:variant>
      <vt:variant>
        <vt:lpwstr/>
      </vt:variant>
      <vt:variant>
        <vt:lpwstr>_Toc154095253</vt:lpwstr>
      </vt:variant>
      <vt:variant>
        <vt:i4>1179710</vt:i4>
      </vt:variant>
      <vt:variant>
        <vt:i4>230</vt:i4>
      </vt:variant>
      <vt:variant>
        <vt:i4>0</vt:i4>
      </vt:variant>
      <vt:variant>
        <vt:i4>5</vt:i4>
      </vt:variant>
      <vt:variant>
        <vt:lpwstr/>
      </vt:variant>
      <vt:variant>
        <vt:lpwstr>_Toc154095252</vt:lpwstr>
      </vt:variant>
      <vt:variant>
        <vt:i4>1179710</vt:i4>
      </vt:variant>
      <vt:variant>
        <vt:i4>224</vt:i4>
      </vt:variant>
      <vt:variant>
        <vt:i4>0</vt:i4>
      </vt:variant>
      <vt:variant>
        <vt:i4>5</vt:i4>
      </vt:variant>
      <vt:variant>
        <vt:lpwstr/>
      </vt:variant>
      <vt:variant>
        <vt:lpwstr>_Toc154095251</vt:lpwstr>
      </vt:variant>
      <vt:variant>
        <vt:i4>1179710</vt:i4>
      </vt:variant>
      <vt:variant>
        <vt:i4>218</vt:i4>
      </vt:variant>
      <vt:variant>
        <vt:i4>0</vt:i4>
      </vt:variant>
      <vt:variant>
        <vt:i4>5</vt:i4>
      </vt:variant>
      <vt:variant>
        <vt:lpwstr/>
      </vt:variant>
      <vt:variant>
        <vt:lpwstr>_Toc154095250</vt:lpwstr>
      </vt:variant>
      <vt:variant>
        <vt:i4>1245246</vt:i4>
      </vt:variant>
      <vt:variant>
        <vt:i4>212</vt:i4>
      </vt:variant>
      <vt:variant>
        <vt:i4>0</vt:i4>
      </vt:variant>
      <vt:variant>
        <vt:i4>5</vt:i4>
      </vt:variant>
      <vt:variant>
        <vt:lpwstr/>
      </vt:variant>
      <vt:variant>
        <vt:lpwstr>_Toc154095249</vt:lpwstr>
      </vt:variant>
      <vt:variant>
        <vt:i4>1245246</vt:i4>
      </vt:variant>
      <vt:variant>
        <vt:i4>206</vt:i4>
      </vt:variant>
      <vt:variant>
        <vt:i4>0</vt:i4>
      </vt:variant>
      <vt:variant>
        <vt:i4>5</vt:i4>
      </vt:variant>
      <vt:variant>
        <vt:lpwstr/>
      </vt:variant>
      <vt:variant>
        <vt:lpwstr>_Toc154095248</vt:lpwstr>
      </vt:variant>
      <vt:variant>
        <vt:i4>1245246</vt:i4>
      </vt:variant>
      <vt:variant>
        <vt:i4>200</vt:i4>
      </vt:variant>
      <vt:variant>
        <vt:i4>0</vt:i4>
      </vt:variant>
      <vt:variant>
        <vt:i4>5</vt:i4>
      </vt:variant>
      <vt:variant>
        <vt:lpwstr/>
      </vt:variant>
      <vt:variant>
        <vt:lpwstr>_Toc154095247</vt:lpwstr>
      </vt:variant>
      <vt:variant>
        <vt:i4>1245246</vt:i4>
      </vt:variant>
      <vt:variant>
        <vt:i4>194</vt:i4>
      </vt:variant>
      <vt:variant>
        <vt:i4>0</vt:i4>
      </vt:variant>
      <vt:variant>
        <vt:i4>5</vt:i4>
      </vt:variant>
      <vt:variant>
        <vt:lpwstr/>
      </vt:variant>
      <vt:variant>
        <vt:lpwstr>_Toc154095246</vt:lpwstr>
      </vt:variant>
      <vt:variant>
        <vt:i4>1245246</vt:i4>
      </vt:variant>
      <vt:variant>
        <vt:i4>188</vt:i4>
      </vt:variant>
      <vt:variant>
        <vt:i4>0</vt:i4>
      </vt:variant>
      <vt:variant>
        <vt:i4>5</vt:i4>
      </vt:variant>
      <vt:variant>
        <vt:lpwstr/>
      </vt:variant>
      <vt:variant>
        <vt:lpwstr>_Toc154095245</vt:lpwstr>
      </vt:variant>
      <vt:variant>
        <vt:i4>1245246</vt:i4>
      </vt:variant>
      <vt:variant>
        <vt:i4>182</vt:i4>
      </vt:variant>
      <vt:variant>
        <vt:i4>0</vt:i4>
      </vt:variant>
      <vt:variant>
        <vt:i4>5</vt:i4>
      </vt:variant>
      <vt:variant>
        <vt:lpwstr/>
      </vt:variant>
      <vt:variant>
        <vt:lpwstr>_Toc154095244</vt:lpwstr>
      </vt:variant>
      <vt:variant>
        <vt:i4>1245246</vt:i4>
      </vt:variant>
      <vt:variant>
        <vt:i4>176</vt:i4>
      </vt:variant>
      <vt:variant>
        <vt:i4>0</vt:i4>
      </vt:variant>
      <vt:variant>
        <vt:i4>5</vt:i4>
      </vt:variant>
      <vt:variant>
        <vt:lpwstr/>
      </vt:variant>
      <vt:variant>
        <vt:lpwstr>_Toc154095243</vt:lpwstr>
      </vt:variant>
      <vt:variant>
        <vt:i4>1245246</vt:i4>
      </vt:variant>
      <vt:variant>
        <vt:i4>170</vt:i4>
      </vt:variant>
      <vt:variant>
        <vt:i4>0</vt:i4>
      </vt:variant>
      <vt:variant>
        <vt:i4>5</vt:i4>
      </vt:variant>
      <vt:variant>
        <vt:lpwstr/>
      </vt:variant>
      <vt:variant>
        <vt:lpwstr>_Toc154095242</vt:lpwstr>
      </vt:variant>
      <vt:variant>
        <vt:i4>1245246</vt:i4>
      </vt:variant>
      <vt:variant>
        <vt:i4>164</vt:i4>
      </vt:variant>
      <vt:variant>
        <vt:i4>0</vt:i4>
      </vt:variant>
      <vt:variant>
        <vt:i4>5</vt:i4>
      </vt:variant>
      <vt:variant>
        <vt:lpwstr/>
      </vt:variant>
      <vt:variant>
        <vt:lpwstr>_Toc154095241</vt:lpwstr>
      </vt:variant>
      <vt:variant>
        <vt:i4>1245246</vt:i4>
      </vt:variant>
      <vt:variant>
        <vt:i4>158</vt:i4>
      </vt:variant>
      <vt:variant>
        <vt:i4>0</vt:i4>
      </vt:variant>
      <vt:variant>
        <vt:i4>5</vt:i4>
      </vt:variant>
      <vt:variant>
        <vt:lpwstr/>
      </vt:variant>
      <vt:variant>
        <vt:lpwstr>_Toc154095240</vt:lpwstr>
      </vt:variant>
      <vt:variant>
        <vt:i4>1310782</vt:i4>
      </vt:variant>
      <vt:variant>
        <vt:i4>152</vt:i4>
      </vt:variant>
      <vt:variant>
        <vt:i4>0</vt:i4>
      </vt:variant>
      <vt:variant>
        <vt:i4>5</vt:i4>
      </vt:variant>
      <vt:variant>
        <vt:lpwstr/>
      </vt:variant>
      <vt:variant>
        <vt:lpwstr>_Toc154095239</vt:lpwstr>
      </vt:variant>
      <vt:variant>
        <vt:i4>1310782</vt:i4>
      </vt:variant>
      <vt:variant>
        <vt:i4>146</vt:i4>
      </vt:variant>
      <vt:variant>
        <vt:i4>0</vt:i4>
      </vt:variant>
      <vt:variant>
        <vt:i4>5</vt:i4>
      </vt:variant>
      <vt:variant>
        <vt:lpwstr/>
      </vt:variant>
      <vt:variant>
        <vt:lpwstr>_Toc154095238</vt:lpwstr>
      </vt:variant>
      <vt:variant>
        <vt:i4>1310782</vt:i4>
      </vt:variant>
      <vt:variant>
        <vt:i4>140</vt:i4>
      </vt:variant>
      <vt:variant>
        <vt:i4>0</vt:i4>
      </vt:variant>
      <vt:variant>
        <vt:i4>5</vt:i4>
      </vt:variant>
      <vt:variant>
        <vt:lpwstr/>
      </vt:variant>
      <vt:variant>
        <vt:lpwstr>_Toc154095237</vt:lpwstr>
      </vt:variant>
      <vt:variant>
        <vt:i4>1310782</vt:i4>
      </vt:variant>
      <vt:variant>
        <vt:i4>134</vt:i4>
      </vt:variant>
      <vt:variant>
        <vt:i4>0</vt:i4>
      </vt:variant>
      <vt:variant>
        <vt:i4>5</vt:i4>
      </vt:variant>
      <vt:variant>
        <vt:lpwstr/>
      </vt:variant>
      <vt:variant>
        <vt:lpwstr>_Toc154095236</vt:lpwstr>
      </vt:variant>
      <vt:variant>
        <vt:i4>1310782</vt:i4>
      </vt:variant>
      <vt:variant>
        <vt:i4>128</vt:i4>
      </vt:variant>
      <vt:variant>
        <vt:i4>0</vt:i4>
      </vt:variant>
      <vt:variant>
        <vt:i4>5</vt:i4>
      </vt:variant>
      <vt:variant>
        <vt:lpwstr/>
      </vt:variant>
      <vt:variant>
        <vt:lpwstr>_Toc154095235</vt:lpwstr>
      </vt:variant>
      <vt:variant>
        <vt:i4>1310782</vt:i4>
      </vt:variant>
      <vt:variant>
        <vt:i4>122</vt:i4>
      </vt:variant>
      <vt:variant>
        <vt:i4>0</vt:i4>
      </vt:variant>
      <vt:variant>
        <vt:i4>5</vt:i4>
      </vt:variant>
      <vt:variant>
        <vt:lpwstr/>
      </vt:variant>
      <vt:variant>
        <vt:lpwstr>_Toc154095234</vt:lpwstr>
      </vt:variant>
      <vt:variant>
        <vt:i4>1310782</vt:i4>
      </vt:variant>
      <vt:variant>
        <vt:i4>116</vt:i4>
      </vt:variant>
      <vt:variant>
        <vt:i4>0</vt:i4>
      </vt:variant>
      <vt:variant>
        <vt:i4>5</vt:i4>
      </vt:variant>
      <vt:variant>
        <vt:lpwstr/>
      </vt:variant>
      <vt:variant>
        <vt:lpwstr>_Toc154095233</vt:lpwstr>
      </vt:variant>
      <vt:variant>
        <vt:i4>1310782</vt:i4>
      </vt:variant>
      <vt:variant>
        <vt:i4>110</vt:i4>
      </vt:variant>
      <vt:variant>
        <vt:i4>0</vt:i4>
      </vt:variant>
      <vt:variant>
        <vt:i4>5</vt:i4>
      </vt:variant>
      <vt:variant>
        <vt:lpwstr/>
      </vt:variant>
      <vt:variant>
        <vt:lpwstr>_Toc154095232</vt:lpwstr>
      </vt:variant>
      <vt:variant>
        <vt:i4>1310782</vt:i4>
      </vt:variant>
      <vt:variant>
        <vt:i4>104</vt:i4>
      </vt:variant>
      <vt:variant>
        <vt:i4>0</vt:i4>
      </vt:variant>
      <vt:variant>
        <vt:i4>5</vt:i4>
      </vt:variant>
      <vt:variant>
        <vt:lpwstr/>
      </vt:variant>
      <vt:variant>
        <vt:lpwstr>_Toc154095231</vt:lpwstr>
      </vt:variant>
      <vt:variant>
        <vt:i4>1310782</vt:i4>
      </vt:variant>
      <vt:variant>
        <vt:i4>98</vt:i4>
      </vt:variant>
      <vt:variant>
        <vt:i4>0</vt:i4>
      </vt:variant>
      <vt:variant>
        <vt:i4>5</vt:i4>
      </vt:variant>
      <vt:variant>
        <vt:lpwstr/>
      </vt:variant>
      <vt:variant>
        <vt:lpwstr>_Toc154095230</vt:lpwstr>
      </vt:variant>
      <vt:variant>
        <vt:i4>1376318</vt:i4>
      </vt:variant>
      <vt:variant>
        <vt:i4>92</vt:i4>
      </vt:variant>
      <vt:variant>
        <vt:i4>0</vt:i4>
      </vt:variant>
      <vt:variant>
        <vt:i4>5</vt:i4>
      </vt:variant>
      <vt:variant>
        <vt:lpwstr/>
      </vt:variant>
      <vt:variant>
        <vt:lpwstr>_Toc154095229</vt:lpwstr>
      </vt:variant>
      <vt:variant>
        <vt:i4>1376318</vt:i4>
      </vt:variant>
      <vt:variant>
        <vt:i4>86</vt:i4>
      </vt:variant>
      <vt:variant>
        <vt:i4>0</vt:i4>
      </vt:variant>
      <vt:variant>
        <vt:i4>5</vt:i4>
      </vt:variant>
      <vt:variant>
        <vt:lpwstr/>
      </vt:variant>
      <vt:variant>
        <vt:lpwstr>_Toc154095228</vt:lpwstr>
      </vt:variant>
      <vt:variant>
        <vt:i4>1376318</vt:i4>
      </vt:variant>
      <vt:variant>
        <vt:i4>80</vt:i4>
      </vt:variant>
      <vt:variant>
        <vt:i4>0</vt:i4>
      </vt:variant>
      <vt:variant>
        <vt:i4>5</vt:i4>
      </vt:variant>
      <vt:variant>
        <vt:lpwstr/>
      </vt:variant>
      <vt:variant>
        <vt:lpwstr>_Toc154095227</vt:lpwstr>
      </vt:variant>
      <vt:variant>
        <vt:i4>1376318</vt:i4>
      </vt:variant>
      <vt:variant>
        <vt:i4>74</vt:i4>
      </vt:variant>
      <vt:variant>
        <vt:i4>0</vt:i4>
      </vt:variant>
      <vt:variant>
        <vt:i4>5</vt:i4>
      </vt:variant>
      <vt:variant>
        <vt:lpwstr/>
      </vt:variant>
      <vt:variant>
        <vt:lpwstr>_Toc154095226</vt:lpwstr>
      </vt:variant>
      <vt:variant>
        <vt:i4>1376318</vt:i4>
      </vt:variant>
      <vt:variant>
        <vt:i4>68</vt:i4>
      </vt:variant>
      <vt:variant>
        <vt:i4>0</vt:i4>
      </vt:variant>
      <vt:variant>
        <vt:i4>5</vt:i4>
      </vt:variant>
      <vt:variant>
        <vt:lpwstr/>
      </vt:variant>
      <vt:variant>
        <vt:lpwstr>_Toc154095225</vt:lpwstr>
      </vt:variant>
      <vt:variant>
        <vt:i4>1376318</vt:i4>
      </vt:variant>
      <vt:variant>
        <vt:i4>62</vt:i4>
      </vt:variant>
      <vt:variant>
        <vt:i4>0</vt:i4>
      </vt:variant>
      <vt:variant>
        <vt:i4>5</vt:i4>
      </vt:variant>
      <vt:variant>
        <vt:lpwstr/>
      </vt:variant>
      <vt:variant>
        <vt:lpwstr>_Toc154095224</vt:lpwstr>
      </vt:variant>
      <vt:variant>
        <vt:i4>1376318</vt:i4>
      </vt:variant>
      <vt:variant>
        <vt:i4>56</vt:i4>
      </vt:variant>
      <vt:variant>
        <vt:i4>0</vt:i4>
      </vt:variant>
      <vt:variant>
        <vt:i4>5</vt:i4>
      </vt:variant>
      <vt:variant>
        <vt:lpwstr/>
      </vt:variant>
      <vt:variant>
        <vt:lpwstr>_Toc154095223</vt:lpwstr>
      </vt:variant>
      <vt:variant>
        <vt:i4>1376318</vt:i4>
      </vt:variant>
      <vt:variant>
        <vt:i4>50</vt:i4>
      </vt:variant>
      <vt:variant>
        <vt:i4>0</vt:i4>
      </vt:variant>
      <vt:variant>
        <vt:i4>5</vt:i4>
      </vt:variant>
      <vt:variant>
        <vt:lpwstr/>
      </vt:variant>
      <vt:variant>
        <vt:lpwstr>_Toc154095222</vt:lpwstr>
      </vt:variant>
      <vt:variant>
        <vt:i4>1376318</vt:i4>
      </vt:variant>
      <vt:variant>
        <vt:i4>44</vt:i4>
      </vt:variant>
      <vt:variant>
        <vt:i4>0</vt:i4>
      </vt:variant>
      <vt:variant>
        <vt:i4>5</vt:i4>
      </vt:variant>
      <vt:variant>
        <vt:lpwstr/>
      </vt:variant>
      <vt:variant>
        <vt:lpwstr>_Toc154095221</vt:lpwstr>
      </vt:variant>
      <vt:variant>
        <vt:i4>1376318</vt:i4>
      </vt:variant>
      <vt:variant>
        <vt:i4>38</vt:i4>
      </vt:variant>
      <vt:variant>
        <vt:i4>0</vt:i4>
      </vt:variant>
      <vt:variant>
        <vt:i4>5</vt:i4>
      </vt:variant>
      <vt:variant>
        <vt:lpwstr/>
      </vt:variant>
      <vt:variant>
        <vt:lpwstr>_Toc154095220</vt:lpwstr>
      </vt:variant>
      <vt:variant>
        <vt:i4>1441854</vt:i4>
      </vt:variant>
      <vt:variant>
        <vt:i4>32</vt:i4>
      </vt:variant>
      <vt:variant>
        <vt:i4>0</vt:i4>
      </vt:variant>
      <vt:variant>
        <vt:i4>5</vt:i4>
      </vt:variant>
      <vt:variant>
        <vt:lpwstr/>
      </vt:variant>
      <vt:variant>
        <vt:lpwstr>_Toc154095219</vt:lpwstr>
      </vt:variant>
      <vt:variant>
        <vt:i4>1441854</vt:i4>
      </vt:variant>
      <vt:variant>
        <vt:i4>26</vt:i4>
      </vt:variant>
      <vt:variant>
        <vt:i4>0</vt:i4>
      </vt:variant>
      <vt:variant>
        <vt:i4>5</vt:i4>
      </vt:variant>
      <vt:variant>
        <vt:lpwstr/>
      </vt:variant>
      <vt:variant>
        <vt:lpwstr>_Toc154095218</vt:lpwstr>
      </vt:variant>
      <vt:variant>
        <vt:i4>1441854</vt:i4>
      </vt:variant>
      <vt:variant>
        <vt:i4>20</vt:i4>
      </vt:variant>
      <vt:variant>
        <vt:i4>0</vt:i4>
      </vt:variant>
      <vt:variant>
        <vt:i4>5</vt:i4>
      </vt:variant>
      <vt:variant>
        <vt:lpwstr/>
      </vt:variant>
      <vt:variant>
        <vt:lpwstr>_Toc154095217</vt:lpwstr>
      </vt:variant>
      <vt:variant>
        <vt:i4>1441854</vt:i4>
      </vt:variant>
      <vt:variant>
        <vt:i4>14</vt:i4>
      </vt:variant>
      <vt:variant>
        <vt:i4>0</vt:i4>
      </vt:variant>
      <vt:variant>
        <vt:i4>5</vt:i4>
      </vt:variant>
      <vt:variant>
        <vt:lpwstr/>
      </vt:variant>
      <vt:variant>
        <vt:lpwstr>_Toc154095216</vt:lpwstr>
      </vt:variant>
      <vt:variant>
        <vt:i4>1441854</vt:i4>
      </vt:variant>
      <vt:variant>
        <vt:i4>8</vt:i4>
      </vt:variant>
      <vt:variant>
        <vt:i4>0</vt:i4>
      </vt:variant>
      <vt:variant>
        <vt:i4>5</vt:i4>
      </vt:variant>
      <vt:variant>
        <vt:lpwstr/>
      </vt:variant>
      <vt:variant>
        <vt:lpwstr>_Toc154095215</vt:lpwstr>
      </vt:variant>
      <vt:variant>
        <vt:i4>1441854</vt:i4>
      </vt:variant>
      <vt:variant>
        <vt:i4>2</vt:i4>
      </vt:variant>
      <vt:variant>
        <vt:i4>0</vt:i4>
      </vt:variant>
      <vt:variant>
        <vt:i4>5</vt:i4>
      </vt:variant>
      <vt:variant>
        <vt:lpwstr/>
      </vt:variant>
      <vt:variant>
        <vt:lpwstr>_Toc154095214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Ilaisaane Falevai</dc:creator>
  <cp:keywords/>
  <dc:description/>
  <cp:lastModifiedBy>Ilaisaane Falevai</cp:lastModifiedBy>
  <cp:revision>16</cp:revision>
  <dcterms:created xsi:type="dcterms:W3CDTF">2024-05-17T01:19:00Z</dcterms:created>
  <dcterms:modified xsi:type="dcterms:W3CDTF">2024-05-17T04:02:00Z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I_WORD_DOCUMENT_FILENAME">
    <vt:lpwstr>Approved Final Dissertation 22.12.docx</vt:lpwstr>
  </property>
  <property fmtid="{D5CDD505-2E9C-101B-9397-08002B2CF9AE}" pid="3" name="TII_WORD_DOCUMENT_ID">
    <vt:lpwstr>ddb3e73a-0d67-42c9-8752-ac21f56113b3</vt:lpwstr>
  </property>
  <property fmtid="{D5CDD505-2E9C-101B-9397-08002B2CF9AE}" pid="4" name="TII_WORD_DOCUMENT_HASH">
    <vt:lpwstr>e48edb49c4fa6df7d7b980e9f16aa5ddb649d9dcdb5b5e43dc78b5110811c697</vt:lpwstr>
  </property>
</Properties>
</file>