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70" w:lineRule="auto" w:before="72"/>
        <w:ind w:left="4307" w:right="0" w:hanging="3995"/>
        <w:jc w:val="left"/>
        <w:rPr>
          <w:b/>
          <w:sz w:val="24"/>
        </w:rPr>
      </w:pPr>
      <w:r>
        <w:rPr>
          <w:b/>
          <w:sz w:val="24"/>
        </w:rPr>
        <w:t>Impact</w:t>
      </w:r>
      <w:r>
        <w:rPr>
          <w:b/>
          <w:spacing w:val="-2"/>
          <w:sz w:val="24"/>
        </w:rPr>
        <w:t> </w:t>
      </w:r>
      <w:r>
        <w:rPr>
          <w:b/>
          <w:sz w:val="24"/>
        </w:rPr>
        <w:t>investment dealflow</w:t>
      </w:r>
      <w:r>
        <w:rPr>
          <w:b/>
          <w:spacing w:val="-3"/>
          <w:sz w:val="24"/>
        </w:rPr>
        <w:t> </w:t>
      </w:r>
      <w:r>
        <w:rPr>
          <w:b/>
          <w:sz w:val="24"/>
        </w:rPr>
        <w:t>and</w:t>
      </w:r>
      <w:r>
        <w:rPr>
          <w:b/>
          <w:spacing w:val="-8"/>
          <w:sz w:val="24"/>
        </w:rPr>
        <w:t> </w:t>
      </w:r>
      <w:r>
        <w:rPr>
          <w:b/>
          <w:sz w:val="24"/>
        </w:rPr>
        <w:t>Sustainable</w:t>
      </w:r>
      <w:r>
        <w:rPr>
          <w:b/>
          <w:spacing w:val="-11"/>
          <w:sz w:val="24"/>
        </w:rPr>
        <w:t> </w:t>
      </w:r>
      <w:r>
        <w:rPr>
          <w:b/>
          <w:sz w:val="24"/>
        </w:rPr>
        <w:t>Development</w:t>
      </w:r>
      <w:r>
        <w:rPr>
          <w:b/>
          <w:spacing w:val="-2"/>
          <w:sz w:val="24"/>
        </w:rPr>
        <w:t> </w:t>
      </w:r>
      <w:r>
        <w:rPr>
          <w:b/>
          <w:sz w:val="24"/>
        </w:rPr>
        <w:t>Goals</w:t>
      </w:r>
      <w:r>
        <w:rPr>
          <w:b/>
          <w:spacing w:val="-13"/>
          <w:sz w:val="24"/>
        </w:rPr>
        <w:t> </w:t>
      </w:r>
      <w:r>
        <w:rPr>
          <w:b/>
          <w:sz w:val="24"/>
        </w:rPr>
        <w:t>(SDGs):</w:t>
      </w:r>
      <w:r>
        <w:rPr>
          <w:b/>
          <w:spacing w:val="-14"/>
          <w:sz w:val="24"/>
        </w:rPr>
        <w:t> </w:t>
      </w:r>
      <w:r>
        <w:rPr>
          <w:b/>
          <w:sz w:val="24"/>
        </w:rPr>
        <w:t>“Mind the </w:t>
      </w:r>
      <w:r>
        <w:rPr>
          <w:b/>
          <w:spacing w:val="-4"/>
          <w:sz w:val="24"/>
        </w:rPr>
        <w:t>gap?”</w:t>
      </w:r>
    </w:p>
    <w:p>
      <w:pPr>
        <w:pStyle w:val="BodyText"/>
        <w:spacing w:before="9"/>
        <w:ind w:left="0"/>
        <w:jc w:val="left"/>
        <w:rPr>
          <w:b/>
          <w:sz w:val="37"/>
        </w:rPr>
      </w:pPr>
    </w:p>
    <w:p>
      <w:pPr>
        <w:spacing w:line="247" w:lineRule="auto" w:before="0"/>
        <w:ind w:left="2790" w:right="2841" w:firstLine="1051"/>
        <w:jc w:val="left"/>
        <w:rPr>
          <w:b/>
          <w:sz w:val="24"/>
        </w:rPr>
      </w:pPr>
      <w:r>
        <w:rPr>
          <w:b/>
          <w:sz w:val="24"/>
        </w:rPr>
        <w:t>Syrus M. Islam</w:t>
      </w:r>
      <w:r>
        <w:rPr>
          <w:b/>
          <w:spacing w:val="40"/>
          <w:sz w:val="24"/>
        </w:rPr>
        <w:t> </w:t>
      </w:r>
      <w:r>
        <w:rPr>
          <w:b/>
          <w:sz w:val="24"/>
        </w:rPr>
        <w:t>Auckland</w:t>
      </w:r>
      <w:r>
        <w:rPr>
          <w:b/>
          <w:spacing w:val="-15"/>
          <w:sz w:val="24"/>
        </w:rPr>
        <w:t> </w:t>
      </w:r>
      <w:r>
        <w:rPr>
          <w:b/>
          <w:sz w:val="24"/>
        </w:rPr>
        <w:t>University</w:t>
      </w:r>
      <w:r>
        <w:rPr>
          <w:b/>
          <w:spacing w:val="-6"/>
          <w:sz w:val="24"/>
        </w:rPr>
        <w:t> </w:t>
      </w:r>
      <w:r>
        <w:rPr>
          <w:b/>
          <w:sz w:val="24"/>
        </w:rPr>
        <w:t>of</w:t>
      </w:r>
      <w:r>
        <w:rPr>
          <w:b/>
          <w:spacing w:val="-9"/>
          <w:sz w:val="24"/>
        </w:rPr>
        <w:t> </w:t>
      </w:r>
      <w:r>
        <w:rPr>
          <w:b/>
          <w:sz w:val="24"/>
        </w:rPr>
        <w:t>Technology</w:t>
      </w:r>
    </w:p>
    <w:p>
      <w:pPr>
        <w:spacing w:line="235" w:lineRule="auto" w:before="0"/>
        <w:ind w:left="3481" w:right="3514" w:firstLine="465"/>
        <w:jc w:val="left"/>
        <w:rPr>
          <w:b/>
          <w:sz w:val="24"/>
        </w:rPr>
      </w:pPr>
      <w:r>
        <w:rPr>
          <w:b/>
          <w:sz w:val="24"/>
        </w:rPr>
        <w:t>New Zealand </w:t>
      </w:r>
      <w:hyperlink r:id="rId6">
        <w:r>
          <w:rPr>
            <w:b/>
            <w:spacing w:val="-2"/>
            <w:sz w:val="24"/>
          </w:rPr>
          <w:t>syrus.islam@aut.ac.nz</w:t>
        </w:r>
      </w:hyperlink>
    </w:p>
    <w:p>
      <w:pPr>
        <w:pStyle w:val="BodyText"/>
        <w:ind w:left="0"/>
        <w:jc w:val="left"/>
        <w:rPr>
          <w:b/>
          <w:sz w:val="26"/>
        </w:rPr>
      </w:pPr>
    </w:p>
    <w:p>
      <w:pPr>
        <w:pStyle w:val="BodyText"/>
        <w:spacing w:before="10"/>
        <w:ind w:left="0"/>
        <w:jc w:val="left"/>
        <w:rPr>
          <w:b/>
          <w:sz w:val="22"/>
        </w:rPr>
      </w:pPr>
    </w:p>
    <w:p>
      <w:pPr>
        <w:spacing w:line="235" w:lineRule="auto" w:before="0"/>
        <w:ind w:left="2790" w:right="2843" w:firstLine="1036"/>
        <w:jc w:val="left"/>
        <w:rPr>
          <w:b/>
          <w:sz w:val="24"/>
        </w:rPr>
      </w:pPr>
      <w:r>
        <w:rPr>
          <w:b/>
          <w:sz w:val="24"/>
        </w:rPr>
        <w:t>Asheq Rahman</w:t>
      </w:r>
      <w:r>
        <w:rPr>
          <w:b/>
          <w:spacing w:val="40"/>
          <w:sz w:val="24"/>
        </w:rPr>
        <w:t> </w:t>
      </w:r>
      <w:r>
        <w:rPr>
          <w:b/>
          <w:sz w:val="24"/>
        </w:rPr>
        <w:t>Auckland</w:t>
      </w:r>
      <w:r>
        <w:rPr>
          <w:b/>
          <w:spacing w:val="-15"/>
          <w:sz w:val="24"/>
        </w:rPr>
        <w:t> </w:t>
      </w:r>
      <w:r>
        <w:rPr>
          <w:b/>
          <w:sz w:val="24"/>
        </w:rPr>
        <w:t>University</w:t>
      </w:r>
      <w:r>
        <w:rPr>
          <w:b/>
          <w:spacing w:val="-6"/>
          <w:sz w:val="24"/>
        </w:rPr>
        <w:t> </w:t>
      </w:r>
      <w:r>
        <w:rPr>
          <w:b/>
          <w:sz w:val="24"/>
        </w:rPr>
        <w:t>of</w:t>
      </w:r>
      <w:r>
        <w:rPr>
          <w:b/>
          <w:spacing w:val="-9"/>
          <w:sz w:val="24"/>
        </w:rPr>
        <w:t> </w:t>
      </w:r>
      <w:r>
        <w:rPr>
          <w:b/>
          <w:sz w:val="24"/>
        </w:rPr>
        <w:t>Technology</w:t>
      </w:r>
    </w:p>
    <w:p>
      <w:pPr>
        <w:pStyle w:val="BodyText"/>
        <w:ind w:left="0"/>
        <w:jc w:val="left"/>
        <w:rPr>
          <w:b/>
          <w:sz w:val="26"/>
        </w:rPr>
      </w:pPr>
    </w:p>
    <w:p>
      <w:pPr>
        <w:pStyle w:val="BodyText"/>
        <w:ind w:left="0"/>
        <w:jc w:val="left"/>
        <w:rPr>
          <w:b/>
          <w:sz w:val="26"/>
        </w:rPr>
      </w:pPr>
    </w:p>
    <w:p>
      <w:pPr>
        <w:pStyle w:val="BodyText"/>
        <w:ind w:left="0"/>
        <w:jc w:val="left"/>
        <w:rPr>
          <w:b/>
          <w:sz w:val="26"/>
        </w:rPr>
      </w:pPr>
    </w:p>
    <w:p>
      <w:pPr>
        <w:pStyle w:val="BodyText"/>
        <w:ind w:left="0"/>
        <w:jc w:val="left"/>
        <w:rPr>
          <w:b/>
          <w:sz w:val="26"/>
        </w:rPr>
      </w:pPr>
    </w:p>
    <w:p>
      <w:pPr>
        <w:spacing w:before="225"/>
        <w:ind w:left="101" w:right="0" w:firstLine="0"/>
        <w:jc w:val="left"/>
        <w:rPr>
          <w:b/>
          <w:sz w:val="24"/>
        </w:rPr>
      </w:pPr>
      <w:r>
        <w:rPr>
          <w:b/>
          <w:spacing w:val="-2"/>
          <w:sz w:val="24"/>
        </w:rPr>
        <w:t>Suggested</w:t>
      </w:r>
      <w:r>
        <w:rPr>
          <w:b/>
          <w:spacing w:val="2"/>
          <w:sz w:val="24"/>
        </w:rPr>
        <w:t> </w:t>
      </w:r>
      <w:r>
        <w:rPr>
          <w:b/>
          <w:spacing w:val="-2"/>
          <w:sz w:val="24"/>
        </w:rPr>
        <w:t>citation:</w:t>
      </w:r>
    </w:p>
    <w:p>
      <w:pPr>
        <w:pStyle w:val="BodyText"/>
        <w:spacing w:before="8"/>
        <w:ind w:left="0"/>
        <w:jc w:val="left"/>
        <w:rPr>
          <w:b/>
          <w:sz w:val="38"/>
        </w:rPr>
      </w:pPr>
    </w:p>
    <w:p>
      <w:pPr>
        <w:pStyle w:val="BodyText"/>
        <w:spacing w:line="242" w:lineRule="auto"/>
        <w:ind w:left="822" w:right="119" w:hanging="721"/>
      </w:pPr>
      <w:r>
        <w:rPr/>
        <w:t>Islam, S.M.</w:t>
      </w:r>
      <w:r>
        <w:rPr>
          <w:spacing w:val="-5"/>
        </w:rPr>
        <w:t> </w:t>
      </w:r>
      <w:r>
        <w:rPr/>
        <w:t>&amp; Rahman,</w:t>
      </w:r>
      <w:r>
        <w:rPr>
          <w:spacing w:val="-5"/>
        </w:rPr>
        <w:t> </w:t>
      </w:r>
      <w:r>
        <w:rPr/>
        <w:t>A.</w:t>
      </w:r>
      <w:r>
        <w:rPr>
          <w:spacing w:val="-5"/>
        </w:rPr>
        <w:t> </w:t>
      </w:r>
      <w:r>
        <w:rPr/>
        <w:t>(2023). Impact</w:t>
      </w:r>
      <w:r>
        <w:rPr>
          <w:spacing w:val="-12"/>
        </w:rPr>
        <w:t> </w:t>
      </w:r>
      <w:r>
        <w:rPr/>
        <w:t>investment dealflow and</w:t>
      </w:r>
      <w:r>
        <w:rPr>
          <w:spacing w:val="-6"/>
        </w:rPr>
        <w:t> </w:t>
      </w:r>
      <w:r>
        <w:rPr/>
        <w:t>Sustainable Development Goals (SDGs): “Mind the gap?” </w:t>
      </w:r>
      <w:r>
        <w:rPr>
          <w:b/>
          <w:i/>
        </w:rPr>
        <w:t>Accounting &amp; Finance</w:t>
      </w:r>
      <w:r>
        <w:rPr>
          <w:b/>
        </w:rPr>
        <w:t>. </w:t>
      </w:r>
      <w:r>
        <w:rPr/>
        <w:t>DOI: </w:t>
      </w:r>
      <w:hyperlink r:id="rId7">
        <w:r>
          <w:rPr>
            <w:color w:val="0562C1"/>
            <w:spacing w:val="-2"/>
            <w:u w:val="single" w:color="0562C1"/>
          </w:rPr>
          <w:t>https://doi.org/10.1111/acfi.13068</w:t>
        </w:r>
      </w:hyperlink>
    </w:p>
    <w:p>
      <w:pPr>
        <w:spacing w:after="0" w:line="242" w:lineRule="auto"/>
        <w:sectPr>
          <w:footerReference w:type="default" r:id="rId5"/>
          <w:type w:val="continuous"/>
          <w:pgSz w:w="11910" w:h="16850"/>
          <w:pgMar w:footer="1005" w:header="0" w:top="1380" w:bottom="1200" w:left="1340" w:right="1300"/>
          <w:pgNumType w:start="1"/>
        </w:sectPr>
      </w:pPr>
    </w:p>
    <w:p>
      <w:pPr>
        <w:pStyle w:val="Heading1"/>
        <w:spacing w:line="470" w:lineRule="auto" w:before="72"/>
        <w:ind w:left="4307" w:hanging="3995"/>
      </w:pPr>
      <w:r>
        <w:rPr/>
        <w:t>Impact</w:t>
      </w:r>
      <w:r>
        <w:rPr>
          <w:spacing w:val="-2"/>
        </w:rPr>
        <w:t> </w:t>
      </w:r>
      <w:r>
        <w:rPr/>
        <w:t>investment dealflow</w:t>
      </w:r>
      <w:r>
        <w:rPr>
          <w:spacing w:val="-5"/>
        </w:rPr>
        <w:t> </w:t>
      </w:r>
      <w:r>
        <w:rPr/>
        <w:t>and</w:t>
      </w:r>
      <w:r>
        <w:rPr>
          <w:spacing w:val="-9"/>
        </w:rPr>
        <w:t> </w:t>
      </w:r>
      <w:r>
        <w:rPr/>
        <w:t>Sustainable</w:t>
      </w:r>
      <w:r>
        <w:rPr>
          <w:spacing w:val="-11"/>
        </w:rPr>
        <w:t> </w:t>
      </w:r>
      <w:r>
        <w:rPr/>
        <w:t>Development</w:t>
      </w:r>
      <w:r>
        <w:rPr>
          <w:spacing w:val="-2"/>
        </w:rPr>
        <w:t> </w:t>
      </w:r>
      <w:r>
        <w:rPr/>
        <w:t>Goals</w:t>
      </w:r>
      <w:r>
        <w:rPr>
          <w:spacing w:val="-13"/>
        </w:rPr>
        <w:t> </w:t>
      </w:r>
      <w:r>
        <w:rPr/>
        <w:t>(SDGs):</w:t>
      </w:r>
      <w:r>
        <w:rPr>
          <w:spacing w:val="-15"/>
        </w:rPr>
        <w:t> </w:t>
      </w:r>
      <w:r>
        <w:rPr/>
        <w:t>“Mind the </w:t>
      </w:r>
      <w:r>
        <w:rPr>
          <w:spacing w:val="-4"/>
        </w:rPr>
        <w:t>gap?”</w:t>
      </w:r>
    </w:p>
    <w:p>
      <w:pPr>
        <w:pStyle w:val="BodyText"/>
        <w:ind w:left="0"/>
        <w:jc w:val="left"/>
        <w:rPr>
          <w:b/>
          <w:sz w:val="26"/>
        </w:rPr>
      </w:pPr>
    </w:p>
    <w:p>
      <w:pPr>
        <w:pStyle w:val="BodyText"/>
        <w:ind w:left="0"/>
        <w:jc w:val="left"/>
        <w:rPr>
          <w:b/>
          <w:sz w:val="26"/>
        </w:rPr>
      </w:pPr>
    </w:p>
    <w:p>
      <w:pPr>
        <w:pStyle w:val="BodyText"/>
        <w:spacing w:before="9"/>
        <w:ind w:left="0"/>
        <w:jc w:val="left"/>
        <w:rPr>
          <w:b/>
          <w:sz w:val="32"/>
        </w:rPr>
      </w:pPr>
    </w:p>
    <w:p>
      <w:pPr>
        <w:spacing w:before="0"/>
        <w:ind w:left="101" w:right="0" w:firstLine="0"/>
        <w:jc w:val="left"/>
        <w:rPr>
          <w:b/>
          <w:sz w:val="24"/>
        </w:rPr>
      </w:pPr>
      <w:r>
        <w:rPr>
          <w:b/>
          <w:spacing w:val="-2"/>
          <w:sz w:val="24"/>
        </w:rPr>
        <w:t>Abstract</w:t>
      </w:r>
    </w:p>
    <w:p>
      <w:pPr>
        <w:pStyle w:val="BodyText"/>
        <w:spacing w:before="4"/>
        <w:ind w:left="0"/>
        <w:jc w:val="left"/>
        <w:rPr>
          <w:b/>
        </w:rPr>
      </w:pPr>
    </w:p>
    <w:p>
      <w:pPr>
        <w:pStyle w:val="BodyText"/>
        <w:spacing w:line="477" w:lineRule="auto"/>
        <w:ind w:right="121"/>
      </w:pPr>
      <w:r>
        <w:rPr/>
        <w:t>We examine the linkage between the available impact investment deals and Sustainable Development Goals (SDGs) to ascertain to what extent those deals are likely to</w:t>
      </w:r>
      <w:r>
        <w:rPr>
          <w:spacing w:val="-2"/>
        </w:rPr>
        <w:t> </w:t>
      </w:r>
      <w:r>
        <w:rPr/>
        <w:t>achieve the aims</w:t>
      </w:r>
      <w:r>
        <w:rPr>
          <w:spacing w:val="-3"/>
        </w:rPr>
        <w:t> </w:t>
      </w:r>
      <w:r>
        <w:rPr/>
        <w:t>of</w:t>
      </w:r>
      <w:r>
        <w:rPr>
          <w:spacing w:val="-10"/>
        </w:rPr>
        <w:t> </w:t>
      </w:r>
      <w:r>
        <w:rPr/>
        <w:t>the</w:t>
      </w:r>
      <w:r>
        <w:rPr>
          <w:spacing w:val="-15"/>
        </w:rPr>
        <w:t> </w:t>
      </w:r>
      <w:r>
        <w:rPr/>
        <w:t>SDGs,</w:t>
      </w:r>
      <w:r>
        <w:rPr>
          <w:spacing w:val="-15"/>
        </w:rPr>
        <w:t> </w:t>
      </w:r>
      <w:r>
        <w:rPr/>
        <w:t>that</w:t>
      </w:r>
      <w:r>
        <w:rPr>
          <w:spacing w:val="-11"/>
        </w:rPr>
        <w:t> </w:t>
      </w:r>
      <w:r>
        <w:rPr/>
        <w:t>of</w:t>
      </w:r>
      <w:r>
        <w:rPr>
          <w:spacing w:val="-10"/>
        </w:rPr>
        <w:t> </w:t>
      </w:r>
      <w:r>
        <w:rPr/>
        <w:t>a</w:t>
      </w:r>
      <w:r>
        <w:rPr>
          <w:spacing w:val="-6"/>
        </w:rPr>
        <w:t> </w:t>
      </w:r>
      <w:r>
        <w:rPr/>
        <w:t>sustainable</w:t>
      </w:r>
      <w:r>
        <w:rPr>
          <w:spacing w:val="15"/>
        </w:rPr>
        <w:t> </w:t>
      </w:r>
      <w:r>
        <w:rPr/>
        <w:t>and</w:t>
      </w:r>
      <w:r>
        <w:rPr>
          <w:spacing w:val="-5"/>
        </w:rPr>
        <w:t> </w:t>
      </w:r>
      <w:r>
        <w:rPr/>
        <w:t>prosperous</w:t>
      </w:r>
      <w:r>
        <w:rPr>
          <w:spacing w:val="-8"/>
        </w:rPr>
        <w:t> </w:t>
      </w:r>
      <w:r>
        <w:rPr/>
        <w:t>world.</w:t>
      </w:r>
      <w:r>
        <w:rPr>
          <w:spacing w:val="-5"/>
        </w:rPr>
        <w:t> </w:t>
      </w:r>
      <w:r>
        <w:rPr/>
        <w:t>Drawing</w:t>
      </w:r>
      <w:r>
        <w:rPr>
          <w:spacing w:val="-5"/>
        </w:rPr>
        <w:t> </w:t>
      </w:r>
      <w:r>
        <w:rPr/>
        <w:t>on</w:t>
      </w:r>
      <w:r>
        <w:rPr>
          <w:spacing w:val="-5"/>
        </w:rPr>
        <w:t> </w:t>
      </w:r>
      <w:r>
        <w:rPr/>
        <w:t>292</w:t>
      </w:r>
      <w:r>
        <w:rPr>
          <w:spacing w:val="-3"/>
        </w:rPr>
        <w:t> </w:t>
      </w:r>
      <w:r>
        <w:rPr/>
        <w:t>available</w:t>
      </w:r>
      <w:r>
        <w:rPr>
          <w:spacing w:val="-5"/>
        </w:rPr>
        <w:t> </w:t>
      </w:r>
      <w:r>
        <w:rPr/>
        <w:t>deals, we find</w:t>
      </w:r>
      <w:r>
        <w:rPr>
          <w:spacing w:val="-1"/>
        </w:rPr>
        <w:t> </w:t>
      </w:r>
      <w:r>
        <w:rPr/>
        <w:t>that most deals are directly or indirectly linked to</w:t>
      </w:r>
      <w:r>
        <w:rPr>
          <w:spacing w:val="-1"/>
        </w:rPr>
        <w:t> </w:t>
      </w:r>
      <w:r>
        <w:rPr/>
        <w:t>only four</w:t>
      </w:r>
      <w:r>
        <w:rPr>
          <w:spacing w:val="-6"/>
        </w:rPr>
        <w:t> </w:t>
      </w:r>
      <w:r>
        <w:rPr/>
        <w:t>of the</w:t>
      </w:r>
      <w:r>
        <w:rPr>
          <w:spacing w:val="-3"/>
        </w:rPr>
        <w:t> </w:t>
      </w:r>
      <w:r>
        <w:rPr/>
        <w:t>17 SDGs</w:t>
      </w:r>
      <w:r>
        <w:rPr>
          <w:spacing w:val="-4"/>
        </w:rPr>
        <w:t> </w:t>
      </w:r>
      <w:r>
        <w:rPr/>
        <w:t>and are concentrated</w:t>
      </w:r>
      <w:r>
        <w:rPr>
          <w:spacing w:val="-5"/>
        </w:rPr>
        <w:t> </w:t>
      </w:r>
      <w:r>
        <w:rPr/>
        <w:t>in two</w:t>
      </w:r>
      <w:r>
        <w:rPr>
          <w:spacing w:val="-15"/>
        </w:rPr>
        <w:t> </w:t>
      </w:r>
      <w:r>
        <w:rPr/>
        <w:t>regions of the</w:t>
      </w:r>
      <w:r>
        <w:rPr>
          <w:spacing w:val="-15"/>
        </w:rPr>
        <w:t> </w:t>
      </w:r>
      <w:r>
        <w:rPr/>
        <w:t>world. Accordingly,</w:t>
      </w:r>
      <w:r>
        <w:rPr>
          <w:spacing w:val="-2"/>
        </w:rPr>
        <w:t> </w:t>
      </w:r>
      <w:r>
        <w:rPr/>
        <w:t>we</w:t>
      </w:r>
      <w:r>
        <w:rPr>
          <w:spacing w:val="-4"/>
        </w:rPr>
        <w:t> </w:t>
      </w:r>
      <w:r>
        <w:rPr/>
        <w:t>conclude</w:t>
      </w:r>
      <w:r>
        <w:rPr>
          <w:spacing w:val="-4"/>
        </w:rPr>
        <w:t> </w:t>
      </w:r>
      <w:r>
        <w:rPr/>
        <w:t>that</w:t>
      </w:r>
      <w:r>
        <w:rPr>
          <w:spacing w:val="-4"/>
        </w:rPr>
        <w:t> </w:t>
      </w:r>
      <w:r>
        <w:rPr/>
        <w:t>impact</w:t>
      </w:r>
      <w:r>
        <w:rPr>
          <w:spacing w:val="20"/>
        </w:rPr>
        <w:t> </w:t>
      </w:r>
      <w:r>
        <w:rPr/>
        <w:t>investing has a significant imbalance in the SDG-dealflow-region</w:t>
      </w:r>
      <w:r>
        <w:rPr/>
        <w:t> nexus.</w:t>
      </w:r>
      <w:r>
        <w:rPr/>
        <w:t> Without</w:t>
      </w:r>
      <w:r>
        <w:rPr/>
        <w:t> addressing such an imbalance, impact investing will only have a limited impact on overall SDG attainment. Therefore, we also share some thoughts on addressing the imbalance.</w:t>
      </w:r>
    </w:p>
    <w:p>
      <w:pPr>
        <w:pStyle w:val="BodyText"/>
        <w:spacing w:line="470" w:lineRule="auto" w:before="185"/>
        <w:ind w:right="105"/>
      </w:pPr>
      <w:r>
        <w:rPr>
          <w:b/>
        </w:rPr>
        <w:t>Keywords:</w:t>
      </w:r>
      <w:r>
        <w:rPr>
          <w:b/>
          <w:spacing w:val="-8"/>
        </w:rPr>
        <w:t> </w:t>
      </w:r>
      <w:r>
        <w:rPr/>
        <w:t>Impact</w:t>
      </w:r>
      <w:r>
        <w:rPr>
          <w:spacing w:val="-12"/>
        </w:rPr>
        <w:t> </w:t>
      </w:r>
      <w:r>
        <w:rPr/>
        <w:t>investing; Impact</w:t>
      </w:r>
      <w:r>
        <w:rPr>
          <w:spacing w:val="-11"/>
        </w:rPr>
        <w:t> </w:t>
      </w:r>
      <w:r>
        <w:rPr/>
        <w:t>investment deal;</w:t>
      </w:r>
      <w:r>
        <w:rPr>
          <w:spacing w:val="-11"/>
        </w:rPr>
        <w:t> </w:t>
      </w:r>
      <w:r>
        <w:rPr/>
        <w:t>Sustainable Development Goals; SDG- dealflow gap; Geographic region.</w:t>
      </w:r>
    </w:p>
    <w:p>
      <w:pPr>
        <w:spacing w:after="0" w:line="470" w:lineRule="auto"/>
        <w:sectPr>
          <w:pgSz w:w="11910" w:h="16850"/>
          <w:pgMar w:header="0" w:footer="1005" w:top="1380" w:bottom="1200" w:left="1340" w:right="1300"/>
        </w:sectPr>
      </w:pPr>
    </w:p>
    <w:p>
      <w:pPr>
        <w:pStyle w:val="Heading1"/>
        <w:numPr>
          <w:ilvl w:val="0"/>
          <w:numId w:val="1"/>
        </w:numPr>
        <w:tabs>
          <w:tab w:pos="342" w:val="left" w:leader="none"/>
        </w:tabs>
        <w:spacing w:line="240" w:lineRule="auto" w:before="72" w:after="0"/>
        <w:ind w:left="342" w:right="0" w:hanging="241"/>
        <w:jc w:val="left"/>
      </w:pPr>
      <w:r>
        <w:rPr>
          <w:spacing w:val="-2"/>
        </w:rPr>
        <w:t>Introduction</w:t>
      </w:r>
    </w:p>
    <w:p>
      <w:pPr>
        <w:pStyle w:val="BodyText"/>
        <w:spacing w:before="3"/>
        <w:ind w:left="0"/>
        <w:jc w:val="left"/>
        <w:rPr>
          <w:b/>
        </w:rPr>
      </w:pPr>
    </w:p>
    <w:p>
      <w:pPr>
        <w:pStyle w:val="BodyText"/>
        <w:spacing w:line="477" w:lineRule="auto" w:before="1"/>
        <w:ind w:right="121"/>
      </w:pPr>
      <w:r>
        <w:rPr/>
        <w:t>In</w:t>
      </w:r>
      <w:r>
        <w:rPr>
          <w:spacing w:val="-1"/>
        </w:rPr>
        <w:t> </w:t>
      </w:r>
      <w:r>
        <w:rPr/>
        <w:t>2015, as part of the 2030 Agenda</w:t>
      </w:r>
      <w:r>
        <w:rPr>
          <w:spacing w:val="-15"/>
        </w:rPr>
        <w:t> </w:t>
      </w:r>
      <w:r>
        <w:rPr/>
        <w:t>for Sustainable Development, the United Nations (UN) adopted 17 Sustainable Development Goals (SDGs) to ensure a more sustainable, peaceful, and prosperous world (United Nations, 2015). Indeed,</w:t>
      </w:r>
      <w:r>
        <w:rPr>
          <w:spacing w:val="-15"/>
        </w:rPr>
        <w:t> </w:t>
      </w:r>
      <w:r>
        <w:rPr/>
        <w:t>SDGs are an urgent call for action to address</w:t>
      </w:r>
      <w:r>
        <w:rPr>
          <w:spacing w:val="-15"/>
        </w:rPr>
        <w:t> </w:t>
      </w:r>
      <w:r>
        <w:rPr/>
        <w:t>pressing</w:t>
      </w:r>
      <w:r>
        <w:rPr>
          <w:spacing w:val="-10"/>
        </w:rPr>
        <w:t> </w:t>
      </w:r>
      <w:r>
        <w:rPr/>
        <w:t>global problems, including</w:t>
      </w:r>
      <w:r>
        <w:rPr>
          <w:spacing w:val="-7"/>
        </w:rPr>
        <w:t> </w:t>
      </w:r>
      <w:r>
        <w:rPr/>
        <w:t>poverty,</w:t>
      </w:r>
      <w:r>
        <w:rPr>
          <w:spacing w:val="-7"/>
        </w:rPr>
        <w:t> </w:t>
      </w:r>
      <w:r>
        <w:rPr/>
        <w:t>inequality, health</w:t>
      </w:r>
      <w:r>
        <w:rPr>
          <w:spacing w:val="-15"/>
        </w:rPr>
        <w:t> </w:t>
      </w:r>
      <w:r>
        <w:rPr/>
        <w:t>and</w:t>
      </w:r>
      <w:r>
        <w:rPr>
          <w:spacing w:val="-3"/>
        </w:rPr>
        <w:t> </w:t>
      </w:r>
      <w:r>
        <w:rPr/>
        <w:t>educational</w:t>
      </w:r>
      <w:r>
        <w:rPr>
          <w:spacing w:val="-14"/>
        </w:rPr>
        <w:t> </w:t>
      </w:r>
      <w:r>
        <w:rPr/>
        <w:t>issues, and climate change. However,</w:t>
      </w:r>
      <w:r>
        <w:rPr>
          <w:spacing w:val="-3"/>
        </w:rPr>
        <w:t> </w:t>
      </w:r>
      <w:r>
        <w:rPr/>
        <w:t>a recent UN report shows</w:t>
      </w:r>
      <w:r>
        <w:rPr>
          <w:spacing w:val="-7"/>
        </w:rPr>
        <w:t> </w:t>
      </w:r>
      <w:r>
        <w:rPr/>
        <w:t>that the progress towards achieving SDGs is well below expectations, and, in some cases, including global hunger (SDG 2), biodiversity preservation (SDG</w:t>
      </w:r>
      <w:r>
        <w:rPr>
          <w:spacing w:val="-14"/>
        </w:rPr>
        <w:t> </w:t>
      </w:r>
      <w:r>
        <w:rPr/>
        <w:t>15), and climate change (SDG</w:t>
      </w:r>
      <w:r>
        <w:rPr>
          <w:spacing w:val="-1"/>
        </w:rPr>
        <w:t> </w:t>
      </w:r>
      <w:r>
        <w:rPr/>
        <w:t>13), there</w:t>
      </w:r>
      <w:r>
        <w:rPr>
          <w:spacing w:val="-8"/>
        </w:rPr>
        <w:t> </w:t>
      </w:r>
      <w:r>
        <w:rPr/>
        <w:t>has been substantial reversals (United Nations, 2020b).</w:t>
      </w:r>
    </w:p>
    <w:p>
      <w:pPr>
        <w:pStyle w:val="BodyText"/>
        <w:spacing w:line="477" w:lineRule="auto" w:before="185"/>
        <w:ind w:right="126"/>
      </w:pPr>
      <w:r>
        <w:rPr/>
        <w:t>The COVID-19</w:t>
      </w:r>
      <w:r>
        <w:rPr>
          <w:spacing w:val="-2"/>
        </w:rPr>
        <w:t> </w:t>
      </w:r>
      <w:r>
        <w:rPr/>
        <w:t>pandemic</w:t>
      </w:r>
      <w:r>
        <w:rPr/>
        <w:t> has made the achievement of SDGs more urgent and far more challenging due to unprecedented social and economic upheavals caused by the pandemic (United Nations, 2020a; Brammer </w:t>
      </w:r>
      <w:r>
        <w:rPr>
          <w:i/>
        </w:rPr>
        <w:t>et al.</w:t>
      </w:r>
      <w:r>
        <w:rPr/>
        <w:t>, 2020). There was a $2.5 trillion annual SDG investment gap before</w:t>
      </w:r>
      <w:r>
        <w:rPr>
          <w:spacing w:val="-3"/>
        </w:rPr>
        <w:t> </w:t>
      </w:r>
      <w:r>
        <w:rPr/>
        <w:t>the start of the</w:t>
      </w:r>
      <w:r>
        <w:rPr>
          <w:spacing w:val="-3"/>
        </w:rPr>
        <w:t> </w:t>
      </w:r>
      <w:r>
        <w:rPr/>
        <w:t>COVID-19</w:t>
      </w:r>
      <w:r>
        <w:rPr>
          <w:spacing w:val="-15"/>
        </w:rPr>
        <w:t> </w:t>
      </w:r>
      <w:r>
        <w:rPr/>
        <w:t>pandemic (Doumbia and Lauridsen, 2019), and</w:t>
      </w:r>
      <w:r>
        <w:rPr>
          <w:spacing w:val="-14"/>
        </w:rPr>
        <w:t> </w:t>
      </w:r>
      <w:r>
        <w:rPr/>
        <w:t>this</w:t>
      </w:r>
      <w:r>
        <w:rPr>
          <w:spacing w:val="-7"/>
        </w:rPr>
        <w:t> </w:t>
      </w:r>
      <w:r>
        <w:rPr/>
        <w:t>gap is</w:t>
      </w:r>
      <w:r>
        <w:rPr>
          <w:spacing w:val="-7"/>
        </w:rPr>
        <w:t> </w:t>
      </w:r>
      <w:r>
        <w:rPr/>
        <w:t>widening</w:t>
      </w:r>
      <w:r>
        <w:rPr>
          <w:spacing w:val="-3"/>
        </w:rPr>
        <w:t> </w:t>
      </w:r>
      <w:r>
        <w:rPr/>
        <w:t>due</w:t>
      </w:r>
      <w:r>
        <w:rPr>
          <w:spacing w:val="-15"/>
        </w:rPr>
        <w:t> </w:t>
      </w:r>
      <w:r>
        <w:rPr/>
        <w:t>to</w:t>
      </w:r>
      <w:r>
        <w:rPr>
          <w:spacing w:val="-3"/>
        </w:rPr>
        <w:t> </w:t>
      </w:r>
      <w:r>
        <w:rPr/>
        <w:t>the</w:t>
      </w:r>
      <w:r>
        <w:rPr>
          <w:spacing w:val="-15"/>
        </w:rPr>
        <w:t> </w:t>
      </w:r>
      <w:r>
        <w:rPr/>
        <w:t>pandemic (Sachs </w:t>
      </w:r>
      <w:r>
        <w:rPr>
          <w:i/>
        </w:rPr>
        <w:t>et al.</w:t>
      </w:r>
      <w:r>
        <w:rPr/>
        <w:t>,</w:t>
      </w:r>
      <w:r>
        <w:rPr>
          <w:spacing w:val="-3"/>
        </w:rPr>
        <w:t> </w:t>
      </w:r>
      <w:r>
        <w:rPr/>
        <w:t>2021). A</w:t>
      </w:r>
      <w:r>
        <w:rPr>
          <w:spacing w:val="-12"/>
        </w:rPr>
        <w:t> </w:t>
      </w:r>
      <w:r>
        <w:rPr/>
        <w:t>major</w:t>
      </w:r>
      <w:r>
        <w:rPr>
          <w:spacing w:val="20"/>
        </w:rPr>
        <w:t> </w:t>
      </w:r>
      <w:r>
        <w:rPr/>
        <w:t>barrier</w:t>
      </w:r>
      <w:r>
        <w:rPr>
          <w:spacing w:val="20"/>
        </w:rPr>
        <w:t> </w:t>
      </w:r>
      <w:r>
        <w:rPr/>
        <w:t>to</w:t>
      </w:r>
      <w:r>
        <w:rPr>
          <w:spacing w:val="-15"/>
        </w:rPr>
        <w:t> </w:t>
      </w:r>
      <w:r>
        <w:rPr/>
        <w:t>attaining SDGs is the lack of adequate investments therein (United Nations, 2020a). Considering the immense importance of addressing the increasing SDG investment gap, the UN has made several calls for greater mobilization of private financing toward SDG</w:t>
      </w:r>
      <w:r>
        <w:rPr>
          <w:spacing w:val="-1"/>
        </w:rPr>
        <w:t> </w:t>
      </w:r>
      <w:r>
        <w:rPr/>
        <w:t>achievement (United Nations, 2019b, 2020a).</w:t>
      </w:r>
    </w:p>
    <w:p>
      <w:pPr>
        <w:pStyle w:val="BodyText"/>
        <w:spacing w:line="480" w:lineRule="auto" w:before="192"/>
        <w:ind w:right="119"/>
      </w:pPr>
      <w:r>
        <w:rPr/>
        <w:t>To address</w:t>
      </w:r>
      <w:r>
        <w:rPr>
          <w:spacing w:val="-15"/>
        </w:rPr>
        <w:t> </w:t>
      </w:r>
      <w:r>
        <w:rPr/>
        <w:t>the</w:t>
      </w:r>
      <w:r>
        <w:rPr>
          <w:spacing w:val="-15"/>
        </w:rPr>
        <w:t> </w:t>
      </w:r>
      <w:r>
        <w:rPr/>
        <w:t>SDG investment gap and thereby</w:t>
      </w:r>
      <w:r>
        <w:rPr>
          <w:spacing w:val="-3"/>
        </w:rPr>
        <w:t> </w:t>
      </w:r>
      <w:r>
        <w:rPr/>
        <w:t>achieve</w:t>
      </w:r>
      <w:r>
        <w:rPr>
          <w:spacing w:val="-5"/>
        </w:rPr>
        <w:t> </w:t>
      </w:r>
      <w:r>
        <w:rPr/>
        <w:t>the</w:t>
      </w:r>
      <w:r>
        <w:rPr>
          <w:spacing w:val="-4"/>
        </w:rPr>
        <w:t> </w:t>
      </w:r>
      <w:r>
        <w:rPr/>
        <w:t>SDGs,</w:t>
      </w:r>
      <w:r>
        <w:rPr>
          <w:spacing w:val="-3"/>
        </w:rPr>
        <w:t> </w:t>
      </w:r>
      <w:r>
        <w:rPr/>
        <w:t>one</w:t>
      </w:r>
      <w:r>
        <w:rPr>
          <w:spacing w:val="-5"/>
        </w:rPr>
        <w:t> </w:t>
      </w:r>
      <w:r>
        <w:rPr/>
        <w:t>promising</w:t>
      </w:r>
      <w:r>
        <w:rPr>
          <w:spacing w:val="-3"/>
        </w:rPr>
        <w:t> </w:t>
      </w:r>
      <w:r>
        <w:rPr/>
        <w:t>investment vehicle is impact investing (Islam, 2022a; International Finance Corporation, 2019).</w:t>
      </w:r>
      <w:r>
        <w:rPr>
          <w:position w:val="7"/>
          <w:sz w:val="16"/>
        </w:rPr>
        <w:t>1</w:t>
      </w:r>
      <w:r>
        <w:rPr>
          <w:spacing w:val="32"/>
          <w:position w:val="7"/>
          <w:sz w:val="16"/>
        </w:rPr>
        <w:t> </w:t>
      </w:r>
      <w:r>
        <w:rPr/>
        <w:t>Impact investing refers</w:t>
      </w:r>
      <w:r>
        <w:rPr>
          <w:spacing w:val="-4"/>
        </w:rPr>
        <w:t> </w:t>
      </w:r>
      <w:r>
        <w:rPr/>
        <w:t>to investments made</w:t>
      </w:r>
      <w:r>
        <w:rPr>
          <w:spacing w:val="-2"/>
        </w:rPr>
        <w:t> </w:t>
      </w:r>
      <w:r>
        <w:rPr/>
        <w:t>into companies, projects, and/or</w:t>
      </w:r>
      <w:r>
        <w:rPr>
          <w:spacing w:val="-6"/>
        </w:rPr>
        <w:t> </w:t>
      </w:r>
      <w:r>
        <w:rPr/>
        <w:t>funds</w:t>
      </w:r>
      <w:r>
        <w:rPr>
          <w:spacing w:val="-15"/>
        </w:rPr>
        <w:t> </w:t>
      </w:r>
      <w:r>
        <w:rPr/>
        <w:t>with</w:t>
      </w:r>
      <w:r>
        <w:rPr>
          <w:spacing w:val="-15"/>
        </w:rPr>
        <w:t> </w:t>
      </w:r>
      <w:r>
        <w:rPr/>
        <w:t>the</w:t>
      </w:r>
      <w:r>
        <w:rPr>
          <w:spacing w:val="-2"/>
        </w:rPr>
        <w:t> </w:t>
      </w:r>
      <w:r>
        <w:rPr/>
        <w:t>intention to</w:t>
      </w:r>
      <w:r>
        <w:rPr>
          <w:spacing w:val="-7"/>
        </w:rPr>
        <w:t> </w:t>
      </w:r>
      <w:r>
        <w:rPr/>
        <w:t>generate positive social and/or</w:t>
      </w:r>
      <w:r>
        <w:rPr>
          <w:spacing w:val="-6"/>
        </w:rPr>
        <w:t> </w:t>
      </w:r>
      <w:r>
        <w:rPr/>
        <w:t>environmental impact alongside generating financial return (Höchstädter</w:t>
      </w:r>
      <w:r>
        <w:rPr>
          <w:spacing w:val="-21"/>
        </w:rPr>
        <w:t> </w:t>
      </w:r>
      <w:r>
        <w:rPr/>
        <w:t>and</w:t>
      </w:r>
      <w:r>
        <w:rPr>
          <w:spacing w:val="-5"/>
        </w:rPr>
        <w:t> </w:t>
      </w:r>
      <w:r>
        <w:rPr/>
        <w:t>Scheck,</w:t>
      </w:r>
      <w:r>
        <w:rPr>
          <w:spacing w:val="-16"/>
        </w:rPr>
        <w:t> </w:t>
      </w:r>
      <w:r>
        <w:rPr/>
        <w:t>2015;</w:t>
      </w:r>
      <w:r>
        <w:rPr>
          <w:spacing w:val="-7"/>
        </w:rPr>
        <w:t> </w:t>
      </w:r>
      <w:r>
        <w:rPr/>
        <w:t>Islam</w:t>
      </w:r>
      <w:r>
        <w:rPr>
          <w:spacing w:val="-8"/>
        </w:rPr>
        <w:t> </w:t>
      </w:r>
      <w:r>
        <w:rPr/>
        <w:t>and</w:t>
      </w:r>
      <w:r>
        <w:rPr>
          <w:spacing w:val="-1"/>
        </w:rPr>
        <w:t> </w:t>
      </w:r>
      <w:r>
        <w:rPr/>
        <w:t>Scott,</w:t>
      </w:r>
      <w:r>
        <w:rPr>
          <w:spacing w:val="-16"/>
        </w:rPr>
        <w:t> </w:t>
      </w:r>
      <w:r>
        <w:rPr/>
        <w:t>2022).</w:t>
      </w:r>
      <w:r>
        <w:rPr>
          <w:spacing w:val="-15"/>
        </w:rPr>
        <w:t> </w:t>
      </w:r>
      <w:r>
        <w:rPr/>
        <w:t>Impact</w:t>
      </w:r>
      <w:r>
        <w:rPr>
          <w:spacing w:val="-8"/>
        </w:rPr>
        <w:t> </w:t>
      </w:r>
      <w:r>
        <w:rPr/>
        <w:t>investing</w:t>
      </w:r>
      <w:r>
        <w:rPr>
          <w:spacing w:val="13"/>
        </w:rPr>
        <w:t> </w:t>
      </w:r>
      <w:r>
        <w:rPr/>
        <w:t>is</w:t>
      </w:r>
      <w:r>
        <w:rPr>
          <w:spacing w:val="-4"/>
        </w:rPr>
        <w:t> </w:t>
      </w:r>
      <w:r>
        <w:rPr/>
        <w:t>considered</w:t>
      </w:r>
      <w:r>
        <w:rPr>
          <w:spacing w:val="-2"/>
        </w:rPr>
        <w:t> </w:t>
      </w:r>
      <w:r>
        <w:rPr/>
        <w:t>to</w:t>
      </w:r>
      <w:r>
        <w:rPr>
          <w:spacing w:val="-16"/>
        </w:rPr>
        <w:t> </w:t>
      </w:r>
      <w:r>
        <w:rPr>
          <w:spacing w:val="-4"/>
        </w:rPr>
        <w:t>have</w:t>
      </w:r>
    </w:p>
    <w:p>
      <w:pPr>
        <w:pStyle w:val="BodyText"/>
        <w:spacing w:before="1"/>
        <w:ind w:left="0"/>
        <w:jc w:val="left"/>
        <w:rPr>
          <w:sz w:val="28"/>
        </w:rPr>
      </w:pPr>
      <w:r>
        <w:rPr/>
        <w:pict>
          <v:rect style="position:absolute;margin-left:72.099998pt;margin-top:17.349747pt;width:144.18pt;height:.77496pt;mso-position-horizontal-relative:page;mso-position-vertical-relative:paragraph;z-index:-15728640;mso-wrap-distance-left:0;mso-wrap-distance-right:0" id="docshape2" filled="true" fillcolor="#000000" stroked="false">
            <v:fill type="solid"/>
            <w10:wrap type="topAndBottom"/>
          </v:rect>
        </w:pict>
      </w:r>
    </w:p>
    <w:p>
      <w:pPr>
        <w:spacing w:line="247" w:lineRule="auto" w:before="103"/>
        <w:ind w:left="101" w:right="0" w:firstLine="0"/>
        <w:jc w:val="left"/>
        <w:rPr>
          <w:sz w:val="19"/>
        </w:rPr>
      </w:pPr>
      <w:r>
        <w:rPr>
          <w:position w:val="6"/>
          <w:sz w:val="13"/>
        </w:rPr>
        <w:t>1</w:t>
      </w:r>
      <w:r>
        <w:rPr>
          <w:spacing w:val="40"/>
          <w:position w:val="6"/>
          <w:sz w:val="13"/>
        </w:rPr>
        <w:t> </w:t>
      </w:r>
      <w:r>
        <w:rPr>
          <w:sz w:val="19"/>
        </w:rPr>
        <w:t>See</w:t>
      </w:r>
      <w:r>
        <w:rPr>
          <w:spacing w:val="30"/>
          <w:sz w:val="19"/>
        </w:rPr>
        <w:t> </w:t>
      </w:r>
      <w:r>
        <w:rPr>
          <w:sz w:val="19"/>
        </w:rPr>
        <w:t>Ding</w:t>
      </w:r>
      <w:r>
        <w:rPr>
          <w:spacing w:val="36"/>
          <w:sz w:val="19"/>
        </w:rPr>
        <w:t> </w:t>
      </w:r>
      <w:r>
        <w:rPr>
          <w:i/>
          <w:sz w:val="19"/>
        </w:rPr>
        <w:t>et</w:t>
      </w:r>
      <w:r>
        <w:rPr>
          <w:i/>
          <w:spacing w:val="33"/>
          <w:sz w:val="19"/>
        </w:rPr>
        <w:t> </w:t>
      </w:r>
      <w:r>
        <w:rPr>
          <w:i/>
          <w:sz w:val="19"/>
        </w:rPr>
        <w:t>al.</w:t>
      </w:r>
      <w:r>
        <w:rPr>
          <w:i/>
          <w:spacing w:val="-4"/>
          <w:sz w:val="19"/>
        </w:rPr>
        <w:t> </w:t>
      </w:r>
      <w:r>
        <w:rPr>
          <w:sz w:val="19"/>
        </w:rPr>
        <w:t>(2020)</w:t>
      </w:r>
      <w:r>
        <w:rPr>
          <w:spacing w:val="-5"/>
          <w:sz w:val="19"/>
        </w:rPr>
        <w:t> </w:t>
      </w:r>
      <w:r>
        <w:rPr>
          <w:sz w:val="19"/>
        </w:rPr>
        <w:t>for the importance of finance</w:t>
      </w:r>
      <w:r>
        <w:rPr>
          <w:spacing w:val="-18"/>
          <w:sz w:val="19"/>
        </w:rPr>
        <w:t> </w:t>
      </w:r>
      <w:r>
        <w:rPr>
          <w:sz w:val="19"/>
        </w:rPr>
        <w:t>and</w:t>
      </w:r>
      <w:r>
        <w:rPr>
          <w:spacing w:val="-12"/>
          <w:sz w:val="19"/>
        </w:rPr>
        <w:t> </w:t>
      </w:r>
      <w:r>
        <w:rPr>
          <w:sz w:val="19"/>
        </w:rPr>
        <w:t>investment activities,</w:t>
      </w:r>
      <w:r>
        <w:rPr>
          <w:spacing w:val="-7"/>
          <w:sz w:val="19"/>
        </w:rPr>
        <w:t> </w:t>
      </w:r>
      <w:r>
        <w:rPr>
          <w:sz w:val="19"/>
        </w:rPr>
        <w:t>in</w:t>
      </w:r>
      <w:r>
        <w:rPr>
          <w:spacing w:val="35"/>
          <w:sz w:val="19"/>
        </w:rPr>
        <w:t> </w:t>
      </w:r>
      <w:r>
        <w:rPr>
          <w:sz w:val="19"/>
        </w:rPr>
        <w:t>general,</w:t>
      </w:r>
      <w:r>
        <w:rPr>
          <w:spacing w:val="39"/>
          <w:sz w:val="19"/>
        </w:rPr>
        <w:t> </w:t>
      </w:r>
      <w:r>
        <w:rPr>
          <w:sz w:val="19"/>
        </w:rPr>
        <w:t>to achieve a</w:t>
      </w:r>
      <w:r>
        <w:rPr>
          <w:spacing w:val="28"/>
          <w:sz w:val="19"/>
        </w:rPr>
        <w:t> </w:t>
      </w:r>
      <w:r>
        <w:rPr>
          <w:sz w:val="19"/>
        </w:rPr>
        <w:t>sustainable </w:t>
      </w:r>
      <w:r>
        <w:rPr>
          <w:spacing w:val="-2"/>
          <w:sz w:val="19"/>
        </w:rPr>
        <w:t>world.</w:t>
      </w:r>
    </w:p>
    <w:p>
      <w:pPr>
        <w:spacing w:after="0" w:line="247" w:lineRule="auto"/>
        <w:jc w:val="left"/>
        <w:rPr>
          <w:sz w:val="19"/>
        </w:rPr>
        <w:sectPr>
          <w:pgSz w:w="11910" w:h="16850"/>
          <w:pgMar w:header="0" w:footer="1005" w:top="1380" w:bottom="1200" w:left="1340" w:right="1300"/>
        </w:sectPr>
      </w:pPr>
    </w:p>
    <w:p>
      <w:pPr>
        <w:pStyle w:val="BodyText"/>
        <w:spacing w:line="475" w:lineRule="auto" w:before="72"/>
        <w:ind w:right="126"/>
      </w:pPr>
      <w:r>
        <w:rPr/>
        <w:t>great</w:t>
      </w:r>
      <w:r>
        <w:rPr/>
        <w:t> potential to contribute</w:t>
      </w:r>
      <w:r>
        <w:rPr/>
        <w:t> to SDGs because i) its major focus is to make an impact by addressing global problems, and ii) its primary target investee companies are impact-driven micro, small, and medium enterprises whose</w:t>
      </w:r>
      <w:r>
        <w:rPr>
          <w:spacing w:val="-9"/>
        </w:rPr>
        <w:t> </w:t>
      </w:r>
      <w:r>
        <w:rPr/>
        <w:t>growth</w:t>
      </w:r>
      <w:r>
        <w:rPr>
          <w:spacing w:val="-7"/>
        </w:rPr>
        <w:t> </w:t>
      </w:r>
      <w:r>
        <w:rPr/>
        <w:t>is strongly linked to</w:t>
      </w:r>
      <w:r>
        <w:rPr>
          <w:spacing w:val="-7"/>
        </w:rPr>
        <w:t> </w:t>
      </w:r>
      <w:r>
        <w:rPr/>
        <w:t>the</w:t>
      </w:r>
      <w:r>
        <w:rPr>
          <w:spacing w:val="-9"/>
        </w:rPr>
        <w:t> </w:t>
      </w:r>
      <w:r>
        <w:rPr/>
        <w:t>achievement of SDGs (OECD, 2019; Sobir, 2018).</w:t>
      </w:r>
    </w:p>
    <w:p>
      <w:pPr>
        <w:pStyle w:val="BodyText"/>
        <w:spacing w:line="480" w:lineRule="auto" w:before="186"/>
        <w:ind w:right="124"/>
      </w:pPr>
      <w:r>
        <w:rPr/>
        <w:t>The current study</w:t>
      </w:r>
      <w:r>
        <w:rPr>
          <w:spacing w:val="-6"/>
        </w:rPr>
        <w:t> </w:t>
      </w:r>
      <w:r>
        <w:rPr/>
        <w:t>aims to investigate the linkage between</w:t>
      </w:r>
      <w:r>
        <w:rPr>
          <w:spacing w:val="-6"/>
        </w:rPr>
        <w:t> </w:t>
      </w:r>
      <w:r>
        <w:rPr/>
        <w:t>available impact investment deals and SDGs. Specifically, it addresses the following research question: To what extent do available impact investment deals offer opportunities to contribute to the 17 SDGs? This research question is important for several reasons. The realization of the</w:t>
      </w:r>
      <w:r>
        <w:rPr>
          <w:spacing w:val="-5"/>
        </w:rPr>
        <w:t> </w:t>
      </w:r>
      <w:r>
        <w:rPr/>
        <w:t>full potential of the impact investing industry to contribute to SDGs</w:t>
      </w:r>
      <w:r>
        <w:rPr>
          <w:spacing w:val="-5"/>
        </w:rPr>
        <w:t> </w:t>
      </w:r>
      <w:r>
        <w:rPr/>
        <w:t>would largely depend on the</w:t>
      </w:r>
      <w:r>
        <w:rPr>
          <w:spacing w:val="-5"/>
        </w:rPr>
        <w:t> </w:t>
      </w:r>
      <w:r>
        <w:rPr/>
        <w:t>availability</w:t>
      </w:r>
      <w:r>
        <w:rPr>
          <w:spacing w:val="40"/>
        </w:rPr>
        <w:t> </w:t>
      </w:r>
      <w:r>
        <w:rPr/>
        <w:t>of larger</w:t>
      </w:r>
      <w:r>
        <w:rPr>
          <w:spacing w:val="-4"/>
        </w:rPr>
        <w:t> </w:t>
      </w:r>
      <w:r>
        <w:rPr/>
        <w:t>numbers of</w:t>
      </w:r>
      <w:r>
        <w:rPr>
          <w:spacing w:val="-12"/>
        </w:rPr>
        <w:t> </w:t>
      </w:r>
      <w:r>
        <w:rPr/>
        <w:t>investment deals</w:t>
      </w:r>
      <w:r>
        <w:rPr>
          <w:spacing w:val="-4"/>
        </w:rPr>
        <w:t> </w:t>
      </w:r>
      <w:r>
        <w:rPr/>
        <w:t>that</w:t>
      </w:r>
      <w:r>
        <w:rPr>
          <w:spacing w:val="-13"/>
        </w:rPr>
        <w:t> </w:t>
      </w:r>
      <w:r>
        <w:rPr/>
        <w:t>would</w:t>
      </w:r>
      <w:r>
        <w:rPr>
          <w:spacing w:val="-7"/>
        </w:rPr>
        <w:t> </w:t>
      </w:r>
      <w:r>
        <w:rPr/>
        <w:t>offer</w:t>
      </w:r>
      <w:r>
        <w:rPr>
          <w:spacing w:val="-15"/>
        </w:rPr>
        <w:t> </w:t>
      </w:r>
      <w:r>
        <w:rPr/>
        <w:t>impact investors</w:t>
      </w:r>
      <w:r>
        <w:rPr>
          <w:spacing w:val="-8"/>
        </w:rPr>
        <w:t> </w:t>
      </w:r>
      <w:r>
        <w:rPr/>
        <w:t>opportunities</w:t>
      </w:r>
      <w:r>
        <w:rPr>
          <w:spacing w:val="-10"/>
        </w:rPr>
        <w:t> </w:t>
      </w:r>
      <w:r>
        <w:rPr/>
        <w:t>to</w:t>
      </w:r>
      <w:r>
        <w:rPr>
          <w:spacing w:val="-6"/>
        </w:rPr>
        <w:t> </w:t>
      </w:r>
      <w:r>
        <w:rPr/>
        <w:t>invest in various</w:t>
      </w:r>
      <w:r>
        <w:rPr>
          <w:spacing w:val="-9"/>
        </w:rPr>
        <w:t> </w:t>
      </w:r>
      <w:r>
        <w:rPr/>
        <w:t>SDGs.</w:t>
      </w:r>
      <w:r>
        <w:rPr>
          <w:spacing w:val="-15"/>
        </w:rPr>
        <w:t> </w:t>
      </w:r>
      <w:r>
        <w:rPr/>
        <w:t>It</w:t>
      </w:r>
      <w:r>
        <w:rPr>
          <w:spacing w:val="-13"/>
        </w:rPr>
        <w:t> </w:t>
      </w:r>
      <w:r>
        <w:rPr/>
        <w:t>is likely that the</w:t>
      </w:r>
      <w:r>
        <w:rPr>
          <w:spacing w:val="-15"/>
        </w:rPr>
        <w:t> </w:t>
      </w:r>
      <w:r>
        <w:rPr/>
        <w:t>availability</w:t>
      </w:r>
      <w:r>
        <w:rPr>
          <w:spacing w:val="19"/>
        </w:rPr>
        <w:t> </w:t>
      </w:r>
      <w:r>
        <w:rPr/>
        <w:t>of a</w:t>
      </w:r>
      <w:r>
        <w:rPr>
          <w:spacing w:val="-9"/>
        </w:rPr>
        <w:t> </w:t>
      </w:r>
      <w:r>
        <w:rPr/>
        <w:t>larger number of</w:t>
      </w:r>
      <w:r>
        <w:rPr>
          <w:spacing w:val="-12"/>
        </w:rPr>
        <w:t> </w:t>
      </w:r>
      <w:r>
        <w:rPr/>
        <w:t>investment deals linked to a</w:t>
      </w:r>
      <w:r>
        <w:rPr>
          <w:spacing w:val="-7"/>
        </w:rPr>
        <w:t> </w:t>
      </w:r>
      <w:r>
        <w:rPr/>
        <w:t>specific SDG</w:t>
      </w:r>
      <w:r>
        <w:rPr>
          <w:spacing w:val="-13"/>
        </w:rPr>
        <w:t> </w:t>
      </w:r>
      <w:r>
        <w:rPr/>
        <w:t>will attract</w:t>
      </w:r>
      <w:r>
        <w:rPr>
          <w:spacing w:val="-10"/>
        </w:rPr>
        <w:t> </w:t>
      </w:r>
      <w:r>
        <w:rPr/>
        <w:t>more</w:t>
      </w:r>
      <w:r>
        <w:rPr>
          <w:spacing w:val="-6"/>
        </w:rPr>
        <w:t> </w:t>
      </w:r>
      <w:r>
        <w:rPr/>
        <w:t>capital toward</w:t>
      </w:r>
      <w:r>
        <w:rPr>
          <w:spacing w:val="-6"/>
        </w:rPr>
        <w:t> </w:t>
      </w:r>
      <w:r>
        <w:rPr/>
        <w:t>achieving that</w:t>
      </w:r>
      <w:r>
        <w:rPr>
          <w:spacing w:val="-11"/>
        </w:rPr>
        <w:t> </w:t>
      </w:r>
      <w:r>
        <w:rPr/>
        <w:t>SDG</w:t>
      </w:r>
      <w:r>
        <w:rPr>
          <w:spacing w:val="-13"/>
        </w:rPr>
        <w:t> </w:t>
      </w:r>
      <w:r>
        <w:rPr/>
        <w:t>and</w:t>
      </w:r>
      <w:r>
        <w:rPr>
          <w:spacing w:val="-6"/>
        </w:rPr>
        <w:t> </w:t>
      </w:r>
      <w:r>
        <w:rPr/>
        <w:t>vice versa. Therefore, examining</w:t>
      </w:r>
      <w:r>
        <w:rPr>
          <w:spacing w:val="-9"/>
        </w:rPr>
        <w:t> </w:t>
      </w:r>
      <w:r>
        <w:rPr/>
        <w:t>the</w:t>
      </w:r>
      <w:r>
        <w:rPr>
          <w:spacing w:val="-9"/>
        </w:rPr>
        <w:t> </w:t>
      </w:r>
      <w:r>
        <w:rPr/>
        <w:t>extent</w:t>
      </w:r>
      <w:r>
        <w:rPr>
          <w:spacing w:val="-14"/>
        </w:rPr>
        <w:t> </w:t>
      </w:r>
      <w:r>
        <w:rPr/>
        <w:t>to</w:t>
      </w:r>
      <w:r>
        <w:rPr>
          <w:spacing w:val="-15"/>
        </w:rPr>
        <w:t> </w:t>
      </w:r>
      <w:r>
        <w:rPr/>
        <w:t>which</w:t>
      </w:r>
      <w:r>
        <w:rPr>
          <w:spacing w:val="-8"/>
        </w:rPr>
        <w:t> </w:t>
      </w:r>
      <w:r>
        <w:rPr/>
        <w:t>currently</w:t>
      </w:r>
      <w:r>
        <w:rPr>
          <w:spacing w:val="-8"/>
        </w:rPr>
        <w:t> </w:t>
      </w:r>
      <w:r>
        <w:rPr/>
        <w:t>available investment</w:t>
      </w:r>
      <w:r>
        <w:rPr>
          <w:spacing w:val="-1"/>
        </w:rPr>
        <w:t> </w:t>
      </w:r>
      <w:r>
        <w:rPr/>
        <w:t>deals</w:t>
      </w:r>
      <w:r>
        <w:rPr>
          <w:spacing w:val="-12"/>
        </w:rPr>
        <w:t> </w:t>
      </w:r>
      <w:r>
        <w:rPr/>
        <w:t>are</w:t>
      </w:r>
      <w:r>
        <w:rPr>
          <w:spacing w:val="-6"/>
        </w:rPr>
        <w:t> </w:t>
      </w:r>
      <w:r>
        <w:rPr/>
        <w:t>linked to</w:t>
      </w:r>
      <w:r>
        <w:rPr>
          <w:spacing w:val="-15"/>
        </w:rPr>
        <w:t> </w:t>
      </w:r>
      <w:r>
        <w:rPr/>
        <w:t>various SDGs could help us better understand whether these investment deals are offering opportunities to contribute</w:t>
      </w:r>
      <w:r>
        <w:rPr>
          <w:spacing w:val="-7"/>
        </w:rPr>
        <w:t> </w:t>
      </w:r>
      <w:r>
        <w:rPr/>
        <w:t>to all 17 SDGs</w:t>
      </w:r>
      <w:r>
        <w:rPr>
          <w:spacing w:val="-4"/>
        </w:rPr>
        <w:t> </w:t>
      </w:r>
      <w:r>
        <w:rPr/>
        <w:t>equally. Furthermore, while impact investing has great potential to address the SDG investment gap, little is known about the impact investment opportunities available</w:t>
      </w:r>
      <w:r>
        <w:rPr>
          <w:spacing w:val="3"/>
        </w:rPr>
        <w:t> </w:t>
      </w:r>
      <w:r>
        <w:rPr/>
        <w:t>for</w:t>
      </w:r>
      <w:r>
        <w:rPr>
          <w:spacing w:val="-15"/>
        </w:rPr>
        <w:t> </w:t>
      </w:r>
      <w:r>
        <w:rPr/>
        <w:t>investors</w:t>
      </w:r>
      <w:r>
        <w:rPr>
          <w:spacing w:val="-9"/>
        </w:rPr>
        <w:t> </w:t>
      </w:r>
      <w:r>
        <w:rPr/>
        <w:t>to</w:t>
      </w:r>
      <w:r>
        <w:rPr>
          <w:spacing w:val="-6"/>
        </w:rPr>
        <w:t> </w:t>
      </w:r>
      <w:r>
        <w:rPr/>
        <w:t>contribute</w:t>
      </w:r>
      <w:r>
        <w:rPr>
          <w:spacing w:val="-15"/>
        </w:rPr>
        <w:t> </w:t>
      </w:r>
      <w:r>
        <w:rPr/>
        <w:t>to</w:t>
      </w:r>
      <w:r>
        <w:rPr>
          <w:spacing w:val="-6"/>
        </w:rPr>
        <w:t> </w:t>
      </w:r>
      <w:r>
        <w:rPr/>
        <w:t>various</w:t>
      </w:r>
      <w:r>
        <w:rPr>
          <w:spacing w:val="-10"/>
        </w:rPr>
        <w:t> </w:t>
      </w:r>
      <w:r>
        <w:rPr/>
        <w:t>SDGs</w:t>
      </w:r>
      <w:r>
        <w:rPr>
          <w:spacing w:val="-14"/>
        </w:rPr>
        <w:t> </w:t>
      </w:r>
      <w:r>
        <w:rPr/>
        <w:t>(Suehrer, 2019; Pineiro </w:t>
      </w:r>
      <w:r>
        <w:rPr>
          <w:i/>
        </w:rPr>
        <w:t>et</w:t>
      </w:r>
      <w:r>
        <w:rPr>
          <w:i/>
          <w:spacing w:val="-13"/>
        </w:rPr>
        <w:t> </w:t>
      </w:r>
      <w:r>
        <w:rPr>
          <w:i/>
        </w:rPr>
        <w:t>al.</w:t>
      </w:r>
      <w:r>
        <w:rPr/>
        <w:t>,</w:t>
      </w:r>
      <w:r>
        <w:rPr>
          <w:spacing w:val="-6"/>
        </w:rPr>
        <w:t> </w:t>
      </w:r>
      <w:r>
        <w:rPr/>
        <w:t>2018).</w:t>
      </w:r>
      <w:r>
        <w:rPr>
          <w:spacing w:val="-6"/>
        </w:rPr>
        <w:t> </w:t>
      </w:r>
      <w:r>
        <w:rPr/>
        <w:t>The current study addresses this issue by examining the linkage between available impact investment deals and SDGs.</w:t>
      </w:r>
    </w:p>
    <w:p>
      <w:pPr>
        <w:pStyle w:val="BodyText"/>
        <w:spacing w:line="480" w:lineRule="auto" w:before="159"/>
        <w:ind w:right="125"/>
      </w:pPr>
      <w:r>
        <w:rPr/>
        <w:t>Drawing on 292 available impact investment deals, our analysis shows that most investment deals are directly or indirectly linked to only four</w:t>
      </w:r>
      <w:r>
        <w:rPr>
          <w:spacing w:val="-6"/>
        </w:rPr>
        <w:t> </w:t>
      </w:r>
      <w:r>
        <w:rPr/>
        <w:t>SDGs: SDG 1 (no poverty), SDG 2 (zero hunger),</w:t>
      </w:r>
      <w:r>
        <w:rPr>
          <w:spacing w:val="-15"/>
        </w:rPr>
        <w:t> </w:t>
      </w:r>
      <w:r>
        <w:rPr/>
        <w:t>SDG</w:t>
      </w:r>
      <w:r>
        <w:rPr>
          <w:spacing w:val="-15"/>
        </w:rPr>
        <w:t> </w:t>
      </w:r>
      <w:r>
        <w:rPr/>
        <w:t>3</w:t>
      </w:r>
      <w:r>
        <w:rPr>
          <w:spacing w:val="-15"/>
        </w:rPr>
        <w:t> </w:t>
      </w:r>
      <w:r>
        <w:rPr/>
        <w:t>(good</w:t>
      </w:r>
      <w:r>
        <w:rPr>
          <w:spacing w:val="-15"/>
        </w:rPr>
        <w:t> </w:t>
      </w:r>
      <w:r>
        <w:rPr/>
        <w:t>health</w:t>
      </w:r>
      <w:r>
        <w:rPr>
          <w:spacing w:val="-15"/>
        </w:rPr>
        <w:t> </w:t>
      </w:r>
      <w:r>
        <w:rPr/>
        <w:t>and</w:t>
      </w:r>
      <w:r>
        <w:rPr>
          <w:spacing w:val="-9"/>
        </w:rPr>
        <w:t> </w:t>
      </w:r>
      <w:r>
        <w:rPr/>
        <w:t>well-being),</w:t>
      </w:r>
      <w:r>
        <w:rPr>
          <w:spacing w:val="9"/>
        </w:rPr>
        <w:t> </w:t>
      </w:r>
      <w:r>
        <w:rPr/>
        <w:t>and</w:t>
      </w:r>
      <w:r>
        <w:rPr>
          <w:spacing w:val="-5"/>
        </w:rPr>
        <w:t> </w:t>
      </w:r>
      <w:r>
        <w:rPr/>
        <w:t>SDG</w:t>
      </w:r>
      <w:r>
        <w:rPr>
          <w:spacing w:val="-15"/>
        </w:rPr>
        <w:t> </w:t>
      </w:r>
      <w:r>
        <w:rPr/>
        <w:t>8</w:t>
      </w:r>
      <w:r>
        <w:rPr>
          <w:spacing w:val="-15"/>
        </w:rPr>
        <w:t> </w:t>
      </w:r>
      <w:r>
        <w:rPr/>
        <w:t>(decent</w:t>
      </w:r>
      <w:r>
        <w:rPr>
          <w:spacing w:val="-11"/>
        </w:rPr>
        <w:t> </w:t>
      </w:r>
      <w:r>
        <w:rPr/>
        <w:t>work</w:t>
      </w:r>
      <w:r>
        <w:rPr>
          <w:spacing w:val="-15"/>
        </w:rPr>
        <w:t> </w:t>
      </w:r>
      <w:r>
        <w:rPr/>
        <w:t>and</w:t>
      </w:r>
      <w:r>
        <w:rPr>
          <w:spacing w:val="-6"/>
        </w:rPr>
        <w:t> </w:t>
      </w:r>
      <w:r>
        <w:rPr/>
        <w:t>economic</w:t>
      </w:r>
      <w:r>
        <w:rPr>
          <w:spacing w:val="-7"/>
        </w:rPr>
        <w:t> </w:t>
      </w:r>
      <w:r>
        <w:rPr/>
        <w:t>growth). As a result, many other SDGs are relatively underrepresented in the available impact investment</w:t>
      </w:r>
      <w:r>
        <w:rPr>
          <w:spacing w:val="-3"/>
        </w:rPr>
        <w:t> </w:t>
      </w:r>
      <w:r>
        <w:rPr/>
        <w:t>deals.</w:t>
      </w:r>
      <w:r>
        <w:rPr>
          <w:spacing w:val="-3"/>
        </w:rPr>
        <w:t> </w:t>
      </w:r>
      <w:r>
        <w:rPr/>
        <w:t>Furthermore, most investment deals</w:t>
      </w:r>
      <w:r>
        <w:rPr>
          <w:spacing w:val="-9"/>
        </w:rPr>
        <w:t> </w:t>
      </w:r>
      <w:r>
        <w:rPr/>
        <w:t>directly</w:t>
      </w:r>
      <w:r>
        <w:rPr>
          <w:spacing w:val="-6"/>
        </w:rPr>
        <w:t> </w:t>
      </w:r>
      <w:r>
        <w:rPr/>
        <w:t>or</w:t>
      </w:r>
      <w:r>
        <w:rPr>
          <w:spacing w:val="-10"/>
        </w:rPr>
        <w:t> </w:t>
      </w:r>
      <w:r>
        <w:rPr/>
        <w:t>indirectly</w:t>
      </w:r>
      <w:r>
        <w:rPr>
          <w:spacing w:val="-6"/>
        </w:rPr>
        <w:t> </w:t>
      </w:r>
      <w:r>
        <w:rPr/>
        <w:t>contributing</w:t>
      </w:r>
      <w:r>
        <w:rPr>
          <w:spacing w:val="-6"/>
        </w:rPr>
        <w:t> </w:t>
      </w:r>
      <w:r>
        <w:rPr/>
        <w:t>to</w:t>
      </w:r>
      <w:r>
        <w:rPr>
          <w:spacing w:val="-15"/>
        </w:rPr>
        <w:t> </w:t>
      </w:r>
      <w:r>
        <w:rPr/>
        <w:t>the SDGs</w:t>
      </w:r>
      <w:r>
        <w:rPr>
          <w:spacing w:val="-6"/>
        </w:rPr>
        <w:t> </w:t>
      </w:r>
      <w:r>
        <w:rPr/>
        <w:t>are</w:t>
      </w:r>
      <w:r>
        <w:rPr>
          <w:spacing w:val="10"/>
        </w:rPr>
        <w:t> </w:t>
      </w:r>
      <w:r>
        <w:rPr/>
        <w:t>highly</w:t>
      </w:r>
      <w:r>
        <w:rPr>
          <w:spacing w:val="26"/>
        </w:rPr>
        <w:t> </w:t>
      </w:r>
      <w:r>
        <w:rPr/>
        <w:t>concentrated</w:t>
      </w:r>
      <w:r>
        <w:rPr>
          <w:spacing w:val="-3"/>
        </w:rPr>
        <w:t> </w:t>
      </w:r>
      <w:r>
        <w:rPr/>
        <w:t>in</w:t>
      </w:r>
      <w:r>
        <w:rPr>
          <w:spacing w:val="11"/>
        </w:rPr>
        <w:t> </w:t>
      </w:r>
      <w:r>
        <w:rPr/>
        <w:t>two</w:t>
      </w:r>
      <w:r>
        <w:rPr>
          <w:spacing w:val="-2"/>
        </w:rPr>
        <w:t> </w:t>
      </w:r>
      <w:r>
        <w:rPr/>
        <w:t>regions</w:t>
      </w:r>
      <w:r>
        <w:rPr>
          <w:spacing w:val="32"/>
        </w:rPr>
        <w:t> </w:t>
      </w:r>
      <w:r>
        <w:rPr/>
        <w:t>–</w:t>
      </w:r>
      <w:r>
        <w:rPr>
          <w:spacing w:val="-2"/>
        </w:rPr>
        <w:t> </w:t>
      </w:r>
      <w:r>
        <w:rPr/>
        <w:t>US</w:t>
      </w:r>
      <w:r>
        <w:rPr>
          <w:spacing w:val="-1"/>
        </w:rPr>
        <w:t> </w:t>
      </w:r>
      <w:r>
        <w:rPr/>
        <w:t>&amp;</w:t>
      </w:r>
      <w:r>
        <w:rPr>
          <w:spacing w:val="5"/>
        </w:rPr>
        <w:t> </w:t>
      </w:r>
      <w:r>
        <w:rPr/>
        <w:t>Canada</w:t>
      </w:r>
      <w:r>
        <w:rPr>
          <w:spacing w:val="-4"/>
        </w:rPr>
        <w:t> </w:t>
      </w:r>
      <w:r>
        <w:rPr/>
        <w:t>and</w:t>
      </w:r>
      <w:r>
        <w:rPr>
          <w:spacing w:val="12"/>
        </w:rPr>
        <w:t> </w:t>
      </w:r>
      <w:r>
        <w:rPr/>
        <w:t>Sub-Saharan</w:t>
      </w:r>
      <w:r>
        <w:rPr>
          <w:spacing w:val="11"/>
        </w:rPr>
        <w:t> </w:t>
      </w:r>
      <w:r>
        <w:rPr/>
        <w:t>Africa.</w:t>
      </w:r>
      <w:r>
        <w:rPr>
          <w:spacing w:val="15"/>
        </w:rPr>
        <w:t> </w:t>
      </w:r>
      <w:r>
        <w:rPr>
          <w:spacing w:val="-2"/>
        </w:rPr>
        <w:t>Also,</w:t>
      </w:r>
    </w:p>
    <w:p>
      <w:pPr>
        <w:spacing w:after="0" w:line="480" w:lineRule="auto"/>
        <w:sectPr>
          <w:pgSz w:w="11910" w:h="16850"/>
          <w:pgMar w:header="0" w:footer="1005" w:top="1380" w:bottom="1200" w:left="1340" w:right="1300"/>
        </w:sectPr>
      </w:pPr>
    </w:p>
    <w:p>
      <w:pPr>
        <w:pStyle w:val="BodyText"/>
        <w:spacing w:line="477" w:lineRule="auto" w:before="72"/>
        <w:ind w:right="124"/>
      </w:pPr>
      <w:r>
        <w:rPr/>
        <w:t>many</w:t>
      </w:r>
      <w:r>
        <w:rPr>
          <w:spacing w:val="-15"/>
        </w:rPr>
        <w:t> </w:t>
      </w:r>
      <w:r>
        <w:rPr/>
        <w:t>emerging</w:t>
      </w:r>
      <w:r>
        <w:rPr>
          <w:spacing w:val="23"/>
        </w:rPr>
        <w:t> </w:t>
      </w:r>
      <w:r>
        <w:rPr/>
        <w:t>regions</w:t>
      </w:r>
      <w:r>
        <w:rPr>
          <w:spacing w:val="-8"/>
        </w:rPr>
        <w:t> </w:t>
      </w:r>
      <w:r>
        <w:rPr/>
        <w:t>(e.g., Southeast</w:t>
      </w:r>
      <w:r>
        <w:rPr>
          <w:spacing w:val="-11"/>
        </w:rPr>
        <w:t> </w:t>
      </w:r>
      <w:r>
        <w:rPr/>
        <w:t>Asia,</w:t>
      </w:r>
      <w:r>
        <w:rPr>
          <w:spacing w:val="-5"/>
        </w:rPr>
        <w:t> </w:t>
      </w:r>
      <w:r>
        <w:rPr/>
        <w:t>the</w:t>
      </w:r>
      <w:r>
        <w:rPr>
          <w:spacing w:val="-15"/>
        </w:rPr>
        <w:t> </w:t>
      </w:r>
      <w:r>
        <w:rPr/>
        <w:t>Middle</w:t>
      </w:r>
      <w:r>
        <w:rPr>
          <w:spacing w:val="-15"/>
        </w:rPr>
        <w:t> </w:t>
      </w:r>
      <w:r>
        <w:rPr/>
        <w:t>East</w:t>
      </w:r>
      <w:r>
        <w:rPr>
          <w:spacing w:val="-11"/>
        </w:rPr>
        <w:t> </w:t>
      </w:r>
      <w:r>
        <w:rPr/>
        <w:t>and</w:t>
      </w:r>
      <w:r>
        <w:rPr>
          <w:spacing w:val="-6"/>
        </w:rPr>
        <w:t> </w:t>
      </w:r>
      <w:r>
        <w:rPr/>
        <w:t>North</w:t>
      </w:r>
      <w:r>
        <w:rPr>
          <w:spacing w:val="-5"/>
        </w:rPr>
        <w:t> </w:t>
      </w:r>
      <w:r>
        <w:rPr/>
        <w:t>Africa)</w:t>
      </w:r>
      <w:r>
        <w:rPr>
          <w:spacing w:val="-11"/>
        </w:rPr>
        <w:t> </w:t>
      </w:r>
      <w:r>
        <w:rPr/>
        <w:t>have</w:t>
      </w:r>
      <w:r>
        <w:rPr>
          <w:spacing w:val="-7"/>
        </w:rPr>
        <w:t> </w:t>
      </w:r>
      <w:r>
        <w:rPr/>
        <w:t>a severe shortage of impact investment dealflow.</w:t>
      </w:r>
      <w:r>
        <w:rPr>
          <w:spacing w:val="-1"/>
        </w:rPr>
        <w:t> </w:t>
      </w:r>
      <w:r>
        <w:rPr/>
        <w:t>Likewise, we</w:t>
      </w:r>
      <w:r>
        <w:rPr>
          <w:spacing w:val="-4"/>
        </w:rPr>
        <w:t> </w:t>
      </w:r>
      <w:r>
        <w:rPr/>
        <w:t>discuss why</w:t>
      </w:r>
      <w:r>
        <w:rPr>
          <w:spacing w:val="-5"/>
        </w:rPr>
        <w:t> </w:t>
      </w:r>
      <w:r>
        <w:rPr/>
        <w:t>there is an imbalance and offer suggestions on how it can be addressed.</w:t>
      </w:r>
    </w:p>
    <w:p>
      <w:pPr>
        <w:pStyle w:val="BodyText"/>
        <w:spacing w:line="477" w:lineRule="auto" w:before="169"/>
        <w:ind w:right="125"/>
      </w:pPr>
      <w:r>
        <w:rPr/>
        <w:t>Our study contributes to the literature in several ways. First, prior literature discusses the potential of impact investing to contribute to SDGs (Islam, 2022a; International Finance Corporation, 2019). We advance</w:t>
      </w:r>
      <w:r>
        <w:rPr>
          <w:spacing w:val="-5"/>
        </w:rPr>
        <w:t> </w:t>
      </w:r>
      <w:r>
        <w:rPr/>
        <w:t>this literature by providing the</w:t>
      </w:r>
      <w:r>
        <w:rPr>
          <w:spacing w:val="-7"/>
        </w:rPr>
        <w:t> </w:t>
      </w:r>
      <w:r>
        <w:rPr/>
        <w:t>insight that impact investing may</w:t>
      </w:r>
      <w:r>
        <w:rPr>
          <w:spacing w:val="-15"/>
        </w:rPr>
        <w:t> </w:t>
      </w:r>
      <w:r>
        <w:rPr/>
        <w:t>not</w:t>
      </w:r>
      <w:r>
        <w:rPr>
          <w:spacing w:val="-15"/>
        </w:rPr>
        <w:t> </w:t>
      </w:r>
      <w:r>
        <w:rPr/>
        <w:t>be</w:t>
      </w:r>
      <w:r>
        <w:rPr>
          <w:spacing w:val="-15"/>
        </w:rPr>
        <w:t> </w:t>
      </w:r>
      <w:r>
        <w:rPr/>
        <w:t>equally</w:t>
      </w:r>
      <w:r>
        <w:rPr>
          <w:spacing w:val="2"/>
        </w:rPr>
        <w:t> </w:t>
      </w:r>
      <w:r>
        <w:rPr/>
        <w:t>effective</w:t>
      </w:r>
      <w:r>
        <w:rPr>
          <w:spacing w:val="-15"/>
        </w:rPr>
        <w:t> </w:t>
      </w:r>
      <w:r>
        <w:rPr/>
        <w:t>in</w:t>
      </w:r>
      <w:r>
        <w:rPr>
          <w:spacing w:val="-1"/>
        </w:rPr>
        <w:t> </w:t>
      </w:r>
      <w:r>
        <w:rPr/>
        <w:t>contributing to</w:t>
      </w:r>
      <w:r>
        <w:rPr>
          <w:spacing w:val="-15"/>
        </w:rPr>
        <w:t> </w:t>
      </w:r>
      <w:r>
        <w:rPr/>
        <w:t>all</w:t>
      </w:r>
      <w:r>
        <w:rPr>
          <w:spacing w:val="-8"/>
        </w:rPr>
        <w:t> </w:t>
      </w:r>
      <w:r>
        <w:rPr/>
        <w:t>SDGs</w:t>
      </w:r>
      <w:r>
        <w:rPr>
          <w:spacing w:val="-15"/>
        </w:rPr>
        <w:t> </w:t>
      </w:r>
      <w:r>
        <w:rPr/>
        <w:t>due</w:t>
      </w:r>
      <w:r>
        <w:rPr>
          <w:spacing w:val="-15"/>
        </w:rPr>
        <w:t> </w:t>
      </w:r>
      <w:r>
        <w:rPr/>
        <w:t>to</w:t>
      </w:r>
      <w:r>
        <w:rPr>
          <w:spacing w:val="-15"/>
        </w:rPr>
        <w:t> </w:t>
      </w:r>
      <w:r>
        <w:rPr/>
        <w:t>a</w:t>
      </w:r>
      <w:r>
        <w:rPr>
          <w:spacing w:val="-15"/>
        </w:rPr>
        <w:t> </w:t>
      </w:r>
      <w:r>
        <w:rPr/>
        <w:t>significant</w:t>
      </w:r>
      <w:r>
        <w:rPr>
          <w:spacing w:val="7"/>
        </w:rPr>
        <w:t> </w:t>
      </w:r>
      <w:r>
        <w:rPr/>
        <w:t>SDG-dealflow</w:t>
      </w:r>
      <w:r>
        <w:rPr>
          <w:spacing w:val="-15"/>
        </w:rPr>
        <w:t> </w:t>
      </w:r>
      <w:r>
        <w:rPr/>
        <w:t>gap in the impact</w:t>
      </w:r>
      <w:r>
        <w:rPr>
          <w:spacing w:val="36"/>
        </w:rPr>
        <w:t> </w:t>
      </w:r>
      <w:r>
        <w:rPr/>
        <w:t>investing market. We offer some recommendations to address this issue.</w:t>
      </w:r>
    </w:p>
    <w:p>
      <w:pPr>
        <w:pStyle w:val="BodyText"/>
        <w:spacing w:line="477" w:lineRule="auto" w:before="182"/>
        <w:ind w:right="125"/>
      </w:pPr>
      <w:r>
        <w:rPr/>
        <w:t>Second, we add to the literature discussing geographic locations in impact investing (e.g., López-Arceiz</w:t>
      </w:r>
      <w:r>
        <w:rPr/>
        <w:t> </w:t>
      </w:r>
      <w:r>
        <w:rPr>
          <w:i/>
        </w:rPr>
        <w:t>et al.</w:t>
      </w:r>
      <w:r>
        <w:rPr/>
        <w:t>, 2017; Mersland</w:t>
      </w:r>
      <w:r>
        <w:rPr>
          <w:spacing w:val="35"/>
        </w:rPr>
        <w:t> </w:t>
      </w:r>
      <w:r>
        <w:rPr>
          <w:i/>
        </w:rPr>
        <w:t>et al.</w:t>
      </w:r>
      <w:r>
        <w:rPr/>
        <w:t>, 2020). We highlight that</w:t>
      </w:r>
      <w:r>
        <w:rPr>
          <w:spacing w:val="-13"/>
        </w:rPr>
        <w:t> </w:t>
      </w:r>
      <w:r>
        <w:rPr/>
        <w:t>while a</w:t>
      </w:r>
      <w:r>
        <w:rPr>
          <w:spacing w:val="-9"/>
        </w:rPr>
        <w:t> </w:t>
      </w:r>
      <w:r>
        <w:rPr/>
        <w:t>large number of impact investment deals</w:t>
      </w:r>
      <w:r>
        <w:rPr>
          <w:spacing w:val="-6"/>
        </w:rPr>
        <w:t> </w:t>
      </w:r>
      <w:r>
        <w:rPr/>
        <w:t>aim to</w:t>
      </w:r>
      <w:r>
        <w:rPr>
          <w:spacing w:val="-7"/>
        </w:rPr>
        <w:t> </w:t>
      </w:r>
      <w:r>
        <w:rPr/>
        <w:t>address</w:t>
      </w:r>
      <w:r>
        <w:rPr>
          <w:spacing w:val="-15"/>
        </w:rPr>
        <w:t> </w:t>
      </w:r>
      <w:r>
        <w:rPr/>
        <w:t>major global challenges (e.g.,</w:t>
      </w:r>
      <w:r>
        <w:rPr>
          <w:spacing w:val="-7"/>
        </w:rPr>
        <w:t> </w:t>
      </w:r>
      <w:r>
        <w:rPr/>
        <w:t>extreme poverty</w:t>
      </w:r>
      <w:r>
        <w:rPr>
          <w:spacing w:val="-1"/>
        </w:rPr>
        <w:t> </w:t>
      </w:r>
      <w:r>
        <w:rPr/>
        <w:t>–</w:t>
      </w:r>
      <w:r>
        <w:rPr>
          <w:spacing w:val="-7"/>
        </w:rPr>
        <w:t> </w:t>
      </w:r>
      <w:r>
        <w:rPr/>
        <w:t>SDG 1, food</w:t>
      </w:r>
      <w:r>
        <w:rPr>
          <w:spacing w:val="-4"/>
        </w:rPr>
        <w:t> </w:t>
      </w:r>
      <w:r>
        <w:rPr/>
        <w:t>insecurity</w:t>
      </w:r>
      <w:r>
        <w:rPr>
          <w:spacing w:val="40"/>
        </w:rPr>
        <w:t> </w:t>
      </w:r>
      <w:r>
        <w:rPr/>
        <w:t>– SDG 2, access to</w:t>
      </w:r>
      <w:r>
        <w:rPr>
          <w:spacing w:val="-3"/>
        </w:rPr>
        <w:t> </w:t>
      </w:r>
      <w:r>
        <w:rPr/>
        <w:t>quality healthcare – SDG 3), they may not effectively fulfill the</w:t>
      </w:r>
      <w:r>
        <w:rPr>
          <w:spacing w:val="-6"/>
        </w:rPr>
        <w:t> </w:t>
      </w:r>
      <w:r>
        <w:rPr/>
        <w:t>mandate of underlying SDGs</w:t>
      </w:r>
      <w:r>
        <w:rPr>
          <w:spacing w:val="-5"/>
        </w:rPr>
        <w:t> </w:t>
      </w:r>
      <w:r>
        <w:rPr/>
        <w:t>because they mainly target these global problems in the context of developed economies instead of emerging economies.</w:t>
      </w:r>
    </w:p>
    <w:p>
      <w:pPr>
        <w:pStyle w:val="BodyText"/>
        <w:spacing w:line="477" w:lineRule="auto" w:before="173"/>
        <w:ind w:right="127"/>
      </w:pPr>
      <w:r>
        <w:rPr/>
        <w:t>Third, we contribute to the literature by providing the insight that in the absence of a large number of impact investment deals directly targeting specific SDGs, the impact investing market can still contribute, </w:t>
      </w:r>
      <w:r>
        <w:rPr>
          <w:i/>
        </w:rPr>
        <w:t>albeit </w:t>
      </w:r>
      <w:r>
        <w:rPr/>
        <w:t>indirectly, to some SDGs (e.g., SDG 1 – no poverty) but cannot do the same for other SDGs (e.g., SDG 4 – quality education).</w:t>
      </w:r>
    </w:p>
    <w:p>
      <w:pPr>
        <w:pStyle w:val="BodyText"/>
        <w:spacing w:line="475" w:lineRule="auto" w:before="175"/>
        <w:ind w:right="126"/>
      </w:pPr>
      <w:r>
        <w:rPr/>
        <w:t>The rest of the</w:t>
      </w:r>
      <w:r>
        <w:rPr>
          <w:spacing w:val="-7"/>
        </w:rPr>
        <w:t> </w:t>
      </w:r>
      <w:r>
        <w:rPr/>
        <w:t>paper is structured as follows.</w:t>
      </w:r>
      <w:r>
        <w:rPr>
          <w:spacing w:val="-5"/>
        </w:rPr>
        <w:t> </w:t>
      </w:r>
      <w:r>
        <w:rPr/>
        <w:t>The next section</w:t>
      </w:r>
      <w:r>
        <w:rPr>
          <w:spacing w:val="-5"/>
        </w:rPr>
        <w:t> </w:t>
      </w:r>
      <w:r>
        <w:rPr/>
        <w:t>provides the literature review, followed by data</w:t>
      </w:r>
      <w:r>
        <w:rPr>
          <w:spacing w:val="-3"/>
        </w:rPr>
        <w:t> </w:t>
      </w:r>
      <w:r>
        <w:rPr/>
        <w:t>and methods in Section 3. Findings are presented in Section 4. Section 5 discusses the key insights that this study</w:t>
      </w:r>
      <w:r>
        <w:rPr>
          <w:spacing w:val="-1"/>
        </w:rPr>
        <w:t> </w:t>
      </w:r>
      <w:r>
        <w:rPr/>
        <w:t>offers. The final section concludes the paper and provides some future research directions.</w:t>
      </w:r>
    </w:p>
    <w:p>
      <w:pPr>
        <w:spacing w:after="0" w:line="475" w:lineRule="auto"/>
        <w:sectPr>
          <w:pgSz w:w="11910" w:h="16850"/>
          <w:pgMar w:header="0" w:footer="1005" w:top="1380" w:bottom="1200" w:left="1340" w:right="1300"/>
        </w:sectPr>
      </w:pPr>
    </w:p>
    <w:p>
      <w:pPr>
        <w:pStyle w:val="Heading1"/>
        <w:numPr>
          <w:ilvl w:val="0"/>
          <w:numId w:val="1"/>
        </w:numPr>
        <w:tabs>
          <w:tab w:pos="342" w:val="left" w:leader="none"/>
        </w:tabs>
        <w:spacing w:line="240" w:lineRule="auto" w:before="72" w:after="0"/>
        <w:ind w:left="342" w:right="0" w:hanging="241"/>
        <w:jc w:val="left"/>
      </w:pPr>
      <w:r>
        <w:rPr/>
        <w:t>Literature</w:t>
      </w:r>
      <w:r>
        <w:rPr>
          <w:spacing w:val="-9"/>
        </w:rPr>
        <w:t> </w:t>
      </w:r>
      <w:r>
        <w:rPr>
          <w:spacing w:val="-2"/>
        </w:rPr>
        <w:t>review</w:t>
      </w:r>
    </w:p>
    <w:p>
      <w:pPr>
        <w:pStyle w:val="BodyText"/>
        <w:spacing w:before="3"/>
        <w:ind w:left="0"/>
        <w:jc w:val="left"/>
        <w:rPr>
          <w:b/>
        </w:rPr>
      </w:pPr>
    </w:p>
    <w:p>
      <w:pPr>
        <w:pStyle w:val="BodyText"/>
        <w:spacing w:line="477" w:lineRule="auto" w:before="1"/>
        <w:ind w:right="124"/>
      </w:pPr>
      <w:r>
        <w:rPr/>
        <w:t>Prior literature</w:t>
      </w:r>
      <w:r>
        <w:rPr/>
        <w:t> on impact</w:t>
      </w:r>
      <w:r>
        <w:rPr/>
        <w:t> investing has addressed</w:t>
      </w:r>
      <w:r>
        <w:rPr>
          <w:spacing w:val="-8"/>
        </w:rPr>
        <w:t> </w:t>
      </w:r>
      <w:r>
        <w:rPr/>
        <w:t>issues around impact investment decision making. Research shows how impact investors use different criteria while evaluating investment projects, such as social entrepreneurs’ integrity (Achleitner </w:t>
      </w:r>
      <w:r>
        <w:rPr>
          <w:i/>
        </w:rPr>
        <w:t>et al.</w:t>
      </w:r>
      <w:r>
        <w:rPr/>
        <w:t>, 2013), the specific sector in which the</w:t>
      </w:r>
      <w:r>
        <w:rPr>
          <w:spacing w:val="-7"/>
        </w:rPr>
        <w:t> </w:t>
      </w:r>
      <w:r>
        <w:rPr/>
        <w:t>investee organizations operate (Apostolakis van Dijk Kraanen </w:t>
      </w:r>
      <w:r>
        <w:rPr>
          <w:i/>
        </w:rPr>
        <w:t>et</w:t>
      </w:r>
      <w:r>
        <w:rPr>
          <w:i/>
        </w:rPr>
        <w:t> al.</w:t>
      </w:r>
      <w:r>
        <w:rPr/>
        <w:t>,</w:t>
      </w:r>
      <w:r>
        <w:rPr/>
        <w:t> 2018),</w:t>
      </w:r>
      <w:r>
        <w:rPr/>
        <w:t> geographic</w:t>
      </w:r>
      <w:r>
        <w:rPr/>
        <w:t> location</w:t>
      </w:r>
      <w:r>
        <w:rPr/>
        <w:t> of</w:t>
      </w:r>
      <w:r>
        <w:rPr/>
        <w:t> investment projects (Mersland </w:t>
      </w:r>
      <w:r>
        <w:rPr>
          <w:i/>
        </w:rPr>
        <w:t>et al.</w:t>
      </w:r>
      <w:r>
        <w:rPr/>
        <w:t>, 2020), and the ideologies</w:t>
      </w:r>
      <w:r>
        <w:rPr>
          <w:spacing w:val="-2"/>
        </w:rPr>
        <w:t> </w:t>
      </w:r>
      <w:r>
        <w:rPr/>
        <w:t>and</w:t>
      </w:r>
      <w:r>
        <w:rPr>
          <w:spacing w:val="-11"/>
        </w:rPr>
        <w:t> </w:t>
      </w:r>
      <w:r>
        <w:rPr/>
        <w:t>values</w:t>
      </w:r>
      <w:r>
        <w:rPr>
          <w:spacing w:val="-14"/>
        </w:rPr>
        <w:t> </w:t>
      </w:r>
      <w:r>
        <w:rPr/>
        <w:t>of</w:t>
      </w:r>
      <w:r>
        <w:rPr>
          <w:spacing w:val="-15"/>
        </w:rPr>
        <w:t> </w:t>
      </w:r>
      <w:r>
        <w:rPr/>
        <w:t>investee organizations (López-Arceiz </w:t>
      </w:r>
      <w:r>
        <w:rPr>
          <w:i/>
        </w:rPr>
        <w:t>et</w:t>
      </w:r>
      <w:r>
        <w:rPr>
          <w:i/>
          <w:spacing w:val="-15"/>
        </w:rPr>
        <w:t> </w:t>
      </w:r>
      <w:r>
        <w:rPr>
          <w:i/>
        </w:rPr>
        <w:t>al.</w:t>
      </w:r>
      <w:r>
        <w:rPr/>
        <w:t>, 2017).</w:t>
      </w:r>
      <w:r>
        <w:rPr>
          <w:spacing w:val="-11"/>
        </w:rPr>
        <w:t> </w:t>
      </w:r>
      <w:r>
        <w:rPr/>
        <w:t>This</w:t>
      </w:r>
      <w:r>
        <w:rPr>
          <w:spacing w:val="-1"/>
        </w:rPr>
        <w:t> </w:t>
      </w:r>
      <w:r>
        <w:rPr/>
        <w:t>research also provides</w:t>
      </w:r>
      <w:r>
        <w:rPr>
          <w:spacing w:val="-15"/>
        </w:rPr>
        <w:t> </w:t>
      </w:r>
      <w:r>
        <w:rPr/>
        <w:t>insights</w:t>
      </w:r>
      <w:r>
        <w:rPr>
          <w:spacing w:val="-13"/>
        </w:rPr>
        <w:t> </w:t>
      </w:r>
      <w:r>
        <w:rPr/>
        <w:t>into</w:t>
      </w:r>
      <w:r>
        <w:rPr>
          <w:spacing w:val="-6"/>
        </w:rPr>
        <w:t> </w:t>
      </w:r>
      <w:r>
        <w:rPr/>
        <w:t>how</w:t>
      </w:r>
      <w:r>
        <w:rPr>
          <w:spacing w:val="-14"/>
        </w:rPr>
        <w:t> </w:t>
      </w:r>
      <w:r>
        <w:rPr/>
        <w:t>to</w:t>
      </w:r>
      <w:r>
        <w:rPr>
          <w:spacing w:val="-15"/>
        </w:rPr>
        <w:t> </w:t>
      </w:r>
      <w:r>
        <w:rPr/>
        <w:t>design</w:t>
      </w:r>
      <w:r>
        <w:rPr>
          <w:spacing w:val="-6"/>
        </w:rPr>
        <w:t> </w:t>
      </w:r>
      <w:r>
        <w:rPr/>
        <w:t>an investment decision-making</w:t>
      </w:r>
      <w:r>
        <w:rPr>
          <w:spacing w:val="-6"/>
        </w:rPr>
        <w:t> </w:t>
      </w:r>
      <w:r>
        <w:rPr/>
        <w:t>system by</w:t>
      </w:r>
      <w:r>
        <w:rPr>
          <w:spacing w:val="-15"/>
        </w:rPr>
        <w:t> </w:t>
      </w:r>
      <w:r>
        <w:rPr/>
        <w:t>considering</w:t>
      </w:r>
      <w:r>
        <w:rPr>
          <w:spacing w:val="-6"/>
        </w:rPr>
        <w:t> </w:t>
      </w:r>
      <w:r>
        <w:rPr/>
        <w:t>the financial return, social impact, and risk dimensions of</w:t>
      </w:r>
      <w:r>
        <w:rPr>
          <w:spacing w:val="-11"/>
        </w:rPr>
        <w:t> </w:t>
      </w:r>
      <w:r>
        <w:rPr/>
        <w:t>an investment project, as</w:t>
      </w:r>
      <w:r>
        <w:rPr>
          <w:spacing w:val="-10"/>
        </w:rPr>
        <w:t> </w:t>
      </w:r>
      <w:r>
        <w:rPr/>
        <w:t>well as</w:t>
      </w:r>
      <w:r>
        <w:rPr>
          <w:spacing w:val="-10"/>
        </w:rPr>
        <w:t> </w:t>
      </w:r>
      <w:r>
        <w:rPr/>
        <w:t>using qualitative</w:t>
      </w:r>
      <w:r>
        <w:rPr>
          <w:spacing w:val="16"/>
        </w:rPr>
        <w:t> </w:t>
      </w:r>
      <w:r>
        <w:rPr/>
        <w:t>data to</w:t>
      </w:r>
      <w:r>
        <w:rPr>
          <w:spacing w:val="3"/>
        </w:rPr>
        <w:t> </w:t>
      </w:r>
      <w:r>
        <w:rPr/>
        <w:t>supplement</w:t>
      </w:r>
      <w:r>
        <w:rPr>
          <w:spacing w:val="11"/>
        </w:rPr>
        <w:t> </w:t>
      </w:r>
      <w:r>
        <w:rPr/>
        <w:t>quantitative data</w:t>
      </w:r>
      <w:r>
        <w:rPr>
          <w:spacing w:val="10"/>
        </w:rPr>
        <w:t> </w:t>
      </w:r>
      <w:r>
        <w:rPr/>
        <w:t>(King,</w:t>
      </w:r>
      <w:r>
        <w:rPr>
          <w:spacing w:val="3"/>
        </w:rPr>
        <w:t> </w:t>
      </w:r>
      <w:r>
        <w:rPr/>
        <w:t>2017;</w:t>
      </w:r>
      <w:r>
        <w:rPr>
          <w:spacing w:val="-5"/>
        </w:rPr>
        <w:t> </w:t>
      </w:r>
      <w:r>
        <w:rPr/>
        <w:t>Brandstetter</w:t>
      </w:r>
      <w:r>
        <w:rPr>
          <w:spacing w:val="-4"/>
        </w:rPr>
        <w:t> </w:t>
      </w:r>
      <w:r>
        <w:rPr/>
        <w:t>and</w:t>
      </w:r>
      <w:r>
        <w:rPr>
          <w:spacing w:val="17"/>
        </w:rPr>
        <w:t> </w:t>
      </w:r>
      <w:r>
        <w:rPr/>
        <w:t>Lehner,</w:t>
      </w:r>
      <w:r>
        <w:rPr>
          <w:spacing w:val="3"/>
        </w:rPr>
        <w:t> </w:t>
      </w:r>
      <w:r>
        <w:rPr>
          <w:spacing w:val="-2"/>
        </w:rPr>
        <w:t>2015).</w:t>
      </w:r>
    </w:p>
    <w:p>
      <w:pPr>
        <w:pStyle w:val="BodyText"/>
        <w:spacing w:line="477" w:lineRule="auto" w:before="192"/>
        <w:ind w:right="127"/>
      </w:pPr>
      <w:r>
        <w:rPr/>
        <w:t>Another stream of research highlights the roles that impact evaluation plays in impact investing. It shows that, in an investor–investee relationship, although impact evaluation primarily serves as an accountability mechanism, at times, it also plays several other roles, including legitimacy building, organizational learning, strategy, and marketing (Ormiston, 2019; Glänzel and Scheuerle, 2016; Phillips and Johnson, 2021).</w:t>
      </w:r>
      <w:r>
        <w:rPr/>
        <w:t> However,</w:t>
      </w:r>
      <w:r>
        <w:rPr>
          <w:spacing w:val="-5"/>
        </w:rPr>
        <w:t> </w:t>
      </w:r>
      <w:r>
        <w:rPr/>
        <w:t>the specific role that</w:t>
      </w:r>
      <w:r>
        <w:rPr>
          <w:spacing w:val="-15"/>
        </w:rPr>
        <w:t> </w:t>
      </w:r>
      <w:r>
        <w:rPr/>
        <w:t>impact</w:t>
      </w:r>
      <w:r>
        <w:rPr>
          <w:spacing w:val="-15"/>
        </w:rPr>
        <w:t> </w:t>
      </w:r>
      <w:r>
        <w:rPr/>
        <w:t>evaluation</w:t>
      </w:r>
      <w:r>
        <w:rPr>
          <w:spacing w:val="-15"/>
        </w:rPr>
        <w:t> </w:t>
      </w:r>
      <w:r>
        <w:rPr/>
        <w:t>plays</w:t>
      </w:r>
      <w:r>
        <w:rPr>
          <w:spacing w:val="-5"/>
        </w:rPr>
        <w:t> </w:t>
      </w:r>
      <w:r>
        <w:rPr/>
        <w:t>in</w:t>
      </w:r>
      <w:r>
        <w:rPr>
          <w:spacing w:val="-9"/>
        </w:rPr>
        <w:t> </w:t>
      </w:r>
      <w:r>
        <w:rPr/>
        <w:t>a</w:t>
      </w:r>
      <w:r>
        <w:rPr>
          <w:spacing w:val="-15"/>
        </w:rPr>
        <w:t> </w:t>
      </w:r>
      <w:r>
        <w:rPr/>
        <w:t>specific</w:t>
      </w:r>
      <w:r>
        <w:rPr>
          <w:spacing w:val="-10"/>
        </w:rPr>
        <w:t> </w:t>
      </w:r>
      <w:r>
        <w:rPr/>
        <w:t>context</w:t>
      </w:r>
      <w:r>
        <w:rPr>
          <w:spacing w:val="-11"/>
        </w:rPr>
        <w:t> </w:t>
      </w:r>
      <w:r>
        <w:rPr/>
        <w:t>may</w:t>
      </w:r>
      <w:r>
        <w:rPr>
          <w:spacing w:val="-9"/>
        </w:rPr>
        <w:t> </w:t>
      </w:r>
      <w:r>
        <w:rPr/>
        <w:t>change</w:t>
      </w:r>
      <w:r>
        <w:rPr>
          <w:spacing w:val="-10"/>
        </w:rPr>
        <w:t> </w:t>
      </w:r>
      <w:r>
        <w:rPr/>
        <w:t>over</w:t>
      </w:r>
      <w:r>
        <w:rPr>
          <w:spacing w:val="-15"/>
        </w:rPr>
        <w:t> </w:t>
      </w:r>
      <w:r>
        <w:rPr/>
        <w:t>time</w:t>
      </w:r>
      <w:r>
        <w:rPr>
          <w:spacing w:val="-7"/>
        </w:rPr>
        <w:t> </w:t>
      </w:r>
      <w:r>
        <w:rPr/>
        <w:t>(Lall, 2019;</w:t>
      </w:r>
      <w:r>
        <w:rPr>
          <w:spacing w:val="-15"/>
        </w:rPr>
        <w:t> </w:t>
      </w:r>
      <w:r>
        <w:rPr/>
        <w:t>Mayer</w:t>
      </w:r>
      <w:r>
        <w:rPr>
          <w:spacing w:val="-14"/>
        </w:rPr>
        <w:t> </w:t>
      </w:r>
      <w:r>
        <w:rPr/>
        <w:t>and Scheck, 2018). This research also highlights the challenges around rigorously conducting impact</w:t>
      </w:r>
      <w:r>
        <w:rPr>
          <w:spacing w:val="-15"/>
        </w:rPr>
        <w:t> </w:t>
      </w:r>
      <w:r>
        <w:rPr/>
        <w:t>evaluation</w:t>
      </w:r>
      <w:r>
        <w:rPr>
          <w:spacing w:val="-12"/>
        </w:rPr>
        <w:t> </w:t>
      </w:r>
      <w:r>
        <w:rPr/>
        <w:t>and</w:t>
      </w:r>
      <w:r>
        <w:rPr>
          <w:spacing w:val="-7"/>
        </w:rPr>
        <w:t> </w:t>
      </w:r>
      <w:r>
        <w:rPr/>
        <w:t>suggests</w:t>
      </w:r>
      <w:r>
        <w:rPr>
          <w:spacing w:val="-15"/>
        </w:rPr>
        <w:t> </w:t>
      </w:r>
      <w:r>
        <w:rPr/>
        <w:t>possible strategies</w:t>
      </w:r>
      <w:r>
        <w:rPr>
          <w:spacing w:val="-10"/>
        </w:rPr>
        <w:t> </w:t>
      </w:r>
      <w:r>
        <w:rPr/>
        <w:t>to</w:t>
      </w:r>
      <w:r>
        <w:rPr>
          <w:spacing w:val="-15"/>
        </w:rPr>
        <w:t> </w:t>
      </w:r>
      <w:r>
        <w:rPr/>
        <w:t>tackle</w:t>
      </w:r>
      <w:r>
        <w:rPr>
          <w:spacing w:val="-8"/>
        </w:rPr>
        <w:t> </w:t>
      </w:r>
      <w:r>
        <w:rPr/>
        <w:t>them</w:t>
      </w:r>
      <w:r>
        <w:rPr>
          <w:spacing w:val="-15"/>
        </w:rPr>
        <w:t> </w:t>
      </w:r>
      <w:r>
        <w:rPr/>
        <w:t>(Reeder</w:t>
      </w:r>
      <w:r>
        <w:rPr>
          <w:spacing w:val="-15"/>
        </w:rPr>
        <w:t> </w:t>
      </w:r>
      <w:r>
        <w:rPr>
          <w:i/>
        </w:rPr>
        <w:t>et</w:t>
      </w:r>
      <w:r>
        <w:rPr>
          <w:i/>
          <w:spacing w:val="-13"/>
        </w:rPr>
        <w:t> </w:t>
      </w:r>
      <w:r>
        <w:rPr>
          <w:i/>
        </w:rPr>
        <w:t>al.</w:t>
      </w:r>
      <w:r>
        <w:rPr/>
        <w:t>,</w:t>
      </w:r>
      <w:r>
        <w:rPr>
          <w:spacing w:val="-7"/>
        </w:rPr>
        <w:t> </w:t>
      </w:r>
      <w:r>
        <w:rPr/>
        <w:t>2015;</w:t>
      </w:r>
      <w:r>
        <w:rPr>
          <w:spacing w:val="-13"/>
        </w:rPr>
        <w:t> </w:t>
      </w:r>
      <w:r>
        <w:rPr/>
        <w:t>Ebrahim and Rangan, 2014).</w:t>
      </w:r>
    </w:p>
    <w:p>
      <w:pPr>
        <w:pStyle w:val="BodyText"/>
        <w:spacing w:line="480" w:lineRule="auto" w:before="176"/>
        <w:ind w:right="129"/>
      </w:pPr>
      <w:r>
        <w:rPr/>
        <w:t>Prior</w:t>
      </w:r>
      <w:r>
        <w:rPr/>
        <w:t> research has also investigated the behavioral issues in impact investing. This research provides insights into how private investors’ age (i.e., younger versus older investors)</w:t>
      </w:r>
      <w:r>
        <w:rPr/>
        <w:t> and attributes of investment products (e.g., the trade-off between financial returns and social impact) influence impact investment behavior (Schrötgens and Boenigk, 2017; Apostolakis van Dijk Blomme </w:t>
      </w:r>
      <w:r>
        <w:rPr>
          <w:i/>
        </w:rPr>
        <w:t>et al.</w:t>
      </w:r>
      <w:r>
        <w:rPr/>
        <w:t>, 2018).</w:t>
      </w:r>
    </w:p>
    <w:p>
      <w:pPr>
        <w:spacing w:after="0" w:line="480" w:lineRule="auto"/>
        <w:sectPr>
          <w:pgSz w:w="11910" w:h="16850"/>
          <w:pgMar w:header="0" w:footer="1005" w:top="1380" w:bottom="1200" w:left="1340" w:right="1300"/>
        </w:sectPr>
      </w:pPr>
    </w:p>
    <w:p>
      <w:pPr>
        <w:pStyle w:val="BodyText"/>
        <w:spacing w:line="477" w:lineRule="auto" w:before="72"/>
        <w:ind w:right="126"/>
      </w:pPr>
      <w:r>
        <w:rPr/>
        <w:t>More</w:t>
      </w:r>
      <w:r>
        <w:rPr/>
        <w:t> recent</w:t>
      </w:r>
      <w:r>
        <w:rPr/>
        <w:t> research has explored issues around the impact investors’ responses to the COVID-19 pandemic</w:t>
      </w:r>
      <w:r>
        <w:rPr/>
        <w:t> (Islam and Habib, 2022), factors influencing the impact investment behavior (Schrötgens and Boenigk, 2017; Apostolakis van Dijk Blomme </w:t>
      </w:r>
      <w:r>
        <w:rPr>
          <w:i/>
        </w:rPr>
        <w:t>et al.</w:t>
      </w:r>
      <w:r>
        <w:rPr/>
        <w:t>, 2018), managerial compensation in impact investing (Thirion </w:t>
      </w:r>
      <w:r>
        <w:rPr>
          <w:i/>
        </w:rPr>
        <w:t>et al.</w:t>
      </w:r>
      <w:r>
        <w:rPr/>
        <w:t>, 2022), control mechanisms to manage impact risk in impact investing (Islam, 2022b), and managing multiple identities in impact investing (Smith </w:t>
      </w:r>
      <w:r>
        <w:rPr>
          <w:i/>
        </w:rPr>
        <w:t>et al.</w:t>
      </w:r>
      <w:r>
        <w:rPr/>
        <w:t>, 2022).</w:t>
      </w:r>
    </w:p>
    <w:p>
      <w:pPr>
        <w:pStyle w:val="BodyText"/>
        <w:spacing w:line="477" w:lineRule="auto" w:before="173"/>
        <w:ind w:right="126"/>
      </w:pPr>
      <w:r>
        <w:rPr/>
        <w:t>Although</w:t>
      </w:r>
      <w:r>
        <w:rPr>
          <w:spacing w:val="-5"/>
        </w:rPr>
        <w:t> </w:t>
      </w:r>
      <w:r>
        <w:rPr/>
        <w:t>the above literature provides useful insights into several areas in impact investing, the</w:t>
      </w:r>
      <w:r>
        <w:rPr>
          <w:spacing w:val="-15"/>
        </w:rPr>
        <w:t> </w:t>
      </w:r>
      <w:r>
        <w:rPr/>
        <w:t>availability</w:t>
      </w:r>
      <w:r>
        <w:rPr>
          <w:spacing w:val="-2"/>
        </w:rPr>
        <w:t> </w:t>
      </w:r>
      <w:r>
        <w:rPr/>
        <w:t>of</w:t>
      </w:r>
      <w:r>
        <w:rPr>
          <w:spacing w:val="-7"/>
        </w:rPr>
        <w:t> </w:t>
      </w:r>
      <w:r>
        <w:rPr/>
        <w:t>investment</w:t>
      </w:r>
      <w:r>
        <w:rPr>
          <w:spacing w:val="-12"/>
        </w:rPr>
        <w:t> </w:t>
      </w:r>
      <w:r>
        <w:rPr/>
        <w:t>opportunities</w:t>
      </w:r>
      <w:r>
        <w:rPr>
          <w:spacing w:val="-10"/>
        </w:rPr>
        <w:t> </w:t>
      </w:r>
      <w:r>
        <w:rPr/>
        <w:t>to</w:t>
      </w:r>
      <w:r>
        <w:rPr>
          <w:spacing w:val="-15"/>
        </w:rPr>
        <w:t> </w:t>
      </w:r>
      <w:r>
        <w:rPr/>
        <w:t>impact</w:t>
      </w:r>
      <w:r>
        <w:rPr>
          <w:spacing w:val="16"/>
        </w:rPr>
        <w:t> </w:t>
      </w:r>
      <w:r>
        <w:rPr/>
        <w:t>investors</w:t>
      </w:r>
      <w:r>
        <w:rPr>
          <w:spacing w:val="-10"/>
        </w:rPr>
        <w:t> </w:t>
      </w:r>
      <w:r>
        <w:rPr/>
        <w:t>to</w:t>
      </w:r>
      <w:r>
        <w:rPr>
          <w:spacing w:val="-15"/>
        </w:rPr>
        <w:t> </w:t>
      </w:r>
      <w:r>
        <w:rPr/>
        <w:t>contribute</w:t>
      </w:r>
      <w:r>
        <w:rPr>
          <w:spacing w:val="-15"/>
        </w:rPr>
        <w:t> </w:t>
      </w:r>
      <w:r>
        <w:rPr/>
        <w:t>to</w:t>
      </w:r>
      <w:r>
        <w:rPr>
          <w:spacing w:val="-15"/>
        </w:rPr>
        <w:t> </w:t>
      </w:r>
      <w:r>
        <w:rPr/>
        <w:t>SDGs</w:t>
      </w:r>
      <w:r>
        <w:rPr>
          <w:spacing w:val="-3"/>
        </w:rPr>
        <w:t> </w:t>
      </w:r>
      <w:r>
        <w:rPr/>
        <w:t>is</w:t>
      </w:r>
      <w:r>
        <w:rPr>
          <w:spacing w:val="-10"/>
        </w:rPr>
        <w:t> </w:t>
      </w:r>
      <w:r>
        <w:rPr/>
        <w:t>mostly underexplored.</w:t>
      </w:r>
      <w:r>
        <w:rPr>
          <w:spacing w:val="-4"/>
        </w:rPr>
        <w:t> </w:t>
      </w:r>
      <w:r>
        <w:rPr/>
        <w:t>The current study</w:t>
      </w:r>
      <w:r>
        <w:rPr>
          <w:spacing w:val="-15"/>
        </w:rPr>
        <w:t> </w:t>
      </w:r>
      <w:r>
        <w:rPr/>
        <w:t>aims to contribute to</w:t>
      </w:r>
      <w:r>
        <w:rPr>
          <w:spacing w:val="-2"/>
        </w:rPr>
        <w:t> </w:t>
      </w:r>
      <w:r>
        <w:rPr/>
        <w:t>this knowledge</w:t>
      </w:r>
      <w:r>
        <w:rPr>
          <w:spacing w:val="-4"/>
        </w:rPr>
        <w:t> </w:t>
      </w:r>
      <w:r>
        <w:rPr/>
        <w:t>gap by examining the linkage between available impact investment deals and SDGs.</w:t>
      </w:r>
    </w:p>
    <w:p>
      <w:pPr>
        <w:pStyle w:val="BodyText"/>
        <w:spacing w:before="9"/>
        <w:ind w:left="0"/>
        <w:jc w:val="left"/>
        <w:rPr>
          <w:sz w:val="21"/>
        </w:rPr>
      </w:pPr>
    </w:p>
    <w:p>
      <w:pPr>
        <w:pStyle w:val="Heading1"/>
        <w:numPr>
          <w:ilvl w:val="0"/>
          <w:numId w:val="1"/>
        </w:numPr>
        <w:tabs>
          <w:tab w:pos="342" w:val="left" w:leader="none"/>
        </w:tabs>
        <w:spacing w:line="240" w:lineRule="auto" w:before="0" w:after="0"/>
        <w:ind w:left="342" w:right="0" w:hanging="241"/>
        <w:jc w:val="both"/>
      </w:pPr>
      <w:r>
        <w:rPr/>
        <w:t>Data</w:t>
      </w:r>
      <w:r>
        <w:rPr>
          <w:spacing w:val="-5"/>
        </w:rPr>
        <w:t> </w:t>
      </w:r>
      <w:r>
        <w:rPr/>
        <w:t>and</w:t>
      </w:r>
      <w:r>
        <w:rPr>
          <w:spacing w:val="-3"/>
        </w:rPr>
        <w:t> </w:t>
      </w:r>
      <w:r>
        <w:rPr>
          <w:spacing w:val="-2"/>
        </w:rPr>
        <w:t>methods</w:t>
      </w:r>
    </w:p>
    <w:p>
      <w:pPr>
        <w:pStyle w:val="BodyText"/>
        <w:spacing w:before="3"/>
        <w:ind w:left="0"/>
        <w:jc w:val="left"/>
        <w:rPr>
          <w:b/>
        </w:rPr>
      </w:pPr>
    </w:p>
    <w:p>
      <w:pPr>
        <w:pStyle w:val="BodyText"/>
        <w:spacing w:line="480" w:lineRule="auto" w:before="1"/>
        <w:ind w:right="120"/>
      </w:pPr>
      <w:r>
        <w:rPr/>
        <w:t>The data</w:t>
      </w:r>
      <w:r>
        <w:rPr>
          <w:spacing w:val="-15"/>
        </w:rPr>
        <w:t> </w:t>
      </w:r>
      <w:r>
        <w:rPr/>
        <w:t>for</w:t>
      </w:r>
      <w:r>
        <w:rPr>
          <w:spacing w:val="-9"/>
        </w:rPr>
        <w:t> </w:t>
      </w:r>
      <w:r>
        <w:rPr/>
        <w:t>this study</w:t>
      </w:r>
      <w:r>
        <w:rPr>
          <w:spacing w:val="-15"/>
        </w:rPr>
        <w:t> </w:t>
      </w:r>
      <w:r>
        <w:rPr/>
        <w:t>were</w:t>
      </w:r>
      <w:r>
        <w:rPr>
          <w:spacing w:val="-5"/>
        </w:rPr>
        <w:t> </w:t>
      </w:r>
      <w:r>
        <w:rPr/>
        <w:t>collected from</w:t>
      </w:r>
      <w:r>
        <w:rPr>
          <w:spacing w:val="-10"/>
        </w:rPr>
        <w:t> </w:t>
      </w:r>
      <w:r>
        <w:rPr/>
        <w:t>various sources. First, because impact investment activities</w:t>
      </w:r>
      <w:r>
        <w:rPr>
          <w:spacing w:val="-12"/>
        </w:rPr>
        <w:t> </w:t>
      </w:r>
      <w:r>
        <w:rPr/>
        <w:t>mainly</w:t>
      </w:r>
      <w:r>
        <w:rPr>
          <w:spacing w:val="17"/>
        </w:rPr>
        <w:t> </w:t>
      </w:r>
      <w:r>
        <w:rPr/>
        <w:t>occur</w:t>
      </w:r>
      <w:r>
        <w:rPr>
          <w:spacing w:val="-14"/>
        </w:rPr>
        <w:t> </w:t>
      </w:r>
      <w:r>
        <w:rPr/>
        <w:t>in</w:t>
      </w:r>
      <w:r>
        <w:rPr>
          <w:spacing w:val="-8"/>
        </w:rPr>
        <w:t> </w:t>
      </w:r>
      <w:r>
        <w:rPr/>
        <w:t>private</w:t>
      </w:r>
      <w:r>
        <w:rPr>
          <w:spacing w:val="-10"/>
        </w:rPr>
        <w:t> </w:t>
      </w:r>
      <w:r>
        <w:rPr/>
        <w:t>(rather than</w:t>
      </w:r>
      <w:r>
        <w:rPr>
          <w:spacing w:val="-14"/>
        </w:rPr>
        <w:t> </w:t>
      </w:r>
      <w:r>
        <w:rPr/>
        <w:t>public) markets</w:t>
      </w:r>
      <w:r>
        <w:rPr>
          <w:spacing w:val="-12"/>
        </w:rPr>
        <w:t> </w:t>
      </w:r>
      <w:r>
        <w:rPr/>
        <w:t>(Mudaliar </w:t>
      </w:r>
      <w:r>
        <w:rPr>
          <w:i/>
        </w:rPr>
        <w:t>et</w:t>
      </w:r>
      <w:r>
        <w:rPr>
          <w:i/>
          <w:spacing w:val="-14"/>
        </w:rPr>
        <w:t> </w:t>
      </w:r>
      <w:r>
        <w:rPr>
          <w:i/>
        </w:rPr>
        <w:t>al.</w:t>
      </w:r>
      <w:r>
        <w:rPr/>
        <w:t>,</w:t>
      </w:r>
      <w:r>
        <w:rPr>
          <w:spacing w:val="-8"/>
        </w:rPr>
        <w:t> </w:t>
      </w:r>
      <w:r>
        <w:rPr/>
        <w:t>2019;</w:t>
      </w:r>
      <w:r>
        <w:rPr>
          <w:spacing w:val="-14"/>
        </w:rPr>
        <w:t> </w:t>
      </w:r>
      <w:r>
        <w:rPr/>
        <w:t>Brest</w:t>
      </w:r>
      <w:r>
        <w:rPr>
          <w:spacing w:val="-1"/>
        </w:rPr>
        <w:t> </w:t>
      </w:r>
      <w:r>
        <w:rPr/>
        <w:t>and Born, 2013), data availability is a major challenge in studying issues around impact investments, especially</w:t>
      </w:r>
      <w:r>
        <w:rPr>
          <w:spacing w:val="33"/>
        </w:rPr>
        <w:t> </w:t>
      </w:r>
      <w:r>
        <w:rPr/>
        <w:t>impact investment deals.</w:t>
      </w:r>
      <w:r>
        <w:rPr>
          <w:spacing w:val="-7"/>
        </w:rPr>
        <w:t> </w:t>
      </w:r>
      <w:r>
        <w:rPr/>
        <w:t>However, a</w:t>
      </w:r>
      <w:r>
        <w:rPr>
          <w:spacing w:val="-9"/>
        </w:rPr>
        <w:t> </w:t>
      </w:r>
      <w:r>
        <w:rPr/>
        <w:t>unique opportunity</w:t>
      </w:r>
      <w:r>
        <w:rPr>
          <w:spacing w:val="-7"/>
        </w:rPr>
        <w:t> </w:t>
      </w:r>
      <w:r>
        <w:rPr/>
        <w:t>arose when, in 2019, the US-based Village Capital – one of the world’s largest organizations supporting impact-driven, early-stage startups – launched a digital platform named </w:t>
      </w:r>
      <w:r>
        <w:rPr>
          <w:i/>
        </w:rPr>
        <w:t>Abaca </w:t>
      </w:r>
      <w:r>
        <w:rPr/>
        <w:t>to connect impact-driven organizations with impact investors.</w:t>
      </w:r>
      <w:r>
        <w:rPr>
          <w:position w:val="7"/>
          <w:sz w:val="16"/>
        </w:rPr>
        <w:t>2</w:t>
      </w:r>
      <w:r>
        <w:rPr>
          <w:spacing w:val="40"/>
          <w:position w:val="7"/>
          <w:sz w:val="16"/>
        </w:rPr>
        <w:t> </w:t>
      </w:r>
      <w:r>
        <w:rPr/>
        <w:t>On the one hand, Abaca helps impact- driven</w:t>
      </w:r>
      <w:r>
        <w:rPr>
          <w:spacing w:val="-15"/>
        </w:rPr>
        <w:t> </w:t>
      </w:r>
      <w:r>
        <w:rPr/>
        <w:t>organizations</w:t>
      </w:r>
      <w:r>
        <w:rPr>
          <w:spacing w:val="-13"/>
        </w:rPr>
        <w:t> </w:t>
      </w:r>
      <w:r>
        <w:rPr/>
        <w:t>to</w:t>
      </w:r>
      <w:r>
        <w:rPr>
          <w:spacing w:val="-6"/>
        </w:rPr>
        <w:t> </w:t>
      </w:r>
      <w:r>
        <w:rPr/>
        <w:t>raise</w:t>
      </w:r>
      <w:r>
        <w:rPr>
          <w:spacing w:val="-8"/>
        </w:rPr>
        <w:t> </w:t>
      </w:r>
      <w:r>
        <w:rPr/>
        <w:t>capital by</w:t>
      </w:r>
      <w:r>
        <w:rPr>
          <w:spacing w:val="-15"/>
        </w:rPr>
        <w:t> </w:t>
      </w:r>
      <w:r>
        <w:rPr/>
        <w:t>assessing</w:t>
      </w:r>
      <w:r>
        <w:rPr>
          <w:spacing w:val="20"/>
        </w:rPr>
        <w:t> </w:t>
      </w:r>
      <w:r>
        <w:rPr/>
        <w:t>their</w:t>
      </w:r>
      <w:r>
        <w:rPr>
          <w:spacing w:val="-12"/>
        </w:rPr>
        <w:t> </w:t>
      </w:r>
      <w:r>
        <w:rPr/>
        <w:t>strengths</w:t>
      </w:r>
      <w:r>
        <w:rPr>
          <w:spacing w:val="-15"/>
        </w:rPr>
        <w:t> </w:t>
      </w:r>
      <w:r>
        <w:rPr/>
        <w:t>and</w:t>
      </w:r>
      <w:r>
        <w:rPr>
          <w:spacing w:val="-7"/>
        </w:rPr>
        <w:t> </w:t>
      </w:r>
      <w:r>
        <w:rPr/>
        <w:t>weaknesses</w:t>
      </w:r>
      <w:r>
        <w:rPr>
          <w:spacing w:val="-10"/>
        </w:rPr>
        <w:t> </w:t>
      </w:r>
      <w:r>
        <w:rPr/>
        <w:t>and</w:t>
      </w:r>
      <w:r>
        <w:rPr>
          <w:spacing w:val="-7"/>
        </w:rPr>
        <w:t> </w:t>
      </w:r>
      <w:r>
        <w:rPr/>
        <w:t>providing them with a common language to communicate with investors. On the other hand, it assists impact investors in finding suitable investment deals (i.e., impact-driven companies with preferred characteristics)</w:t>
      </w:r>
      <w:r>
        <w:rPr/>
        <w:t> and</w:t>
      </w:r>
      <w:r>
        <w:rPr/>
        <w:t> finding</w:t>
      </w:r>
      <w:r>
        <w:rPr/>
        <w:t> potential</w:t>
      </w:r>
      <w:r>
        <w:rPr/>
        <w:t> co-investors to pursue an investment deal </w:t>
      </w:r>
      <w:r>
        <w:rPr>
          <w:spacing w:val="-2"/>
        </w:rPr>
        <w:t>jointly.</w:t>
      </w:r>
    </w:p>
    <w:p>
      <w:pPr>
        <w:pStyle w:val="BodyText"/>
        <w:ind w:left="0"/>
        <w:jc w:val="left"/>
        <w:rPr>
          <w:sz w:val="20"/>
        </w:rPr>
      </w:pPr>
    </w:p>
    <w:p>
      <w:pPr>
        <w:pStyle w:val="BodyText"/>
        <w:spacing w:before="11"/>
        <w:ind w:left="0"/>
        <w:jc w:val="left"/>
        <w:rPr>
          <w:sz w:val="21"/>
        </w:rPr>
      </w:pPr>
      <w:r>
        <w:rPr/>
        <w:pict>
          <v:rect style="position:absolute;margin-left:72.099998pt;margin-top:13.835791pt;width:144.18pt;height:.75pt;mso-position-horizontal-relative:page;mso-position-vertical-relative:paragraph;z-index:-15728128;mso-wrap-distance-left:0;mso-wrap-distance-right:0" id="docshape3" filled="true" fillcolor="#000000" stroked="false">
            <v:fill type="solid"/>
            <w10:wrap type="topAndBottom"/>
          </v:rect>
        </w:pict>
      </w:r>
    </w:p>
    <w:p>
      <w:pPr>
        <w:spacing w:before="103"/>
        <w:ind w:left="101" w:right="0" w:firstLine="0"/>
        <w:jc w:val="left"/>
        <w:rPr>
          <w:sz w:val="19"/>
        </w:rPr>
      </w:pPr>
      <w:r>
        <w:rPr>
          <w:w w:val="105"/>
          <w:position w:val="6"/>
          <w:sz w:val="13"/>
        </w:rPr>
        <w:t>2</w:t>
      </w:r>
      <w:r>
        <w:rPr>
          <w:spacing w:val="16"/>
          <w:w w:val="105"/>
          <w:position w:val="6"/>
          <w:sz w:val="13"/>
        </w:rPr>
        <w:t> </w:t>
      </w:r>
      <w:r>
        <w:rPr>
          <w:spacing w:val="-2"/>
          <w:w w:val="105"/>
          <w:sz w:val="19"/>
        </w:rPr>
        <w:t>https://abaca.app/about</w:t>
      </w:r>
    </w:p>
    <w:p>
      <w:pPr>
        <w:spacing w:after="0"/>
        <w:jc w:val="left"/>
        <w:rPr>
          <w:sz w:val="19"/>
        </w:rPr>
        <w:sectPr>
          <w:pgSz w:w="11910" w:h="16850"/>
          <w:pgMar w:header="0" w:footer="1005" w:top="1380" w:bottom="1200" w:left="1340" w:right="1300"/>
        </w:sectPr>
      </w:pPr>
    </w:p>
    <w:p>
      <w:pPr>
        <w:pStyle w:val="BodyText"/>
        <w:spacing w:line="480" w:lineRule="auto" w:before="72"/>
        <w:ind w:right="129"/>
      </w:pPr>
      <w:r>
        <w:rPr/>
        <w:t>During the data</w:t>
      </w:r>
      <w:r>
        <w:rPr>
          <w:spacing w:val="-6"/>
        </w:rPr>
        <w:t> </w:t>
      </w:r>
      <w:r>
        <w:rPr/>
        <w:t>collection period, Abaca’s platform had 292 available investment deals. We manually collected the following data for all the 292 investment deals: names of investee companies underlying investment deals, their operating countries, and their product/service offerings</w:t>
      </w:r>
      <w:r>
        <w:rPr>
          <w:spacing w:val="-15"/>
        </w:rPr>
        <w:t> </w:t>
      </w:r>
      <w:r>
        <w:rPr/>
        <w:t>and</w:t>
      </w:r>
      <w:r>
        <w:rPr>
          <w:spacing w:val="-15"/>
        </w:rPr>
        <w:t> </w:t>
      </w:r>
      <w:r>
        <w:rPr/>
        <w:t>potential</w:t>
      </w:r>
      <w:r>
        <w:rPr>
          <w:spacing w:val="-15"/>
        </w:rPr>
        <w:t> </w:t>
      </w:r>
      <w:r>
        <w:rPr/>
        <w:t>impact.</w:t>
      </w:r>
      <w:r>
        <w:rPr>
          <w:spacing w:val="-15"/>
        </w:rPr>
        <w:t> </w:t>
      </w:r>
      <w:r>
        <w:rPr/>
        <w:t>The</w:t>
      </w:r>
      <w:r>
        <w:rPr>
          <w:spacing w:val="-15"/>
        </w:rPr>
        <w:t> </w:t>
      </w:r>
      <w:r>
        <w:rPr/>
        <w:t>investee</w:t>
      </w:r>
      <w:r>
        <w:rPr>
          <w:spacing w:val="-14"/>
        </w:rPr>
        <w:t> </w:t>
      </w:r>
      <w:r>
        <w:rPr/>
        <w:t>companies</w:t>
      </w:r>
      <w:r>
        <w:rPr>
          <w:spacing w:val="-10"/>
        </w:rPr>
        <w:t> </w:t>
      </w:r>
      <w:r>
        <w:rPr/>
        <w:t>underlying</w:t>
      </w:r>
      <w:r>
        <w:rPr>
          <w:spacing w:val="-7"/>
        </w:rPr>
        <w:t> </w:t>
      </w:r>
      <w:r>
        <w:rPr/>
        <w:t>investment</w:t>
      </w:r>
      <w:r>
        <w:rPr>
          <w:spacing w:val="-14"/>
        </w:rPr>
        <w:t> </w:t>
      </w:r>
      <w:r>
        <w:rPr/>
        <w:t>deals</w:t>
      </w:r>
      <w:r>
        <w:rPr>
          <w:spacing w:val="-11"/>
        </w:rPr>
        <w:t> </w:t>
      </w:r>
      <w:r>
        <w:rPr/>
        <w:t>are</w:t>
      </w:r>
      <w:r>
        <w:rPr>
          <w:spacing w:val="-15"/>
        </w:rPr>
        <w:t> </w:t>
      </w:r>
      <w:r>
        <w:rPr/>
        <w:t>mostly impact-driven micro, small, and medium enterprises (MSMEs), not listed in stock exchange markets. Thus, investment deals available on Abaca’s platform represent typical investment deals</w:t>
      </w:r>
      <w:r>
        <w:rPr>
          <w:spacing w:val="-15"/>
        </w:rPr>
        <w:t> </w:t>
      </w:r>
      <w:r>
        <w:rPr/>
        <w:t>in the</w:t>
      </w:r>
      <w:r>
        <w:rPr>
          <w:spacing w:val="-15"/>
        </w:rPr>
        <w:t> </w:t>
      </w:r>
      <w:r>
        <w:rPr/>
        <w:t>impact investing market,</w:t>
      </w:r>
      <w:r>
        <w:rPr>
          <w:spacing w:val="-7"/>
        </w:rPr>
        <w:t> </w:t>
      </w:r>
      <w:r>
        <w:rPr/>
        <w:t>as commonly espoused</w:t>
      </w:r>
      <w:r>
        <w:rPr>
          <w:spacing w:val="-9"/>
        </w:rPr>
        <w:t> </w:t>
      </w:r>
      <w:r>
        <w:rPr/>
        <w:t>in the</w:t>
      </w:r>
      <w:r>
        <w:rPr>
          <w:spacing w:val="-10"/>
        </w:rPr>
        <w:t> </w:t>
      </w:r>
      <w:r>
        <w:rPr/>
        <w:t>impact</w:t>
      </w:r>
      <w:r>
        <w:rPr>
          <w:spacing w:val="-1"/>
        </w:rPr>
        <w:t> </w:t>
      </w:r>
      <w:r>
        <w:rPr/>
        <w:t>investing literature (see Bannick </w:t>
      </w:r>
      <w:r>
        <w:rPr>
          <w:i/>
        </w:rPr>
        <w:t>et al.</w:t>
      </w:r>
      <w:r>
        <w:rPr/>
        <w:t>, 2017; Phillips and Johnson, 2021).</w:t>
      </w:r>
    </w:p>
    <w:p>
      <w:pPr>
        <w:pStyle w:val="BodyText"/>
        <w:spacing w:line="477" w:lineRule="auto" w:before="164"/>
        <w:ind w:right="142"/>
      </w:pPr>
      <w:r>
        <w:rPr/>
        <w:t>Next,</w:t>
      </w:r>
      <w:r>
        <w:rPr>
          <w:spacing w:val="-2"/>
        </w:rPr>
        <w:t> </w:t>
      </w:r>
      <w:r>
        <w:rPr/>
        <w:t>we validated the accuracy of the data</w:t>
      </w:r>
      <w:r>
        <w:rPr>
          <w:spacing w:val="-15"/>
        </w:rPr>
        <w:t> </w:t>
      </w:r>
      <w:r>
        <w:rPr/>
        <w:t>collected from Abaca’s platform by visiting the official website and/or social media pages of investee companies underlying the investment </w:t>
      </w:r>
      <w:r>
        <w:rPr>
          <w:spacing w:val="-2"/>
        </w:rPr>
        <w:t>deals.</w:t>
      </w:r>
    </w:p>
    <w:p>
      <w:pPr>
        <w:pStyle w:val="BodyText"/>
        <w:spacing w:line="475" w:lineRule="auto" w:before="168"/>
        <w:ind w:right="132"/>
      </w:pPr>
      <w:r>
        <w:rPr/>
        <w:t>Because the current study</w:t>
      </w:r>
      <w:r>
        <w:rPr>
          <w:spacing w:val="-5"/>
        </w:rPr>
        <w:t> </w:t>
      </w:r>
      <w:r>
        <w:rPr/>
        <w:t>aims to examine the linkage between</w:t>
      </w:r>
      <w:r>
        <w:rPr>
          <w:spacing w:val="-5"/>
        </w:rPr>
        <w:t> </w:t>
      </w:r>
      <w:r>
        <w:rPr/>
        <w:t>available impact investment deals</w:t>
      </w:r>
      <w:r>
        <w:rPr>
          <w:spacing w:val="-15"/>
        </w:rPr>
        <w:t> </w:t>
      </w:r>
      <w:r>
        <w:rPr/>
        <w:t>and</w:t>
      </w:r>
      <w:r>
        <w:rPr>
          <w:spacing w:val="-3"/>
        </w:rPr>
        <w:t> </w:t>
      </w:r>
      <w:r>
        <w:rPr/>
        <w:t>SDGs,</w:t>
      </w:r>
      <w:r>
        <w:rPr>
          <w:spacing w:val="-15"/>
        </w:rPr>
        <w:t> </w:t>
      </w:r>
      <w:r>
        <w:rPr/>
        <w:t>it</w:t>
      </w:r>
      <w:r>
        <w:rPr>
          <w:spacing w:val="-9"/>
        </w:rPr>
        <w:t> </w:t>
      </w:r>
      <w:r>
        <w:rPr/>
        <w:t>was</w:t>
      </w:r>
      <w:r>
        <w:rPr>
          <w:spacing w:val="-6"/>
        </w:rPr>
        <w:t> </w:t>
      </w:r>
      <w:r>
        <w:rPr/>
        <w:t>also necessary to</w:t>
      </w:r>
      <w:r>
        <w:rPr>
          <w:spacing w:val="-15"/>
        </w:rPr>
        <w:t> </w:t>
      </w:r>
      <w:r>
        <w:rPr/>
        <w:t>collect SDG-related</w:t>
      </w:r>
      <w:r>
        <w:rPr>
          <w:spacing w:val="-4"/>
        </w:rPr>
        <w:t> </w:t>
      </w:r>
      <w:r>
        <w:rPr/>
        <w:t>data.</w:t>
      </w:r>
      <w:r>
        <w:rPr>
          <w:spacing w:val="-15"/>
        </w:rPr>
        <w:t> </w:t>
      </w:r>
      <w:r>
        <w:rPr/>
        <w:t>Accordingly,</w:t>
      </w:r>
      <w:r>
        <w:rPr>
          <w:spacing w:val="-15"/>
        </w:rPr>
        <w:t> </w:t>
      </w:r>
      <w:r>
        <w:rPr/>
        <w:t>the</w:t>
      </w:r>
      <w:r>
        <w:rPr>
          <w:spacing w:val="-4"/>
        </w:rPr>
        <w:t> </w:t>
      </w:r>
      <w:r>
        <w:rPr/>
        <w:t>following data were manually</w:t>
      </w:r>
      <w:r>
        <w:rPr>
          <w:spacing w:val="40"/>
        </w:rPr>
        <w:t> </w:t>
      </w:r>
      <w:r>
        <w:rPr/>
        <w:t>collected from the official website</w:t>
      </w:r>
      <w:r>
        <w:rPr>
          <w:position w:val="7"/>
          <w:sz w:val="16"/>
        </w:rPr>
        <w:t>3</w:t>
      </w:r>
      <w:r>
        <w:rPr>
          <w:spacing w:val="40"/>
          <w:position w:val="7"/>
          <w:sz w:val="16"/>
        </w:rPr>
        <w:t> </w:t>
      </w:r>
      <w:r>
        <w:rPr/>
        <w:t>of the UN: the history of adopting SDGs, a brief overview of each of the 17 SDGs, and 169 targets across 17 SDGs.</w:t>
      </w:r>
    </w:p>
    <w:p>
      <w:pPr>
        <w:pStyle w:val="BodyText"/>
        <w:spacing w:line="482" w:lineRule="auto" w:before="187"/>
        <w:ind w:right="126"/>
      </w:pPr>
      <w:r>
        <w:rPr/>
        <w:t>Next,</w:t>
      </w:r>
      <w:r>
        <w:rPr>
          <w:spacing w:val="-2"/>
        </w:rPr>
        <w:t> </w:t>
      </w:r>
      <w:r>
        <w:rPr/>
        <w:t>we linked impact investment deals to SDGs.</w:t>
      </w:r>
      <w:r>
        <w:rPr>
          <w:spacing w:val="-2"/>
        </w:rPr>
        <w:t> </w:t>
      </w:r>
      <w:r>
        <w:rPr/>
        <w:t>SDGs are interconnected in nature (e.g., Pradhan</w:t>
      </w:r>
      <w:r>
        <w:rPr>
          <w:spacing w:val="-5"/>
        </w:rPr>
        <w:t> </w:t>
      </w:r>
      <w:r>
        <w:rPr>
          <w:i/>
        </w:rPr>
        <w:t>et</w:t>
      </w:r>
      <w:r>
        <w:rPr>
          <w:i/>
          <w:spacing w:val="-12"/>
        </w:rPr>
        <w:t> </w:t>
      </w:r>
      <w:r>
        <w:rPr>
          <w:i/>
        </w:rPr>
        <w:t>al.</w:t>
      </w:r>
      <w:r>
        <w:rPr/>
        <w:t>, 2017;</w:t>
      </w:r>
      <w:r>
        <w:rPr>
          <w:spacing w:val="-12"/>
        </w:rPr>
        <w:t> </w:t>
      </w:r>
      <w:r>
        <w:rPr/>
        <w:t>United</w:t>
      </w:r>
      <w:r>
        <w:rPr>
          <w:spacing w:val="-6"/>
        </w:rPr>
        <w:t> </w:t>
      </w:r>
      <w:r>
        <w:rPr/>
        <w:t>Nations,</w:t>
      </w:r>
      <w:r>
        <w:rPr>
          <w:spacing w:val="-5"/>
        </w:rPr>
        <w:t> </w:t>
      </w:r>
      <w:r>
        <w:rPr/>
        <w:t>2019a;</w:t>
      </w:r>
      <w:r>
        <w:rPr>
          <w:spacing w:val="-12"/>
        </w:rPr>
        <w:t> </w:t>
      </w:r>
      <w:r>
        <w:rPr/>
        <w:t>Nilsson </w:t>
      </w:r>
      <w:r>
        <w:rPr>
          <w:i/>
        </w:rPr>
        <w:t>et al.</w:t>
      </w:r>
      <w:r>
        <w:rPr/>
        <w:t>,</w:t>
      </w:r>
      <w:r>
        <w:rPr>
          <w:spacing w:val="-5"/>
        </w:rPr>
        <w:t> </w:t>
      </w:r>
      <w:r>
        <w:rPr/>
        <w:t>2016; Pham-Truffert </w:t>
      </w:r>
      <w:r>
        <w:rPr>
          <w:i/>
        </w:rPr>
        <w:t>et</w:t>
      </w:r>
      <w:r>
        <w:rPr>
          <w:i/>
          <w:spacing w:val="-12"/>
        </w:rPr>
        <w:t> </w:t>
      </w:r>
      <w:r>
        <w:rPr>
          <w:i/>
        </w:rPr>
        <w:t>al.</w:t>
      </w:r>
      <w:r>
        <w:rPr/>
        <w:t>, 2020). For example, Nilsson</w:t>
      </w:r>
      <w:r>
        <w:rPr>
          <w:spacing w:val="29"/>
        </w:rPr>
        <w:t> </w:t>
      </w:r>
      <w:r>
        <w:rPr>
          <w:i/>
        </w:rPr>
        <w:t>et al. </w:t>
      </w:r>
      <w:r>
        <w:rPr/>
        <w:t>(2016) note</w:t>
      </w:r>
      <w:r>
        <w:rPr>
          <w:spacing w:val="-5"/>
        </w:rPr>
        <w:t> </w:t>
      </w:r>
      <w:r>
        <w:rPr/>
        <w:t>that</w:t>
      </w:r>
      <w:r>
        <w:rPr>
          <w:spacing w:val="-10"/>
        </w:rPr>
        <w:t> </w:t>
      </w:r>
      <w:r>
        <w:rPr/>
        <w:t>“educational efforts</w:t>
      </w:r>
      <w:r>
        <w:rPr>
          <w:spacing w:val="-15"/>
        </w:rPr>
        <w:t> </w:t>
      </w:r>
      <w:r>
        <w:rPr/>
        <w:t>for</w:t>
      </w:r>
      <w:r>
        <w:rPr>
          <w:spacing w:val="-9"/>
        </w:rPr>
        <w:t> </w:t>
      </w:r>
      <w:r>
        <w:rPr/>
        <w:t>girls (goal 4) in southern Africa would enhance maternal health outcomes (part of goal 3), and contribute to poverty eradication</w:t>
      </w:r>
      <w:r>
        <w:rPr>
          <w:spacing w:val="-6"/>
        </w:rPr>
        <w:t> </w:t>
      </w:r>
      <w:r>
        <w:rPr/>
        <w:t>(goal 1),</w:t>
      </w:r>
      <w:r>
        <w:rPr>
          <w:spacing w:val="-6"/>
        </w:rPr>
        <w:t> </w:t>
      </w:r>
      <w:r>
        <w:rPr/>
        <w:t>gender</w:t>
      </w:r>
      <w:r>
        <w:rPr>
          <w:spacing w:val="-12"/>
        </w:rPr>
        <w:t> </w:t>
      </w:r>
      <w:r>
        <w:rPr/>
        <w:t>equality (goal 5)</w:t>
      </w:r>
      <w:r>
        <w:rPr>
          <w:spacing w:val="-12"/>
        </w:rPr>
        <w:t> </w:t>
      </w:r>
      <w:r>
        <w:rPr/>
        <w:t>and economic growth (goal 8) locally” (p. 321). Informed</w:t>
      </w:r>
      <w:r>
        <w:rPr>
          <w:spacing w:val="-5"/>
        </w:rPr>
        <w:t> </w:t>
      </w:r>
      <w:r>
        <w:rPr/>
        <w:t>by</w:t>
      </w:r>
      <w:r>
        <w:rPr>
          <w:spacing w:val="-5"/>
        </w:rPr>
        <w:t> </w:t>
      </w:r>
      <w:r>
        <w:rPr/>
        <w:t>prior literature (e.g., Pradhan </w:t>
      </w:r>
      <w:r>
        <w:rPr>
          <w:i/>
        </w:rPr>
        <w:t>et al.</w:t>
      </w:r>
      <w:r>
        <w:rPr/>
        <w:t>, 2017; United</w:t>
      </w:r>
      <w:r>
        <w:rPr>
          <w:spacing w:val="-5"/>
        </w:rPr>
        <w:t> </w:t>
      </w:r>
      <w:r>
        <w:rPr/>
        <w:t>Nations,</w:t>
      </w:r>
      <w:r>
        <w:rPr>
          <w:spacing w:val="-5"/>
        </w:rPr>
        <w:t> </w:t>
      </w:r>
      <w:r>
        <w:rPr/>
        <w:t>2019a; Nilsson</w:t>
      </w:r>
      <w:r>
        <w:rPr>
          <w:spacing w:val="30"/>
        </w:rPr>
        <w:t> </w:t>
      </w:r>
      <w:r>
        <w:rPr>
          <w:i/>
        </w:rPr>
        <w:t>et al.</w:t>
      </w:r>
      <w:r>
        <w:rPr/>
        <w:t>, 2016;</w:t>
      </w:r>
      <w:r>
        <w:rPr>
          <w:spacing w:val="-12"/>
        </w:rPr>
        <w:t> </w:t>
      </w:r>
      <w:r>
        <w:rPr/>
        <w:t>Pham-Truffert </w:t>
      </w:r>
      <w:r>
        <w:rPr>
          <w:i/>
        </w:rPr>
        <w:t>et al.</w:t>
      </w:r>
      <w:r>
        <w:rPr/>
        <w:t>,</w:t>
      </w:r>
      <w:r>
        <w:rPr>
          <w:spacing w:val="-5"/>
        </w:rPr>
        <w:t> </w:t>
      </w:r>
      <w:r>
        <w:rPr/>
        <w:t>2020), we</w:t>
      </w:r>
      <w:r>
        <w:rPr>
          <w:spacing w:val="-15"/>
        </w:rPr>
        <w:t> </w:t>
      </w:r>
      <w:r>
        <w:rPr/>
        <w:t>conducted</w:t>
      </w:r>
      <w:r>
        <w:rPr>
          <w:spacing w:val="-6"/>
        </w:rPr>
        <w:t> </w:t>
      </w:r>
      <w:r>
        <w:rPr/>
        <w:t>a</w:t>
      </w:r>
      <w:r>
        <w:rPr>
          <w:spacing w:val="-15"/>
        </w:rPr>
        <w:t> </w:t>
      </w:r>
      <w:r>
        <w:rPr/>
        <w:t>three-stage analysis of the</w:t>
      </w:r>
      <w:r>
        <w:rPr>
          <w:spacing w:val="-15"/>
        </w:rPr>
        <w:t> </w:t>
      </w:r>
      <w:r>
        <w:rPr/>
        <w:t>linkage</w:t>
      </w:r>
      <w:r>
        <w:rPr>
          <w:spacing w:val="21"/>
        </w:rPr>
        <w:t> </w:t>
      </w:r>
      <w:r>
        <w:rPr/>
        <w:t>between an</w:t>
      </w:r>
      <w:r>
        <w:rPr>
          <w:spacing w:val="-13"/>
        </w:rPr>
        <w:t> </w:t>
      </w:r>
      <w:r>
        <w:rPr/>
        <w:t>investment</w:t>
      </w:r>
      <w:r>
        <w:rPr>
          <w:spacing w:val="-11"/>
        </w:rPr>
        <w:t> </w:t>
      </w:r>
      <w:r>
        <w:rPr/>
        <w:t>deal</w:t>
      </w:r>
      <w:r>
        <w:rPr>
          <w:spacing w:val="-11"/>
        </w:rPr>
        <w:t> </w:t>
      </w:r>
      <w:r>
        <w:rPr/>
        <w:t>and</w:t>
      </w:r>
      <w:r>
        <w:rPr>
          <w:spacing w:val="-5"/>
        </w:rPr>
        <w:t> </w:t>
      </w:r>
      <w:r>
        <w:rPr/>
        <w:t>corresponding</w:t>
      </w:r>
      <w:r>
        <w:rPr>
          <w:spacing w:val="-5"/>
        </w:rPr>
        <w:t> </w:t>
      </w:r>
      <w:r>
        <w:rPr/>
        <w:t>SDGs.</w:t>
      </w:r>
      <w:r>
        <w:rPr>
          <w:spacing w:val="-16"/>
        </w:rPr>
        <w:t> </w:t>
      </w:r>
      <w:r>
        <w:rPr/>
        <w:t>First,</w:t>
      </w:r>
      <w:r>
        <w:rPr>
          <w:spacing w:val="-16"/>
        </w:rPr>
        <w:t> </w:t>
      </w:r>
      <w:r>
        <w:rPr/>
        <w:t>we</w:t>
      </w:r>
      <w:r>
        <w:rPr>
          <w:spacing w:val="-6"/>
        </w:rPr>
        <w:t> </w:t>
      </w:r>
      <w:r>
        <w:rPr/>
        <w:t>analyzed</w:t>
      </w:r>
      <w:r>
        <w:rPr>
          <w:spacing w:val="-5"/>
        </w:rPr>
        <w:t> </w:t>
      </w:r>
      <w:r>
        <w:rPr/>
        <w:t>impact investment deals</w:t>
      </w:r>
      <w:r>
        <w:rPr>
          <w:spacing w:val="-19"/>
        </w:rPr>
        <w:t> </w:t>
      </w:r>
      <w:r>
        <w:rPr/>
        <w:t>at</w:t>
      </w:r>
      <w:r>
        <w:rPr>
          <w:spacing w:val="-11"/>
        </w:rPr>
        <w:t> </w:t>
      </w:r>
      <w:r>
        <w:rPr/>
        <w:t>the</w:t>
      </w:r>
    </w:p>
    <w:p>
      <w:pPr>
        <w:pStyle w:val="BodyText"/>
        <w:ind w:left="0"/>
        <w:jc w:val="left"/>
        <w:rPr>
          <w:sz w:val="20"/>
        </w:rPr>
      </w:pPr>
    </w:p>
    <w:p>
      <w:pPr>
        <w:pStyle w:val="BodyText"/>
        <w:spacing w:before="3"/>
        <w:ind w:left="0"/>
        <w:jc w:val="left"/>
        <w:rPr>
          <w:sz w:val="12"/>
        </w:rPr>
      </w:pPr>
      <w:r>
        <w:rPr/>
        <w:pict>
          <v:rect style="position:absolute;margin-left:72.099998pt;margin-top:8.293848pt;width:144.18pt;height:.75pt;mso-position-horizontal-relative:page;mso-position-vertical-relative:paragraph;z-index:-15727616;mso-wrap-distance-left:0;mso-wrap-distance-right:0" id="docshape5" filled="true" fillcolor="#000000" stroked="false">
            <v:fill type="solid"/>
            <w10:wrap type="topAndBottom"/>
          </v:rect>
        </w:pict>
      </w:r>
    </w:p>
    <w:p>
      <w:pPr>
        <w:spacing w:before="103"/>
        <w:ind w:left="101" w:right="0" w:firstLine="0"/>
        <w:jc w:val="left"/>
        <w:rPr>
          <w:sz w:val="19"/>
        </w:rPr>
      </w:pPr>
      <w:r>
        <w:rPr>
          <w:w w:val="105"/>
          <w:position w:val="6"/>
          <w:sz w:val="13"/>
        </w:rPr>
        <w:t>3</w:t>
      </w:r>
      <w:r>
        <w:rPr>
          <w:spacing w:val="16"/>
          <w:w w:val="105"/>
          <w:position w:val="6"/>
          <w:sz w:val="13"/>
        </w:rPr>
        <w:t> </w:t>
      </w:r>
      <w:r>
        <w:rPr>
          <w:spacing w:val="-2"/>
          <w:w w:val="105"/>
          <w:sz w:val="19"/>
        </w:rPr>
        <w:t>https://sdgs.un.org/goals</w:t>
      </w:r>
    </w:p>
    <w:p>
      <w:pPr>
        <w:spacing w:after="0"/>
        <w:jc w:val="left"/>
        <w:rPr>
          <w:sz w:val="19"/>
        </w:rPr>
        <w:sectPr>
          <w:footerReference w:type="default" r:id="rId8"/>
          <w:pgSz w:w="11910" w:h="16850"/>
          <w:pgMar w:footer="1005" w:header="0" w:top="1380" w:bottom="1200" w:left="1340" w:right="1300"/>
        </w:sectPr>
      </w:pPr>
    </w:p>
    <w:p>
      <w:pPr>
        <w:pStyle w:val="BodyText"/>
        <w:spacing w:line="477" w:lineRule="auto" w:before="72"/>
        <w:ind w:right="128"/>
      </w:pPr>
      <w:r>
        <w:rPr/>
        <w:t>primary SDG level, where each</w:t>
      </w:r>
      <w:r>
        <w:rPr>
          <w:spacing w:val="-4"/>
        </w:rPr>
        <w:t> </w:t>
      </w:r>
      <w:r>
        <w:rPr/>
        <w:t>investment deal</w:t>
      </w:r>
      <w:r>
        <w:rPr>
          <w:spacing w:val="-10"/>
        </w:rPr>
        <w:t> </w:t>
      </w:r>
      <w:r>
        <w:rPr/>
        <w:t>was</w:t>
      </w:r>
      <w:r>
        <w:rPr>
          <w:spacing w:val="-7"/>
        </w:rPr>
        <w:t> </w:t>
      </w:r>
      <w:r>
        <w:rPr/>
        <w:t>linked to</w:t>
      </w:r>
      <w:r>
        <w:rPr>
          <w:spacing w:val="-4"/>
        </w:rPr>
        <w:t> </w:t>
      </w:r>
      <w:r>
        <w:rPr/>
        <w:t>one</w:t>
      </w:r>
      <w:r>
        <w:rPr>
          <w:spacing w:val="-6"/>
        </w:rPr>
        <w:t> </w:t>
      </w:r>
      <w:r>
        <w:rPr/>
        <w:t>primary SDG.</w:t>
      </w:r>
      <w:r>
        <w:rPr>
          <w:spacing w:val="-4"/>
        </w:rPr>
        <w:t> </w:t>
      </w:r>
      <w:r>
        <w:rPr/>
        <w:t>Second,</w:t>
      </w:r>
      <w:r>
        <w:rPr>
          <w:spacing w:val="-15"/>
        </w:rPr>
        <w:t> </w:t>
      </w:r>
      <w:r>
        <w:rPr/>
        <w:t>we analyzed</w:t>
      </w:r>
      <w:r>
        <w:rPr>
          <w:spacing w:val="-15"/>
        </w:rPr>
        <w:t> </w:t>
      </w:r>
      <w:r>
        <w:rPr/>
        <w:t>impact</w:t>
      </w:r>
      <w:r>
        <w:rPr>
          <w:spacing w:val="-15"/>
        </w:rPr>
        <w:t> </w:t>
      </w:r>
      <w:r>
        <w:rPr/>
        <w:t>investment</w:t>
      </w:r>
      <w:r>
        <w:rPr>
          <w:spacing w:val="-12"/>
        </w:rPr>
        <w:t> </w:t>
      </w:r>
      <w:r>
        <w:rPr/>
        <w:t>deals</w:t>
      </w:r>
      <w:r>
        <w:rPr>
          <w:spacing w:val="-15"/>
        </w:rPr>
        <w:t> </w:t>
      </w:r>
      <w:r>
        <w:rPr/>
        <w:t>at</w:t>
      </w:r>
      <w:r>
        <w:rPr>
          <w:spacing w:val="-11"/>
        </w:rPr>
        <w:t> </w:t>
      </w:r>
      <w:r>
        <w:rPr/>
        <w:t>the</w:t>
      </w:r>
      <w:r>
        <w:rPr>
          <w:spacing w:val="-15"/>
        </w:rPr>
        <w:t> </w:t>
      </w:r>
      <w:r>
        <w:rPr/>
        <w:t>secondary</w:t>
      </w:r>
      <w:r>
        <w:rPr>
          <w:spacing w:val="-5"/>
        </w:rPr>
        <w:t> </w:t>
      </w:r>
      <w:r>
        <w:rPr/>
        <w:t>SDG</w:t>
      </w:r>
      <w:r>
        <w:rPr>
          <w:spacing w:val="-15"/>
        </w:rPr>
        <w:t> </w:t>
      </w:r>
      <w:r>
        <w:rPr/>
        <w:t>level,</w:t>
      </w:r>
      <w:r>
        <w:rPr>
          <w:spacing w:val="7"/>
        </w:rPr>
        <w:t> </w:t>
      </w:r>
      <w:r>
        <w:rPr/>
        <w:t>where</w:t>
      </w:r>
      <w:r>
        <w:rPr>
          <w:spacing w:val="-7"/>
        </w:rPr>
        <w:t> </w:t>
      </w:r>
      <w:r>
        <w:rPr/>
        <w:t>each</w:t>
      </w:r>
      <w:r>
        <w:rPr>
          <w:spacing w:val="-15"/>
        </w:rPr>
        <w:t> </w:t>
      </w:r>
      <w:r>
        <w:rPr/>
        <w:t>investment deal</w:t>
      </w:r>
      <w:r>
        <w:rPr>
          <w:spacing w:val="-15"/>
        </w:rPr>
        <w:t> </w:t>
      </w:r>
      <w:r>
        <w:rPr/>
        <w:t>was linked to five secondary SDGs.</w:t>
      </w:r>
      <w:r>
        <w:rPr>
          <w:spacing w:val="-3"/>
        </w:rPr>
        <w:t> </w:t>
      </w:r>
      <w:r>
        <w:rPr/>
        <w:t>Third, we conducted</w:t>
      </w:r>
      <w:r>
        <w:rPr>
          <w:spacing w:val="-4"/>
        </w:rPr>
        <w:t> </w:t>
      </w:r>
      <w:r>
        <w:rPr/>
        <w:t>a combined analysis by considering an investment deal’s primary and secondary SDGs. We detail our analysis and findings in the following section.</w:t>
      </w:r>
    </w:p>
    <w:p>
      <w:pPr>
        <w:pStyle w:val="BodyText"/>
        <w:spacing w:before="4"/>
        <w:ind w:left="0"/>
        <w:jc w:val="left"/>
        <w:rPr>
          <w:sz w:val="22"/>
        </w:rPr>
      </w:pPr>
    </w:p>
    <w:p>
      <w:pPr>
        <w:pStyle w:val="Heading1"/>
        <w:numPr>
          <w:ilvl w:val="0"/>
          <w:numId w:val="1"/>
        </w:numPr>
        <w:tabs>
          <w:tab w:pos="342" w:val="left" w:leader="none"/>
        </w:tabs>
        <w:spacing w:line="240" w:lineRule="auto" w:before="0" w:after="0"/>
        <w:ind w:left="342" w:right="0" w:hanging="241"/>
        <w:jc w:val="both"/>
      </w:pPr>
      <w:r>
        <w:rPr/>
        <w:t>Findings</w:t>
      </w:r>
      <w:r>
        <w:rPr>
          <w:spacing w:val="-1"/>
        </w:rPr>
        <w:t> </w:t>
      </w:r>
      <w:r>
        <w:rPr/>
        <w:t>and</w:t>
      </w:r>
      <w:r>
        <w:rPr>
          <w:spacing w:val="-6"/>
        </w:rPr>
        <w:t> </w:t>
      </w:r>
      <w:r>
        <w:rPr>
          <w:spacing w:val="-2"/>
        </w:rPr>
        <w:t>analysis</w:t>
      </w:r>
    </w:p>
    <w:p>
      <w:pPr>
        <w:pStyle w:val="BodyText"/>
        <w:spacing w:before="10"/>
        <w:ind w:left="0"/>
        <w:jc w:val="left"/>
        <w:rPr>
          <w:b/>
          <w:sz w:val="26"/>
        </w:rPr>
      </w:pPr>
    </w:p>
    <w:p>
      <w:pPr>
        <w:pStyle w:val="ListParagraph"/>
        <w:numPr>
          <w:ilvl w:val="1"/>
          <w:numId w:val="1"/>
        </w:numPr>
        <w:tabs>
          <w:tab w:pos="462" w:val="left" w:leader="none"/>
        </w:tabs>
        <w:spacing w:line="240" w:lineRule="auto" w:before="0" w:after="0"/>
        <w:ind w:left="462" w:right="0" w:hanging="361"/>
        <w:jc w:val="both"/>
        <w:rPr>
          <w:i/>
          <w:sz w:val="24"/>
        </w:rPr>
      </w:pPr>
      <w:r>
        <w:rPr>
          <w:i/>
          <w:sz w:val="24"/>
        </w:rPr>
        <w:t>Impact</w:t>
      </w:r>
      <w:r>
        <w:rPr>
          <w:i/>
          <w:spacing w:val="-12"/>
          <w:sz w:val="24"/>
        </w:rPr>
        <w:t> </w:t>
      </w:r>
      <w:r>
        <w:rPr>
          <w:i/>
          <w:sz w:val="24"/>
        </w:rPr>
        <w:t>investment</w:t>
      </w:r>
      <w:r>
        <w:rPr>
          <w:i/>
          <w:spacing w:val="16"/>
          <w:sz w:val="24"/>
        </w:rPr>
        <w:t> </w:t>
      </w:r>
      <w:r>
        <w:rPr>
          <w:i/>
          <w:sz w:val="24"/>
        </w:rPr>
        <w:t>deals</w:t>
      </w:r>
      <w:r>
        <w:rPr>
          <w:i/>
          <w:spacing w:val="5"/>
          <w:sz w:val="24"/>
        </w:rPr>
        <w:t> </w:t>
      </w:r>
      <w:r>
        <w:rPr>
          <w:i/>
          <w:sz w:val="24"/>
        </w:rPr>
        <w:t>and</w:t>
      </w:r>
      <w:r>
        <w:rPr>
          <w:i/>
          <w:spacing w:val="-5"/>
          <w:sz w:val="24"/>
        </w:rPr>
        <w:t> </w:t>
      </w:r>
      <w:r>
        <w:rPr>
          <w:i/>
          <w:sz w:val="24"/>
        </w:rPr>
        <w:t>SDGs</w:t>
      </w:r>
      <w:r>
        <w:rPr>
          <w:i/>
          <w:spacing w:val="-8"/>
          <w:sz w:val="24"/>
        </w:rPr>
        <w:t> </w:t>
      </w:r>
      <w:r>
        <w:rPr>
          <w:i/>
          <w:sz w:val="24"/>
        </w:rPr>
        <w:t>at</w:t>
      </w:r>
      <w:r>
        <w:rPr>
          <w:i/>
          <w:spacing w:val="-12"/>
          <w:sz w:val="24"/>
        </w:rPr>
        <w:t> </w:t>
      </w:r>
      <w:r>
        <w:rPr>
          <w:i/>
          <w:sz w:val="24"/>
        </w:rPr>
        <w:t>the</w:t>
      </w:r>
      <w:r>
        <w:rPr>
          <w:i/>
          <w:spacing w:val="-7"/>
          <w:sz w:val="24"/>
        </w:rPr>
        <w:t> </w:t>
      </w:r>
      <w:r>
        <w:rPr>
          <w:i/>
          <w:sz w:val="24"/>
        </w:rPr>
        <w:t>primary</w:t>
      </w:r>
      <w:r>
        <w:rPr>
          <w:i/>
          <w:spacing w:val="7"/>
          <w:sz w:val="24"/>
        </w:rPr>
        <w:t> </w:t>
      </w:r>
      <w:r>
        <w:rPr>
          <w:i/>
          <w:sz w:val="24"/>
        </w:rPr>
        <w:t>SDG</w:t>
      </w:r>
      <w:r>
        <w:rPr>
          <w:i/>
          <w:spacing w:val="1"/>
          <w:sz w:val="24"/>
        </w:rPr>
        <w:t> </w:t>
      </w:r>
      <w:r>
        <w:rPr>
          <w:i/>
          <w:spacing w:val="-2"/>
          <w:sz w:val="24"/>
        </w:rPr>
        <w:t>level</w:t>
      </w:r>
    </w:p>
    <w:p>
      <w:pPr>
        <w:pStyle w:val="BodyText"/>
        <w:spacing w:before="4"/>
        <w:ind w:left="0"/>
        <w:jc w:val="left"/>
        <w:rPr>
          <w:i/>
        </w:rPr>
      </w:pPr>
    </w:p>
    <w:p>
      <w:pPr>
        <w:pStyle w:val="BodyText"/>
        <w:spacing w:line="480" w:lineRule="auto"/>
        <w:ind w:right="127"/>
      </w:pPr>
      <w:r>
        <w:rPr/>
        <w:t>This section presents the linkage between impact investment deals and SDGs</w:t>
      </w:r>
      <w:r>
        <w:rPr>
          <w:spacing w:val="-7"/>
        </w:rPr>
        <w:t> </w:t>
      </w:r>
      <w:r>
        <w:rPr/>
        <w:t>at the</w:t>
      </w:r>
      <w:r>
        <w:rPr>
          <w:spacing w:val="-5"/>
        </w:rPr>
        <w:t> </w:t>
      </w:r>
      <w:r>
        <w:rPr/>
        <w:t>primary SDG</w:t>
      </w:r>
      <w:r>
        <w:rPr>
          <w:spacing w:val="-15"/>
        </w:rPr>
        <w:t> </w:t>
      </w:r>
      <w:r>
        <w:rPr/>
        <w:t>level. We</w:t>
      </w:r>
      <w:r>
        <w:rPr>
          <w:spacing w:val="-5"/>
        </w:rPr>
        <w:t> </w:t>
      </w:r>
      <w:r>
        <w:rPr/>
        <w:t>identified</w:t>
      </w:r>
      <w:r>
        <w:rPr>
          <w:spacing w:val="-4"/>
        </w:rPr>
        <w:t> </w:t>
      </w:r>
      <w:r>
        <w:rPr/>
        <w:t>the</w:t>
      </w:r>
      <w:r>
        <w:rPr>
          <w:spacing w:val="-15"/>
        </w:rPr>
        <w:t> </w:t>
      </w:r>
      <w:r>
        <w:rPr/>
        <w:t>primary SDG</w:t>
      </w:r>
      <w:r>
        <w:rPr>
          <w:spacing w:val="-12"/>
        </w:rPr>
        <w:t> </w:t>
      </w:r>
      <w:r>
        <w:rPr/>
        <w:t>for</w:t>
      </w:r>
      <w:r>
        <w:rPr>
          <w:spacing w:val="-9"/>
        </w:rPr>
        <w:t> </w:t>
      </w:r>
      <w:r>
        <w:rPr/>
        <w:t>each</w:t>
      </w:r>
      <w:r>
        <w:rPr>
          <w:spacing w:val="-3"/>
        </w:rPr>
        <w:t> </w:t>
      </w:r>
      <w:r>
        <w:rPr/>
        <w:t>investment deal</w:t>
      </w:r>
      <w:r>
        <w:rPr>
          <w:spacing w:val="-10"/>
        </w:rPr>
        <w:t> </w:t>
      </w:r>
      <w:r>
        <w:rPr/>
        <w:t>by</w:t>
      </w:r>
      <w:r>
        <w:rPr>
          <w:spacing w:val="-3"/>
        </w:rPr>
        <w:t> </w:t>
      </w:r>
      <w:r>
        <w:rPr/>
        <w:t>linking</w:t>
      </w:r>
      <w:r>
        <w:rPr>
          <w:spacing w:val="-3"/>
        </w:rPr>
        <w:t> </w:t>
      </w:r>
      <w:r>
        <w:rPr/>
        <w:t>the</w:t>
      </w:r>
      <w:r>
        <w:rPr>
          <w:spacing w:val="-5"/>
        </w:rPr>
        <w:t> </w:t>
      </w:r>
      <w:r>
        <w:rPr/>
        <w:t>deal’s</w:t>
      </w:r>
      <w:r>
        <w:rPr>
          <w:spacing w:val="-7"/>
        </w:rPr>
        <w:t> </w:t>
      </w:r>
      <w:r>
        <w:rPr/>
        <w:t>core impact</w:t>
      </w:r>
      <w:r>
        <w:rPr>
          <w:spacing w:val="23"/>
        </w:rPr>
        <w:t> </w:t>
      </w:r>
      <w:r>
        <w:rPr/>
        <w:t>with</w:t>
      </w:r>
      <w:r>
        <w:rPr>
          <w:spacing w:val="-15"/>
        </w:rPr>
        <w:t> </w:t>
      </w:r>
      <w:r>
        <w:rPr/>
        <w:t>the</w:t>
      </w:r>
      <w:r>
        <w:rPr>
          <w:spacing w:val="-1"/>
        </w:rPr>
        <w:t> </w:t>
      </w:r>
      <w:r>
        <w:rPr/>
        <w:t>specific SDG target.</w:t>
      </w:r>
      <w:r>
        <w:rPr>
          <w:spacing w:val="-15"/>
        </w:rPr>
        <w:t> </w:t>
      </w:r>
      <w:r>
        <w:rPr/>
        <w:t>To do</w:t>
      </w:r>
      <w:r>
        <w:rPr>
          <w:spacing w:val="-15"/>
        </w:rPr>
        <w:t> </w:t>
      </w:r>
      <w:r>
        <w:rPr/>
        <w:t>so, we</w:t>
      </w:r>
      <w:r>
        <w:rPr>
          <w:spacing w:val="-1"/>
        </w:rPr>
        <w:t> </w:t>
      </w:r>
      <w:r>
        <w:rPr/>
        <w:t>followed two</w:t>
      </w:r>
      <w:r>
        <w:rPr>
          <w:spacing w:val="-15"/>
        </w:rPr>
        <w:t> </w:t>
      </w:r>
      <w:r>
        <w:rPr/>
        <w:t>steps. First, we</w:t>
      </w:r>
      <w:r>
        <w:rPr>
          <w:spacing w:val="-1"/>
        </w:rPr>
        <w:t> </w:t>
      </w:r>
      <w:r>
        <w:rPr/>
        <w:t>identified the core</w:t>
      </w:r>
      <w:r>
        <w:rPr>
          <w:spacing w:val="-15"/>
        </w:rPr>
        <w:t> </w:t>
      </w:r>
      <w:r>
        <w:rPr/>
        <w:t>impact</w:t>
      </w:r>
      <w:r>
        <w:rPr>
          <w:spacing w:val="17"/>
        </w:rPr>
        <w:t> </w:t>
      </w:r>
      <w:r>
        <w:rPr/>
        <w:t>offered</w:t>
      </w:r>
      <w:r>
        <w:rPr>
          <w:spacing w:val="-5"/>
        </w:rPr>
        <w:t> </w:t>
      </w:r>
      <w:r>
        <w:rPr/>
        <w:t>by</w:t>
      </w:r>
      <w:r>
        <w:rPr>
          <w:spacing w:val="-15"/>
        </w:rPr>
        <w:t> </w:t>
      </w:r>
      <w:r>
        <w:rPr/>
        <w:t>each</w:t>
      </w:r>
      <w:r>
        <w:rPr>
          <w:spacing w:val="-4"/>
        </w:rPr>
        <w:t> </w:t>
      </w:r>
      <w:r>
        <w:rPr/>
        <w:t>investment deal.</w:t>
      </w:r>
      <w:r>
        <w:rPr>
          <w:spacing w:val="-4"/>
        </w:rPr>
        <w:t> </w:t>
      </w:r>
      <w:r>
        <w:rPr/>
        <w:t>This was</w:t>
      </w:r>
      <w:r>
        <w:rPr>
          <w:spacing w:val="-8"/>
        </w:rPr>
        <w:t> </w:t>
      </w:r>
      <w:r>
        <w:rPr/>
        <w:t>done</w:t>
      </w:r>
      <w:r>
        <w:rPr>
          <w:spacing w:val="-15"/>
        </w:rPr>
        <w:t> </w:t>
      </w:r>
      <w:r>
        <w:rPr/>
        <w:t>by</w:t>
      </w:r>
      <w:r>
        <w:rPr>
          <w:spacing w:val="-4"/>
        </w:rPr>
        <w:t> </w:t>
      </w:r>
      <w:r>
        <w:rPr/>
        <w:t>identifying</w:t>
      </w:r>
      <w:r>
        <w:rPr>
          <w:spacing w:val="-4"/>
        </w:rPr>
        <w:t> </w:t>
      </w:r>
      <w:r>
        <w:rPr/>
        <w:t>the</w:t>
      </w:r>
      <w:r>
        <w:rPr>
          <w:spacing w:val="-6"/>
        </w:rPr>
        <w:t> </w:t>
      </w:r>
      <w:r>
        <w:rPr/>
        <w:t>primary</w:t>
      </w:r>
      <w:r>
        <w:rPr>
          <w:spacing w:val="-4"/>
        </w:rPr>
        <w:t> </w:t>
      </w:r>
      <w:r>
        <w:rPr/>
        <w:t>impact that each investee company underlying an investment deal is currently making or aspires to make</w:t>
      </w:r>
      <w:r>
        <w:rPr>
          <w:spacing w:val="-4"/>
        </w:rPr>
        <w:t> </w:t>
      </w:r>
      <w:r>
        <w:rPr/>
        <w:t>in</w:t>
      </w:r>
      <w:r>
        <w:rPr>
          <w:spacing w:val="-3"/>
        </w:rPr>
        <w:t> </w:t>
      </w:r>
      <w:r>
        <w:rPr/>
        <w:t>the</w:t>
      </w:r>
      <w:r>
        <w:rPr>
          <w:spacing w:val="-15"/>
        </w:rPr>
        <w:t> </w:t>
      </w:r>
      <w:r>
        <w:rPr/>
        <w:t>future</w:t>
      </w:r>
      <w:r>
        <w:rPr>
          <w:spacing w:val="-15"/>
        </w:rPr>
        <w:t> </w:t>
      </w:r>
      <w:r>
        <w:rPr/>
        <w:t>through</w:t>
      </w:r>
      <w:r>
        <w:rPr>
          <w:spacing w:val="-3"/>
        </w:rPr>
        <w:t> </w:t>
      </w:r>
      <w:r>
        <w:rPr/>
        <w:t>its</w:t>
      </w:r>
      <w:r>
        <w:rPr>
          <w:spacing w:val="-7"/>
        </w:rPr>
        <w:t> </w:t>
      </w:r>
      <w:r>
        <w:rPr/>
        <w:t>product/service offerings</w:t>
      </w:r>
      <w:r>
        <w:rPr>
          <w:spacing w:val="-15"/>
        </w:rPr>
        <w:t> </w:t>
      </w:r>
      <w:r>
        <w:rPr/>
        <w:t>and/or</w:t>
      </w:r>
      <w:r>
        <w:rPr>
          <w:spacing w:val="-9"/>
        </w:rPr>
        <w:t> </w:t>
      </w:r>
      <w:r>
        <w:rPr/>
        <w:t>operational practices (see</w:t>
      </w:r>
      <w:r>
        <w:rPr>
          <w:spacing w:val="-5"/>
        </w:rPr>
        <w:t> </w:t>
      </w:r>
      <w:r>
        <w:rPr/>
        <w:t>Brest and Born, 2013). For example,</w:t>
      </w:r>
      <w:r>
        <w:rPr/>
        <w:t> an investment deal features Hubpay, which drives financial inclusion by offering low-cost digital wallet services to expatriate workers in the UAE to transfer remittances to their families living in developing countries. Thus, the core impact provided</w:t>
      </w:r>
      <w:r>
        <w:rPr>
          <w:spacing w:val="-15"/>
        </w:rPr>
        <w:t> </w:t>
      </w:r>
      <w:r>
        <w:rPr/>
        <w:t>by</w:t>
      </w:r>
      <w:r>
        <w:rPr>
          <w:spacing w:val="-15"/>
        </w:rPr>
        <w:t> </w:t>
      </w:r>
      <w:r>
        <w:rPr/>
        <w:t>the</w:t>
      </w:r>
      <w:r>
        <w:rPr>
          <w:spacing w:val="-15"/>
        </w:rPr>
        <w:t> </w:t>
      </w:r>
      <w:r>
        <w:rPr/>
        <w:t>investment</w:t>
      </w:r>
      <w:r>
        <w:rPr>
          <w:spacing w:val="-15"/>
        </w:rPr>
        <w:t> </w:t>
      </w:r>
      <w:r>
        <w:rPr/>
        <w:t>deal</w:t>
      </w:r>
      <w:r>
        <w:rPr>
          <w:spacing w:val="-15"/>
        </w:rPr>
        <w:t> </w:t>
      </w:r>
      <w:r>
        <w:rPr/>
        <w:t>featuring</w:t>
      </w:r>
      <w:r>
        <w:rPr>
          <w:spacing w:val="-15"/>
        </w:rPr>
        <w:t> </w:t>
      </w:r>
      <w:r>
        <w:rPr/>
        <w:t>Hubpay</w:t>
      </w:r>
      <w:r>
        <w:rPr>
          <w:spacing w:val="-15"/>
        </w:rPr>
        <w:t> </w:t>
      </w:r>
      <w:r>
        <w:rPr/>
        <w:t>was</w:t>
      </w:r>
      <w:r>
        <w:rPr>
          <w:spacing w:val="-15"/>
        </w:rPr>
        <w:t> </w:t>
      </w:r>
      <w:r>
        <w:rPr/>
        <w:t>identified</w:t>
      </w:r>
      <w:r>
        <w:rPr>
          <w:spacing w:val="-15"/>
        </w:rPr>
        <w:t> </w:t>
      </w:r>
      <w:r>
        <w:rPr/>
        <w:t>as</w:t>
      </w:r>
      <w:r>
        <w:rPr>
          <w:spacing w:val="-15"/>
        </w:rPr>
        <w:t> </w:t>
      </w:r>
      <w:r>
        <w:rPr/>
        <w:t>offering</w:t>
      </w:r>
      <w:r>
        <w:rPr>
          <w:spacing w:val="-15"/>
        </w:rPr>
        <w:t> </w:t>
      </w:r>
      <w:r>
        <w:rPr/>
        <w:t>financial</w:t>
      </w:r>
      <w:r>
        <w:rPr>
          <w:spacing w:val="-6"/>
        </w:rPr>
        <w:t> </w:t>
      </w:r>
      <w:r>
        <w:rPr/>
        <w:t>inclusion services to</w:t>
      </w:r>
      <w:r>
        <w:rPr>
          <w:spacing w:val="-2"/>
        </w:rPr>
        <w:t> </w:t>
      </w:r>
      <w:r>
        <w:rPr/>
        <w:t>underserved and vulnerable</w:t>
      </w:r>
      <w:r>
        <w:rPr>
          <w:spacing w:val="40"/>
        </w:rPr>
        <w:t> </w:t>
      </w:r>
      <w:r>
        <w:rPr/>
        <w:t>populations. In the same way,</w:t>
      </w:r>
      <w:r>
        <w:rPr>
          <w:spacing w:val="-2"/>
        </w:rPr>
        <w:t> </w:t>
      </w:r>
      <w:r>
        <w:rPr/>
        <w:t>we identified the</w:t>
      </w:r>
      <w:r>
        <w:rPr>
          <w:spacing w:val="-4"/>
        </w:rPr>
        <w:t> </w:t>
      </w:r>
      <w:r>
        <w:rPr/>
        <w:t>core impact offered by all 292 investment deals. Column 3 in Table 1 provides the core impact offered by a sample of impact investment deals.</w:t>
      </w:r>
    </w:p>
    <w:p>
      <w:pPr>
        <w:pStyle w:val="BodyText"/>
        <w:spacing w:line="482" w:lineRule="auto" w:before="166"/>
        <w:ind w:right="133"/>
        <w:rPr>
          <w:i/>
        </w:rPr>
      </w:pPr>
      <w:r>
        <w:rPr/>
        <w:t>Second,</w:t>
      </w:r>
      <w:r>
        <w:rPr>
          <w:spacing w:val="-15"/>
        </w:rPr>
        <w:t> </w:t>
      </w:r>
      <w:r>
        <w:rPr/>
        <w:t>as</w:t>
      </w:r>
      <w:r>
        <w:rPr>
          <w:spacing w:val="-15"/>
        </w:rPr>
        <w:t> </w:t>
      </w:r>
      <w:r>
        <w:rPr/>
        <w:t>noted</w:t>
      </w:r>
      <w:r>
        <w:rPr>
          <w:spacing w:val="-15"/>
        </w:rPr>
        <w:t> </w:t>
      </w:r>
      <w:r>
        <w:rPr/>
        <w:t>in</w:t>
      </w:r>
      <w:r>
        <w:rPr>
          <w:spacing w:val="-15"/>
        </w:rPr>
        <w:t> </w:t>
      </w:r>
      <w:r>
        <w:rPr/>
        <w:t>section</w:t>
      </w:r>
      <w:r>
        <w:rPr>
          <w:spacing w:val="-15"/>
        </w:rPr>
        <w:t> </w:t>
      </w:r>
      <w:r>
        <w:rPr/>
        <w:t>3,</w:t>
      </w:r>
      <w:r>
        <w:rPr>
          <w:spacing w:val="-15"/>
        </w:rPr>
        <w:t> </w:t>
      </w:r>
      <w:r>
        <w:rPr/>
        <w:t>there</w:t>
      </w:r>
      <w:r>
        <w:rPr>
          <w:spacing w:val="-15"/>
        </w:rPr>
        <w:t> </w:t>
      </w:r>
      <w:r>
        <w:rPr/>
        <w:t>are</w:t>
      </w:r>
      <w:r>
        <w:rPr>
          <w:spacing w:val="-15"/>
        </w:rPr>
        <w:t> </w:t>
      </w:r>
      <w:r>
        <w:rPr/>
        <w:t>169</w:t>
      </w:r>
      <w:r>
        <w:rPr>
          <w:spacing w:val="-3"/>
        </w:rPr>
        <w:t> </w:t>
      </w:r>
      <w:r>
        <w:rPr/>
        <w:t>SDG</w:t>
      </w:r>
      <w:r>
        <w:rPr>
          <w:spacing w:val="-15"/>
        </w:rPr>
        <w:t> </w:t>
      </w:r>
      <w:r>
        <w:rPr/>
        <w:t>targets</w:t>
      </w:r>
      <w:r>
        <w:rPr>
          <w:spacing w:val="-15"/>
        </w:rPr>
        <w:t> </w:t>
      </w:r>
      <w:r>
        <w:rPr/>
        <w:t>across</w:t>
      </w:r>
      <w:r>
        <w:rPr>
          <w:spacing w:val="-3"/>
        </w:rPr>
        <w:t> </w:t>
      </w:r>
      <w:r>
        <w:rPr/>
        <w:t>17 SDGs.</w:t>
      </w:r>
      <w:r>
        <w:rPr>
          <w:spacing w:val="-15"/>
        </w:rPr>
        <w:t> </w:t>
      </w:r>
      <w:r>
        <w:rPr/>
        <w:t>In</w:t>
      </w:r>
      <w:r>
        <w:rPr>
          <w:spacing w:val="-15"/>
        </w:rPr>
        <w:t> </w:t>
      </w:r>
      <w:r>
        <w:rPr/>
        <w:t>this</w:t>
      </w:r>
      <w:r>
        <w:rPr>
          <w:spacing w:val="-15"/>
        </w:rPr>
        <w:t> </w:t>
      </w:r>
      <w:r>
        <w:rPr/>
        <w:t>step,</w:t>
      </w:r>
      <w:r>
        <w:rPr>
          <w:spacing w:val="-15"/>
        </w:rPr>
        <w:t> </w:t>
      </w:r>
      <w:r>
        <w:rPr/>
        <w:t>we</w:t>
      </w:r>
      <w:r>
        <w:rPr>
          <w:spacing w:val="-15"/>
        </w:rPr>
        <w:t> </w:t>
      </w:r>
      <w:r>
        <w:rPr/>
        <w:t>linked the core impact offered</w:t>
      </w:r>
      <w:r>
        <w:rPr>
          <w:spacing w:val="-3"/>
        </w:rPr>
        <w:t> </w:t>
      </w:r>
      <w:r>
        <w:rPr/>
        <w:t>by each investment deal to</w:t>
      </w:r>
      <w:r>
        <w:rPr>
          <w:spacing w:val="-2"/>
        </w:rPr>
        <w:t> </w:t>
      </w:r>
      <w:r>
        <w:rPr/>
        <w:t>the most closely</w:t>
      </w:r>
      <w:r>
        <w:rPr>
          <w:spacing w:val="40"/>
        </w:rPr>
        <w:t> </w:t>
      </w:r>
      <w:r>
        <w:rPr/>
        <w:t>related SDG target. For example,</w:t>
      </w:r>
      <w:r>
        <w:rPr/>
        <w:t> the investment deal featuring Hubpay, which offers financial inclusion</w:t>
      </w:r>
      <w:r>
        <w:rPr>
          <w:spacing w:val="40"/>
        </w:rPr>
        <w:t> </w:t>
      </w:r>
      <w:r>
        <w:rPr/>
        <w:t>services to underserved</w:t>
      </w:r>
      <w:r>
        <w:rPr>
          <w:spacing w:val="38"/>
        </w:rPr>
        <w:t> </w:t>
      </w:r>
      <w:r>
        <w:rPr/>
        <w:t>populations,</w:t>
      </w:r>
      <w:r>
        <w:rPr>
          <w:spacing w:val="39"/>
        </w:rPr>
        <w:t> </w:t>
      </w:r>
      <w:r>
        <w:rPr/>
        <w:t>is</w:t>
      </w:r>
      <w:r>
        <w:rPr>
          <w:spacing w:val="36"/>
        </w:rPr>
        <w:t> </w:t>
      </w:r>
      <w:r>
        <w:rPr/>
        <w:t>closely</w:t>
      </w:r>
      <w:r>
        <w:rPr>
          <w:spacing w:val="39"/>
        </w:rPr>
        <w:t> </w:t>
      </w:r>
      <w:r>
        <w:rPr/>
        <w:t>related</w:t>
      </w:r>
      <w:r>
        <w:rPr>
          <w:spacing w:val="39"/>
        </w:rPr>
        <w:t> </w:t>
      </w:r>
      <w:r>
        <w:rPr/>
        <w:t>to</w:t>
      </w:r>
      <w:r>
        <w:rPr>
          <w:spacing w:val="24"/>
        </w:rPr>
        <w:t> </w:t>
      </w:r>
      <w:r>
        <w:rPr/>
        <w:t>SDG</w:t>
      </w:r>
      <w:r>
        <w:rPr>
          <w:spacing w:val="17"/>
        </w:rPr>
        <w:t> </w:t>
      </w:r>
      <w:r>
        <w:rPr/>
        <w:t>target</w:t>
      </w:r>
      <w:r>
        <w:rPr>
          <w:spacing w:val="32"/>
        </w:rPr>
        <w:t> </w:t>
      </w:r>
      <w:r>
        <w:rPr/>
        <w:t>10.2</w:t>
      </w:r>
      <w:r>
        <w:rPr>
          <w:spacing w:val="25"/>
        </w:rPr>
        <w:t> </w:t>
      </w:r>
      <w:r>
        <w:rPr/>
        <w:t>(</w:t>
      </w:r>
      <w:r>
        <w:rPr>
          <w:i/>
        </w:rPr>
        <w:t>empower</w:t>
      </w:r>
      <w:r>
        <w:rPr>
          <w:i/>
          <w:spacing w:val="21"/>
        </w:rPr>
        <w:t> </w:t>
      </w:r>
      <w:r>
        <w:rPr>
          <w:i/>
        </w:rPr>
        <w:t>and</w:t>
      </w:r>
      <w:r>
        <w:rPr>
          <w:i/>
          <w:spacing w:val="39"/>
        </w:rPr>
        <w:t> </w:t>
      </w:r>
      <w:r>
        <w:rPr>
          <w:i/>
        </w:rPr>
        <w:t>promote</w:t>
      </w:r>
      <w:r>
        <w:rPr>
          <w:i/>
          <w:spacing w:val="24"/>
        </w:rPr>
        <w:t> </w:t>
      </w:r>
      <w:r>
        <w:rPr>
          <w:i/>
          <w:spacing w:val="-5"/>
        </w:rPr>
        <w:t>the</w:t>
      </w:r>
    </w:p>
    <w:p>
      <w:pPr>
        <w:spacing w:after="0" w:line="482" w:lineRule="auto"/>
        <w:sectPr>
          <w:pgSz w:w="11910" w:h="16850"/>
          <w:pgMar w:header="0" w:footer="1005" w:top="1380" w:bottom="1200" w:left="1340" w:right="1300"/>
        </w:sectPr>
      </w:pPr>
    </w:p>
    <w:p>
      <w:pPr>
        <w:pStyle w:val="BodyText"/>
        <w:spacing w:line="477" w:lineRule="auto" w:before="72"/>
        <w:ind w:right="131"/>
      </w:pPr>
      <w:r>
        <w:rPr>
          <w:i/>
        </w:rPr>
        <w:t>social,</w:t>
      </w:r>
      <w:r>
        <w:rPr>
          <w:i/>
          <w:spacing w:val="-15"/>
        </w:rPr>
        <w:t> </w:t>
      </w:r>
      <w:r>
        <w:rPr>
          <w:i/>
        </w:rPr>
        <w:t>economic,</w:t>
      </w:r>
      <w:r>
        <w:rPr>
          <w:i/>
          <w:spacing w:val="-15"/>
        </w:rPr>
        <w:t> </w:t>
      </w:r>
      <w:r>
        <w:rPr>
          <w:i/>
        </w:rPr>
        <w:t>and</w:t>
      </w:r>
      <w:r>
        <w:rPr>
          <w:i/>
          <w:spacing w:val="-15"/>
        </w:rPr>
        <w:t> </w:t>
      </w:r>
      <w:r>
        <w:rPr>
          <w:i/>
        </w:rPr>
        <w:t>political</w:t>
      </w:r>
      <w:r>
        <w:rPr>
          <w:i/>
          <w:spacing w:val="-15"/>
        </w:rPr>
        <w:t> </w:t>
      </w:r>
      <w:r>
        <w:rPr>
          <w:i/>
        </w:rPr>
        <w:t>inclusion</w:t>
      </w:r>
      <w:r>
        <w:rPr>
          <w:i/>
          <w:spacing w:val="-4"/>
        </w:rPr>
        <w:t> </w:t>
      </w:r>
      <w:r>
        <w:rPr>
          <w:i/>
        </w:rPr>
        <w:t>of</w:t>
      </w:r>
      <w:r>
        <w:rPr>
          <w:i/>
          <w:spacing w:val="-15"/>
        </w:rPr>
        <w:t> </w:t>
      </w:r>
      <w:r>
        <w:rPr>
          <w:i/>
        </w:rPr>
        <w:t>all</w:t>
      </w:r>
      <w:r>
        <w:rPr/>
        <w:t>). As</w:t>
      </w:r>
      <w:r>
        <w:rPr>
          <w:spacing w:val="-15"/>
        </w:rPr>
        <w:t> </w:t>
      </w:r>
      <w:r>
        <w:rPr/>
        <w:t>target</w:t>
      </w:r>
      <w:r>
        <w:rPr>
          <w:spacing w:val="-15"/>
        </w:rPr>
        <w:t> </w:t>
      </w:r>
      <w:r>
        <w:rPr/>
        <w:t>10.2</w:t>
      </w:r>
      <w:r>
        <w:rPr>
          <w:spacing w:val="-15"/>
        </w:rPr>
        <w:t> </w:t>
      </w:r>
      <w:r>
        <w:rPr/>
        <w:t>belongs</w:t>
      </w:r>
      <w:r>
        <w:rPr>
          <w:spacing w:val="-13"/>
        </w:rPr>
        <w:t> </w:t>
      </w:r>
      <w:r>
        <w:rPr/>
        <w:t>to</w:t>
      </w:r>
      <w:r>
        <w:rPr>
          <w:spacing w:val="-15"/>
        </w:rPr>
        <w:t> </w:t>
      </w:r>
      <w:r>
        <w:rPr/>
        <w:t>the</w:t>
      </w:r>
      <w:r>
        <w:rPr>
          <w:spacing w:val="-15"/>
        </w:rPr>
        <w:t> </w:t>
      </w:r>
      <w:r>
        <w:rPr/>
        <w:t>overarching SDG 10</w:t>
      </w:r>
      <w:r>
        <w:rPr>
          <w:spacing w:val="-3"/>
        </w:rPr>
        <w:t> </w:t>
      </w:r>
      <w:r>
        <w:rPr/>
        <w:t>(reduced inequalities),</w:t>
      </w:r>
      <w:r>
        <w:rPr>
          <w:spacing w:val="25"/>
        </w:rPr>
        <w:t> </w:t>
      </w:r>
      <w:r>
        <w:rPr/>
        <w:t>we</w:t>
      </w:r>
      <w:r>
        <w:rPr>
          <w:spacing w:val="-5"/>
        </w:rPr>
        <w:t> </w:t>
      </w:r>
      <w:r>
        <w:rPr/>
        <w:t>attributed</w:t>
      </w:r>
      <w:r>
        <w:rPr>
          <w:spacing w:val="-4"/>
        </w:rPr>
        <w:t> </w:t>
      </w:r>
      <w:r>
        <w:rPr/>
        <w:t>SDG</w:t>
      </w:r>
      <w:r>
        <w:rPr>
          <w:spacing w:val="-11"/>
        </w:rPr>
        <w:t> </w:t>
      </w:r>
      <w:r>
        <w:rPr/>
        <w:t>10</w:t>
      </w:r>
      <w:r>
        <w:rPr>
          <w:spacing w:val="-3"/>
        </w:rPr>
        <w:t> </w:t>
      </w:r>
      <w:r>
        <w:rPr/>
        <w:t>as the</w:t>
      </w:r>
      <w:r>
        <w:rPr>
          <w:spacing w:val="-5"/>
        </w:rPr>
        <w:t> </w:t>
      </w:r>
      <w:r>
        <w:rPr/>
        <w:t>primary</w:t>
      </w:r>
      <w:r>
        <w:rPr>
          <w:spacing w:val="25"/>
        </w:rPr>
        <w:t> </w:t>
      </w:r>
      <w:r>
        <w:rPr/>
        <w:t>SDG</w:t>
      </w:r>
      <w:r>
        <w:rPr>
          <w:spacing w:val="-11"/>
        </w:rPr>
        <w:t> </w:t>
      </w:r>
      <w:r>
        <w:rPr/>
        <w:t>for</w:t>
      </w:r>
      <w:r>
        <w:rPr>
          <w:spacing w:val="-8"/>
        </w:rPr>
        <w:t> </w:t>
      </w:r>
      <w:r>
        <w:rPr/>
        <w:t>this investment deal. In</w:t>
      </w:r>
      <w:r>
        <w:rPr>
          <w:spacing w:val="-2"/>
        </w:rPr>
        <w:t> </w:t>
      </w:r>
      <w:r>
        <w:rPr/>
        <w:t>this</w:t>
      </w:r>
      <w:r>
        <w:rPr>
          <w:spacing w:val="-6"/>
        </w:rPr>
        <w:t> </w:t>
      </w:r>
      <w:r>
        <w:rPr/>
        <w:t>way, we</w:t>
      </w:r>
      <w:r>
        <w:rPr>
          <w:spacing w:val="-4"/>
        </w:rPr>
        <w:t> </w:t>
      </w:r>
      <w:r>
        <w:rPr/>
        <w:t>identified</w:t>
      </w:r>
      <w:r>
        <w:rPr>
          <w:spacing w:val="-3"/>
        </w:rPr>
        <w:t> </w:t>
      </w:r>
      <w:r>
        <w:rPr/>
        <w:t>the</w:t>
      </w:r>
      <w:r>
        <w:rPr>
          <w:spacing w:val="-4"/>
        </w:rPr>
        <w:t> </w:t>
      </w:r>
      <w:r>
        <w:rPr/>
        <w:t>primary SDGs</w:t>
      </w:r>
      <w:r>
        <w:rPr>
          <w:spacing w:val="-6"/>
        </w:rPr>
        <w:t> </w:t>
      </w:r>
      <w:r>
        <w:rPr/>
        <w:t>for</w:t>
      </w:r>
      <w:r>
        <w:rPr>
          <w:spacing w:val="-8"/>
        </w:rPr>
        <w:t> </w:t>
      </w:r>
      <w:r>
        <w:rPr/>
        <w:t>all 292 investment deals.</w:t>
      </w:r>
      <w:r>
        <w:rPr>
          <w:spacing w:val="-2"/>
        </w:rPr>
        <w:t> </w:t>
      </w:r>
      <w:r>
        <w:rPr/>
        <w:t>One</w:t>
      </w:r>
      <w:r>
        <w:rPr>
          <w:spacing w:val="-4"/>
        </w:rPr>
        <w:t> </w:t>
      </w:r>
      <w:r>
        <w:rPr/>
        <w:t>researcher</w:t>
      </w:r>
      <w:r>
        <w:rPr>
          <w:spacing w:val="37"/>
        </w:rPr>
        <w:t> </w:t>
      </w:r>
      <w:r>
        <w:rPr/>
        <w:t>did the initial analysis. The second researcher independently</w:t>
      </w:r>
      <w:r>
        <w:rPr>
          <w:spacing w:val="-6"/>
        </w:rPr>
        <w:t> </w:t>
      </w:r>
      <w:r>
        <w:rPr/>
        <w:t>reviewed the analysis and flagged disagreements for discussion and reconciliation.</w:t>
      </w:r>
      <w:r>
        <w:rPr>
          <w:spacing w:val="34"/>
        </w:rPr>
        <w:t> </w:t>
      </w:r>
      <w:r>
        <w:rPr/>
        <w:t>Columns 4 and 5 in Table 1 provide closely related</w:t>
      </w:r>
      <w:r>
        <w:rPr>
          <w:spacing w:val="-15"/>
        </w:rPr>
        <w:t> </w:t>
      </w:r>
      <w:r>
        <w:rPr/>
        <w:t>SDG</w:t>
      </w:r>
      <w:r>
        <w:rPr>
          <w:spacing w:val="-24"/>
        </w:rPr>
        <w:t> </w:t>
      </w:r>
      <w:r>
        <w:rPr/>
        <w:t>targets</w:t>
      </w:r>
      <w:r>
        <w:rPr>
          <w:spacing w:val="-15"/>
        </w:rPr>
        <w:t> </w:t>
      </w:r>
      <w:r>
        <w:rPr/>
        <w:t>and</w:t>
      </w:r>
      <w:r>
        <w:rPr>
          <w:spacing w:val="-16"/>
        </w:rPr>
        <w:t> </w:t>
      </w:r>
      <w:r>
        <w:rPr/>
        <w:t>corresponding</w:t>
      </w:r>
      <w:r>
        <w:rPr>
          <w:spacing w:val="-14"/>
        </w:rPr>
        <w:t> </w:t>
      </w:r>
      <w:r>
        <w:rPr/>
        <w:t>primary</w:t>
      </w:r>
      <w:r>
        <w:rPr>
          <w:spacing w:val="5"/>
        </w:rPr>
        <w:t> </w:t>
      </w:r>
      <w:r>
        <w:rPr/>
        <w:t>SDGs</w:t>
      </w:r>
      <w:r>
        <w:rPr>
          <w:spacing w:val="-19"/>
        </w:rPr>
        <w:t> </w:t>
      </w:r>
      <w:r>
        <w:rPr/>
        <w:t>for</w:t>
      </w:r>
      <w:r>
        <w:rPr>
          <w:spacing w:val="-15"/>
        </w:rPr>
        <w:t> </w:t>
      </w:r>
      <w:r>
        <w:rPr/>
        <w:t>a</w:t>
      </w:r>
      <w:r>
        <w:rPr>
          <w:spacing w:val="-9"/>
        </w:rPr>
        <w:t> </w:t>
      </w:r>
      <w:r>
        <w:rPr/>
        <w:t>sample</w:t>
      </w:r>
      <w:r>
        <w:rPr>
          <w:spacing w:val="5"/>
        </w:rPr>
        <w:t> </w:t>
      </w:r>
      <w:r>
        <w:rPr/>
        <w:t>of</w:t>
      </w:r>
      <w:r>
        <w:rPr>
          <w:spacing w:val="-21"/>
        </w:rPr>
        <w:t> </w:t>
      </w:r>
      <w:r>
        <w:rPr/>
        <w:t>impact investment </w:t>
      </w:r>
      <w:r>
        <w:rPr>
          <w:spacing w:val="-2"/>
        </w:rPr>
        <w:t>deals.</w:t>
      </w:r>
    </w:p>
    <w:p>
      <w:pPr>
        <w:pStyle w:val="BodyText"/>
        <w:spacing w:before="158"/>
        <w:ind w:left="3060"/>
      </w:pPr>
      <w:r>
        <w:rPr/>
        <w:t>---</w:t>
      </w:r>
      <w:r>
        <w:rPr>
          <w:spacing w:val="-2"/>
        </w:rPr>
        <w:t> </w:t>
      </w:r>
      <w:r>
        <w:rPr/>
        <w:t>Insert</w:t>
      </w:r>
      <w:r>
        <w:rPr>
          <w:spacing w:val="-3"/>
        </w:rPr>
        <w:t> </w:t>
      </w:r>
      <w:r>
        <w:rPr/>
        <w:t>Table</w:t>
      </w:r>
      <w:r>
        <w:rPr>
          <w:spacing w:val="1"/>
        </w:rPr>
        <w:t> </w:t>
      </w:r>
      <w:r>
        <w:rPr/>
        <w:t>1</w:t>
      </w:r>
      <w:r>
        <w:rPr>
          <w:spacing w:val="-9"/>
        </w:rPr>
        <w:t> </w:t>
      </w:r>
      <w:r>
        <w:rPr/>
        <w:t>around</w:t>
      </w:r>
      <w:r>
        <w:rPr>
          <w:spacing w:val="2"/>
        </w:rPr>
        <w:t> </w:t>
      </w:r>
      <w:r>
        <w:rPr/>
        <w:t>here</w:t>
      </w:r>
      <w:r>
        <w:rPr>
          <w:spacing w:val="-7"/>
        </w:rPr>
        <w:t> </w:t>
      </w:r>
      <w:r>
        <w:rPr/>
        <w:t>--</w:t>
      </w:r>
      <w:r>
        <w:rPr>
          <w:spacing w:val="-10"/>
        </w:rPr>
        <w:t>-</w:t>
      </w:r>
    </w:p>
    <w:p>
      <w:pPr>
        <w:pStyle w:val="BodyText"/>
        <w:ind w:left="0"/>
        <w:jc w:val="left"/>
        <w:rPr>
          <w:sz w:val="26"/>
        </w:rPr>
      </w:pPr>
    </w:p>
    <w:p>
      <w:pPr>
        <w:pStyle w:val="BodyText"/>
        <w:spacing w:line="480" w:lineRule="auto" w:before="161"/>
        <w:ind w:right="126"/>
      </w:pPr>
      <w:r>
        <w:rPr/>
        <w:t>Table 2 summarizes</w:t>
      </w:r>
      <w:r>
        <w:rPr>
          <w:spacing w:val="40"/>
        </w:rPr>
        <w:t> </w:t>
      </w:r>
      <w:r>
        <w:rPr/>
        <w:t>the analysis of impact investment deals at the primary SDG level. As shown</w:t>
      </w:r>
      <w:r>
        <w:rPr>
          <w:spacing w:val="-10"/>
        </w:rPr>
        <w:t> </w:t>
      </w:r>
      <w:r>
        <w:rPr/>
        <w:t>in</w:t>
      </w:r>
      <w:r>
        <w:rPr>
          <w:spacing w:val="-6"/>
        </w:rPr>
        <w:t> </w:t>
      </w:r>
      <w:r>
        <w:rPr/>
        <w:t>Panel A in</w:t>
      </w:r>
      <w:r>
        <w:rPr>
          <w:spacing w:val="-6"/>
        </w:rPr>
        <w:t> </w:t>
      </w:r>
      <w:r>
        <w:rPr/>
        <w:t>Table 1, most investment deals</w:t>
      </w:r>
      <w:r>
        <w:rPr>
          <w:spacing w:val="-9"/>
        </w:rPr>
        <w:t> </w:t>
      </w:r>
      <w:r>
        <w:rPr/>
        <w:t>primarily</w:t>
      </w:r>
      <w:r>
        <w:rPr>
          <w:spacing w:val="21"/>
        </w:rPr>
        <w:t> </w:t>
      </w:r>
      <w:r>
        <w:rPr/>
        <w:t>target to</w:t>
      </w:r>
      <w:r>
        <w:rPr>
          <w:spacing w:val="-15"/>
        </w:rPr>
        <w:t> </w:t>
      </w:r>
      <w:r>
        <w:rPr/>
        <w:t>contribute</w:t>
      </w:r>
      <w:r>
        <w:rPr>
          <w:spacing w:val="-7"/>
        </w:rPr>
        <w:t> </w:t>
      </w:r>
      <w:r>
        <w:rPr/>
        <w:t>to</w:t>
      </w:r>
      <w:r>
        <w:rPr>
          <w:spacing w:val="-6"/>
        </w:rPr>
        <w:t> </w:t>
      </w:r>
      <w:r>
        <w:rPr/>
        <w:t>only</w:t>
      </w:r>
      <w:r>
        <w:rPr>
          <w:spacing w:val="-6"/>
        </w:rPr>
        <w:t> </w:t>
      </w:r>
      <w:r>
        <w:rPr/>
        <w:t>four SDGs:</w:t>
      </w:r>
      <w:r>
        <w:rPr>
          <w:spacing w:val="-15"/>
        </w:rPr>
        <w:t> </w:t>
      </w:r>
      <w:r>
        <w:rPr/>
        <w:t>SDG</w:t>
      </w:r>
      <w:r>
        <w:rPr>
          <w:spacing w:val="-14"/>
        </w:rPr>
        <w:t> </w:t>
      </w:r>
      <w:r>
        <w:rPr/>
        <w:t>2</w:t>
      </w:r>
      <w:r>
        <w:rPr>
          <w:spacing w:val="-15"/>
        </w:rPr>
        <w:t> </w:t>
      </w:r>
      <w:r>
        <w:rPr/>
        <w:t>(zero hunger), SDG</w:t>
      </w:r>
      <w:r>
        <w:rPr>
          <w:spacing w:val="-12"/>
        </w:rPr>
        <w:t> </w:t>
      </w:r>
      <w:r>
        <w:rPr/>
        <w:t>3</w:t>
      </w:r>
      <w:r>
        <w:rPr>
          <w:spacing w:val="-15"/>
        </w:rPr>
        <w:t> </w:t>
      </w:r>
      <w:r>
        <w:rPr/>
        <w:t>(good health</w:t>
      </w:r>
      <w:r>
        <w:rPr>
          <w:spacing w:val="-4"/>
        </w:rPr>
        <w:t> </w:t>
      </w:r>
      <w:r>
        <w:rPr/>
        <w:t>and</w:t>
      </w:r>
      <w:r>
        <w:rPr>
          <w:spacing w:val="-5"/>
        </w:rPr>
        <w:t> </w:t>
      </w:r>
      <w:r>
        <w:rPr/>
        <w:t>well-being), SDG</w:t>
      </w:r>
      <w:r>
        <w:rPr>
          <w:spacing w:val="-12"/>
        </w:rPr>
        <w:t> </w:t>
      </w:r>
      <w:r>
        <w:rPr/>
        <w:t>4</w:t>
      </w:r>
      <w:r>
        <w:rPr>
          <w:spacing w:val="-4"/>
        </w:rPr>
        <w:t> </w:t>
      </w:r>
      <w:r>
        <w:rPr/>
        <w:t>(quality</w:t>
      </w:r>
      <w:r>
        <w:rPr>
          <w:spacing w:val="-4"/>
        </w:rPr>
        <w:t> </w:t>
      </w:r>
      <w:r>
        <w:rPr/>
        <w:t>education), and SDG 8 (decent work</w:t>
      </w:r>
      <w:r>
        <w:rPr/>
        <w:t> and economic</w:t>
      </w:r>
      <w:r>
        <w:rPr/>
        <w:t> growth). Collectively, these four SDGs represent approximately 70.2% of all investment deals. That said, many SDGs are significantly underrepresented in investment deals. For</w:t>
      </w:r>
      <w:r>
        <w:rPr/>
        <w:t> example,</w:t>
      </w:r>
      <w:r>
        <w:rPr/>
        <w:t> the following nine SDGs collectively represent less than</w:t>
      </w:r>
      <w:r>
        <w:rPr>
          <w:spacing w:val="-6"/>
        </w:rPr>
        <w:t> </w:t>
      </w:r>
      <w:r>
        <w:rPr/>
        <w:t>10% of</w:t>
      </w:r>
      <w:r>
        <w:rPr>
          <w:spacing w:val="-12"/>
        </w:rPr>
        <w:t> </w:t>
      </w:r>
      <w:r>
        <w:rPr/>
        <w:t>available</w:t>
      </w:r>
      <w:r>
        <w:rPr>
          <w:spacing w:val="32"/>
        </w:rPr>
        <w:t> </w:t>
      </w:r>
      <w:r>
        <w:rPr/>
        <w:t>impact investment deals: SDG</w:t>
      </w:r>
      <w:r>
        <w:rPr>
          <w:spacing w:val="-1"/>
        </w:rPr>
        <w:t> </w:t>
      </w:r>
      <w:r>
        <w:rPr/>
        <w:t>5</w:t>
      </w:r>
      <w:r>
        <w:rPr>
          <w:spacing w:val="-6"/>
        </w:rPr>
        <w:t> </w:t>
      </w:r>
      <w:r>
        <w:rPr/>
        <w:t>(gender equality), SDG 6 (clean water and sanitation), SDG 9 (industry and infrastructure), SDG 12 (responsible consumption and production), SDG 13</w:t>
      </w:r>
      <w:r>
        <w:rPr>
          <w:spacing w:val="-3"/>
        </w:rPr>
        <w:t> </w:t>
      </w:r>
      <w:r>
        <w:rPr/>
        <w:t>(climate</w:t>
      </w:r>
      <w:r>
        <w:rPr>
          <w:spacing w:val="38"/>
        </w:rPr>
        <w:t> </w:t>
      </w:r>
      <w:r>
        <w:rPr/>
        <w:t>action), SDG 14</w:t>
      </w:r>
      <w:r>
        <w:rPr>
          <w:spacing w:val="-3"/>
        </w:rPr>
        <w:t> </w:t>
      </w:r>
      <w:r>
        <w:rPr/>
        <w:t>(life below water),</w:t>
      </w:r>
      <w:r>
        <w:rPr>
          <w:spacing w:val="-3"/>
        </w:rPr>
        <w:t> </w:t>
      </w:r>
      <w:r>
        <w:rPr/>
        <w:t>SDG 15 (life on land), SDG 16 (peace, justice and strong institution), and SDG 17 (partnership for </w:t>
      </w:r>
      <w:r>
        <w:rPr>
          <w:spacing w:val="-2"/>
        </w:rPr>
        <w:t>goals).</w:t>
      </w:r>
    </w:p>
    <w:p>
      <w:pPr>
        <w:pStyle w:val="BodyText"/>
        <w:spacing w:before="144"/>
        <w:ind w:left="3060"/>
      </w:pPr>
      <w:r>
        <w:rPr/>
        <w:t>---</w:t>
      </w:r>
      <w:r>
        <w:rPr>
          <w:spacing w:val="-2"/>
        </w:rPr>
        <w:t> </w:t>
      </w:r>
      <w:r>
        <w:rPr/>
        <w:t>Insert</w:t>
      </w:r>
      <w:r>
        <w:rPr>
          <w:spacing w:val="-3"/>
        </w:rPr>
        <w:t> </w:t>
      </w:r>
      <w:r>
        <w:rPr/>
        <w:t>Table</w:t>
      </w:r>
      <w:r>
        <w:rPr>
          <w:spacing w:val="1"/>
        </w:rPr>
        <w:t> </w:t>
      </w:r>
      <w:r>
        <w:rPr/>
        <w:t>2</w:t>
      </w:r>
      <w:r>
        <w:rPr>
          <w:spacing w:val="-9"/>
        </w:rPr>
        <w:t> </w:t>
      </w:r>
      <w:r>
        <w:rPr/>
        <w:t>around</w:t>
      </w:r>
      <w:r>
        <w:rPr>
          <w:spacing w:val="2"/>
        </w:rPr>
        <w:t> </w:t>
      </w:r>
      <w:r>
        <w:rPr/>
        <w:t>here</w:t>
      </w:r>
      <w:r>
        <w:rPr>
          <w:spacing w:val="-7"/>
        </w:rPr>
        <w:t> </w:t>
      </w:r>
      <w:r>
        <w:rPr/>
        <w:t>--</w:t>
      </w:r>
      <w:r>
        <w:rPr>
          <w:spacing w:val="-10"/>
        </w:rPr>
        <w:t>-</w:t>
      </w:r>
    </w:p>
    <w:p>
      <w:pPr>
        <w:pStyle w:val="BodyText"/>
        <w:ind w:left="0"/>
        <w:jc w:val="left"/>
        <w:rPr>
          <w:sz w:val="26"/>
        </w:rPr>
      </w:pPr>
    </w:p>
    <w:p>
      <w:pPr>
        <w:pStyle w:val="BodyText"/>
        <w:spacing w:line="480" w:lineRule="auto" w:before="160"/>
        <w:ind w:right="141"/>
      </w:pPr>
      <w:r>
        <w:rPr/>
        <w:t>Generally,</w:t>
      </w:r>
      <w:r>
        <w:rPr>
          <w:spacing w:val="-15"/>
        </w:rPr>
        <w:t> </w:t>
      </w:r>
      <w:r>
        <w:rPr/>
        <w:t>the</w:t>
      </w:r>
      <w:r>
        <w:rPr>
          <w:spacing w:val="-15"/>
        </w:rPr>
        <w:t> </w:t>
      </w:r>
      <w:r>
        <w:rPr/>
        <w:t>availability</w:t>
      </w:r>
      <w:r>
        <w:rPr>
          <w:spacing w:val="-9"/>
        </w:rPr>
        <w:t> </w:t>
      </w:r>
      <w:r>
        <w:rPr/>
        <w:t>of</w:t>
      </w:r>
      <w:r>
        <w:rPr>
          <w:spacing w:val="-15"/>
        </w:rPr>
        <w:t> </w:t>
      </w:r>
      <w:r>
        <w:rPr/>
        <w:t>a</w:t>
      </w:r>
      <w:r>
        <w:rPr>
          <w:spacing w:val="-11"/>
        </w:rPr>
        <w:t> </w:t>
      </w:r>
      <w:r>
        <w:rPr/>
        <w:t>large (or</w:t>
      </w:r>
      <w:r>
        <w:rPr>
          <w:spacing w:val="-15"/>
        </w:rPr>
        <w:t> </w:t>
      </w:r>
      <w:r>
        <w:rPr/>
        <w:t>small)</w:t>
      </w:r>
      <w:r>
        <w:rPr>
          <w:spacing w:val="10"/>
        </w:rPr>
        <w:t> </w:t>
      </w:r>
      <w:r>
        <w:rPr/>
        <w:t>number</w:t>
      </w:r>
      <w:r>
        <w:rPr>
          <w:spacing w:val="-15"/>
        </w:rPr>
        <w:t> </w:t>
      </w:r>
      <w:r>
        <w:rPr/>
        <w:t>of</w:t>
      </w:r>
      <w:r>
        <w:rPr>
          <w:spacing w:val="-15"/>
        </w:rPr>
        <w:t> </w:t>
      </w:r>
      <w:r>
        <w:rPr/>
        <w:t>impact</w:t>
      </w:r>
      <w:r>
        <w:rPr>
          <w:spacing w:val="-3"/>
        </w:rPr>
        <w:t> </w:t>
      </w:r>
      <w:r>
        <w:rPr/>
        <w:t>investment</w:t>
      </w:r>
      <w:r>
        <w:rPr>
          <w:spacing w:val="-3"/>
        </w:rPr>
        <w:t> </w:t>
      </w:r>
      <w:r>
        <w:rPr/>
        <w:t>deals</w:t>
      </w:r>
      <w:r>
        <w:rPr>
          <w:spacing w:val="-15"/>
        </w:rPr>
        <w:t> </w:t>
      </w:r>
      <w:r>
        <w:rPr/>
        <w:t>in a</w:t>
      </w:r>
      <w:r>
        <w:rPr>
          <w:spacing w:val="-15"/>
        </w:rPr>
        <w:t> </w:t>
      </w:r>
      <w:r>
        <w:rPr/>
        <w:t>specific sector indicates the</w:t>
      </w:r>
      <w:r>
        <w:rPr>
          <w:spacing w:val="-7"/>
        </w:rPr>
        <w:t> </w:t>
      </w:r>
      <w:r>
        <w:rPr/>
        <w:t>high (or low) level of impact investment readiness in that sector (Islam, 2022a; O’Donohoe </w:t>
      </w:r>
      <w:r>
        <w:rPr>
          <w:i/>
        </w:rPr>
        <w:t>et al.</w:t>
      </w:r>
      <w:r>
        <w:rPr/>
        <w:t>, 2010). A high level of impact investment readiness in a specific sector represents that the</w:t>
      </w:r>
      <w:r>
        <w:rPr>
          <w:spacing w:val="-7"/>
        </w:rPr>
        <w:t> </w:t>
      </w:r>
      <w:r>
        <w:rPr/>
        <w:t>potential investee companies in that</w:t>
      </w:r>
      <w:r>
        <w:rPr>
          <w:spacing w:val="-12"/>
        </w:rPr>
        <w:t> </w:t>
      </w:r>
      <w:r>
        <w:rPr/>
        <w:t>sector have viable and scalable business</w:t>
      </w:r>
      <w:r>
        <w:rPr>
          <w:spacing w:val="29"/>
        </w:rPr>
        <w:t> </w:t>
      </w:r>
      <w:r>
        <w:rPr/>
        <w:t>models</w:t>
      </w:r>
      <w:r>
        <w:rPr>
          <w:spacing w:val="4"/>
        </w:rPr>
        <w:t> </w:t>
      </w:r>
      <w:r>
        <w:rPr/>
        <w:t>as</w:t>
      </w:r>
      <w:r>
        <w:rPr>
          <w:spacing w:val="17"/>
        </w:rPr>
        <w:t> </w:t>
      </w:r>
      <w:r>
        <w:rPr/>
        <w:t>preferred</w:t>
      </w:r>
      <w:r>
        <w:rPr>
          <w:spacing w:val="21"/>
        </w:rPr>
        <w:t> </w:t>
      </w:r>
      <w:r>
        <w:rPr/>
        <w:t>by</w:t>
      </w:r>
      <w:r>
        <w:rPr>
          <w:spacing w:val="6"/>
        </w:rPr>
        <w:t> </w:t>
      </w:r>
      <w:r>
        <w:rPr/>
        <w:t>impact</w:t>
      </w:r>
      <w:r>
        <w:rPr>
          <w:spacing w:val="28"/>
        </w:rPr>
        <w:t> </w:t>
      </w:r>
      <w:r>
        <w:rPr/>
        <w:t>investors</w:t>
      </w:r>
      <w:r>
        <w:rPr>
          <w:spacing w:val="31"/>
        </w:rPr>
        <w:t> </w:t>
      </w:r>
      <w:r>
        <w:rPr/>
        <w:t>(Hazenberg</w:t>
      </w:r>
      <w:r>
        <w:rPr>
          <w:spacing w:val="32"/>
        </w:rPr>
        <w:t> </w:t>
      </w:r>
      <w:r>
        <w:rPr>
          <w:i/>
        </w:rPr>
        <w:t>et</w:t>
      </w:r>
      <w:r>
        <w:rPr>
          <w:i/>
          <w:spacing w:val="1"/>
        </w:rPr>
        <w:t> </w:t>
      </w:r>
      <w:r>
        <w:rPr>
          <w:i/>
        </w:rPr>
        <w:t>al.</w:t>
      </w:r>
      <w:r>
        <w:rPr/>
        <w:t>,</w:t>
      </w:r>
      <w:r>
        <w:rPr>
          <w:spacing w:val="21"/>
        </w:rPr>
        <w:t> </w:t>
      </w:r>
      <w:r>
        <w:rPr/>
        <w:t>2015).</w:t>
      </w:r>
      <w:r>
        <w:rPr>
          <w:spacing w:val="20"/>
        </w:rPr>
        <w:t> </w:t>
      </w:r>
      <w:r>
        <w:rPr/>
        <w:t>Our</w:t>
      </w:r>
      <w:r>
        <w:rPr>
          <w:spacing w:val="2"/>
        </w:rPr>
        <w:t> </w:t>
      </w:r>
      <w:r>
        <w:rPr>
          <w:spacing w:val="-2"/>
        </w:rPr>
        <w:t>observation</w:t>
      </w:r>
    </w:p>
    <w:p>
      <w:pPr>
        <w:spacing w:after="0" w:line="480" w:lineRule="auto"/>
        <w:sectPr>
          <w:pgSz w:w="11910" w:h="16850"/>
          <w:pgMar w:header="0" w:footer="1005" w:top="1380" w:bottom="1200" w:left="1340" w:right="1300"/>
        </w:sectPr>
      </w:pPr>
    </w:p>
    <w:p>
      <w:pPr>
        <w:pStyle w:val="BodyText"/>
        <w:spacing w:line="480" w:lineRule="auto" w:before="72"/>
        <w:ind w:right="135"/>
      </w:pPr>
      <w:r>
        <w:rPr/>
        <w:t>suggests</w:t>
      </w:r>
      <w:r>
        <w:rPr>
          <w:spacing w:val="-10"/>
        </w:rPr>
        <w:t> </w:t>
      </w:r>
      <w:r>
        <w:rPr/>
        <w:t>that</w:t>
      </w:r>
      <w:r>
        <w:rPr>
          <w:spacing w:val="-13"/>
        </w:rPr>
        <w:t> </w:t>
      </w:r>
      <w:r>
        <w:rPr/>
        <w:t>sectors</w:t>
      </w:r>
      <w:r>
        <w:rPr>
          <w:spacing w:val="-10"/>
        </w:rPr>
        <w:t> </w:t>
      </w:r>
      <w:r>
        <w:rPr/>
        <w:t>related</w:t>
      </w:r>
      <w:r>
        <w:rPr>
          <w:spacing w:val="-8"/>
        </w:rPr>
        <w:t> </w:t>
      </w:r>
      <w:r>
        <w:rPr/>
        <w:t>to</w:t>
      </w:r>
      <w:r>
        <w:rPr>
          <w:spacing w:val="-7"/>
        </w:rPr>
        <w:t> </w:t>
      </w:r>
      <w:r>
        <w:rPr/>
        <w:t>healthcare</w:t>
      </w:r>
      <w:r>
        <w:rPr>
          <w:spacing w:val="-8"/>
        </w:rPr>
        <w:t> </w:t>
      </w:r>
      <w:r>
        <w:rPr/>
        <w:t>(SDG</w:t>
      </w:r>
      <w:r>
        <w:rPr>
          <w:spacing w:val="-1"/>
        </w:rPr>
        <w:t> </w:t>
      </w:r>
      <w:r>
        <w:rPr/>
        <w:t>3),</w:t>
      </w:r>
      <w:r>
        <w:rPr>
          <w:spacing w:val="-7"/>
        </w:rPr>
        <w:t> </w:t>
      </w:r>
      <w:r>
        <w:rPr/>
        <w:t>sustainable</w:t>
      </w:r>
      <w:r>
        <w:rPr>
          <w:spacing w:val="-8"/>
        </w:rPr>
        <w:t> </w:t>
      </w:r>
      <w:r>
        <w:rPr/>
        <w:t>agriculture</w:t>
      </w:r>
      <w:r>
        <w:rPr>
          <w:spacing w:val="18"/>
        </w:rPr>
        <w:t> </w:t>
      </w:r>
      <w:r>
        <w:rPr/>
        <w:t>(SDG</w:t>
      </w:r>
      <w:r>
        <w:rPr>
          <w:spacing w:val="-15"/>
        </w:rPr>
        <w:t> </w:t>
      </w:r>
      <w:r>
        <w:rPr/>
        <w:t>2),</w:t>
      </w:r>
      <w:r>
        <w:rPr>
          <w:spacing w:val="-7"/>
        </w:rPr>
        <w:t> </w:t>
      </w:r>
      <w:r>
        <w:rPr/>
        <w:t>education (SDG</w:t>
      </w:r>
      <w:r>
        <w:rPr>
          <w:spacing w:val="-15"/>
        </w:rPr>
        <w:t> </w:t>
      </w:r>
      <w:r>
        <w:rPr/>
        <w:t>4),</w:t>
      </w:r>
      <w:r>
        <w:rPr>
          <w:spacing w:val="-6"/>
        </w:rPr>
        <w:t> </w:t>
      </w:r>
      <w:r>
        <w:rPr/>
        <w:t>and</w:t>
      </w:r>
      <w:r>
        <w:rPr>
          <w:spacing w:val="-5"/>
        </w:rPr>
        <w:t> </w:t>
      </w:r>
      <w:r>
        <w:rPr/>
        <w:t>MSMEs development</w:t>
      </w:r>
      <w:r>
        <w:rPr>
          <w:spacing w:val="-11"/>
        </w:rPr>
        <w:t> </w:t>
      </w:r>
      <w:r>
        <w:rPr/>
        <w:t>(SDG</w:t>
      </w:r>
      <w:r>
        <w:rPr>
          <w:spacing w:val="-13"/>
        </w:rPr>
        <w:t> </w:t>
      </w:r>
      <w:r>
        <w:rPr/>
        <w:t>8)</w:t>
      </w:r>
      <w:r>
        <w:rPr>
          <w:spacing w:val="-10"/>
        </w:rPr>
        <w:t> </w:t>
      </w:r>
      <w:r>
        <w:rPr/>
        <w:t>are the</w:t>
      </w:r>
      <w:r>
        <w:rPr>
          <w:spacing w:val="-15"/>
        </w:rPr>
        <w:t> </w:t>
      </w:r>
      <w:r>
        <w:rPr/>
        <w:t>most advanced</w:t>
      </w:r>
      <w:r>
        <w:rPr>
          <w:spacing w:val="-5"/>
        </w:rPr>
        <w:t> </w:t>
      </w:r>
      <w:r>
        <w:rPr/>
        <w:t>sectors</w:t>
      </w:r>
      <w:r>
        <w:rPr>
          <w:spacing w:val="-8"/>
        </w:rPr>
        <w:t> </w:t>
      </w:r>
      <w:r>
        <w:rPr/>
        <w:t>in</w:t>
      </w:r>
      <w:r>
        <w:rPr>
          <w:spacing w:val="-4"/>
        </w:rPr>
        <w:t> </w:t>
      </w:r>
      <w:r>
        <w:rPr/>
        <w:t>terms</w:t>
      </w:r>
      <w:r>
        <w:rPr>
          <w:spacing w:val="-8"/>
        </w:rPr>
        <w:t> </w:t>
      </w:r>
      <w:r>
        <w:rPr/>
        <w:t>of impact investment readiness. Hence, large numbers of impact investment deals originate from these sectors,</w:t>
      </w:r>
      <w:r>
        <w:rPr>
          <w:spacing w:val="-15"/>
        </w:rPr>
        <w:t> </w:t>
      </w:r>
      <w:r>
        <w:rPr/>
        <w:t>increasing</w:t>
      </w:r>
      <w:r>
        <w:rPr>
          <w:spacing w:val="-15"/>
        </w:rPr>
        <w:t> </w:t>
      </w:r>
      <w:r>
        <w:rPr/>
        <w:t>the</w:t>
      </w:r>
      <w:r>
        <w:rPr>
          <w:spacing w:val="-15"/>
        </w:rPr>
        <w:t> </w:t>
      </w:r>
      <w:r>
        <w:rPr/>
        <w:t>potential</w:t>
      </w:r>
      <w:r>
        <w:rPr>
          <w:spacing w:val="-15"/>
        </w:rPr>
        <w:t> </w:t>
      </w:r>
      <w:r>
        <w:rPr/>
        <w:t>to</w:t>
      </w:r>
      <w:r>
        <w:rPr>
          <w:spacing w:val="-15"/>
        </w:rPr>
        <w:t> </w:t>
      </w:r>
      <w:r>
        <w:rPr/>
        <w:t>directly</w:t>
      </w:r>
      <w:r>
        <w:rPr>
          <w:spacing w:val="-8"/>
        </w:rPr>
        <w:t> </w:t>
      </w:r>
      <w:r>
        <w:rPr/>
        <w:t>contribute</w:t>
      </w:r>
      <w:r>
        <w:rPr>
          <w:spacing w:val="-15"/>
        </w:rPr>
        <w:t> </w:t>
      </w:r>
      <w:r>
        <w:rPr/>
        <w:t>to</w:t>
      </w:r>
      <w:r>
        <w:rPr>
          <w:spacing w:val="-15"/>
        </w:rPr>
        <w:t> </w:t>
      </w:r>
      <w:r>
        <w:rPr/>
        <w:t>SDGs</w:t>
      </w:r>
      <w:r>
        <w:rPr>
          <w:spacing w:val="-15"/>
        </w:rPr>
        <w:t> </w:t>
      </w:r>
      <w:r>
        <w:rPr/>
        <w:t>2,</w:t>
      </w:r>
      <w:r>
        <w:rPr>
          <w:spacing w:val="-15"/>
        </w:rPr>
        <w:t> </w:t>
      </w:r>
      <w:r>
        <w:rPr/>
        <w:t>3,</w:t>
      </w:r>
      <w:r>
        <w:rPr>
          <w:spacing w:val="-15"/>
        </w:rPr>
        <w:t> </w:t>
      </w:r>
      <w:r>
        <w:rPr/>
        <w:t>4, and</w:t>
      </w:r>
      <w:r>
        <w:rPr>
          <w:spacing w:val="-15"/>
        </w:rPr>
        <w:t> </w:t>
      </w:r>
      <w:r>
        <w:rPr/>
        <w:t>8.</w:t>
      </w:r>
      <w:r>
        <w:rPr>
          <w:spacing w:val="-15"/>
        </w:rPr>
        <w:t> </w:t>
      </w:r>
      <w:r>
        <w:rPr/>
        <w:t>In</w:t>
      </w:r>
      <w:r>
        <w:rPr>
          <w:spacing w:val="-15"/>
        </w:rPr>
        <w:t> </w:t>
      </w:r>
      <w:r>
        <w:rPr/>
        <w:t>contrast,</w:t>
      </w:r>
      <w:r>
        <w:rPr>
          <w:spacing w:val="-15"/>
        </w:rPr>
        <w:t> </w:t>
      </w:r>
      <w:r>
        <w:rPr/>
        <w:t>sectors related</w:t>
      </w:r>
      <w:r>
        <w:rPr/>
        <w:t> to water and sanitation (SDG 6), infrastructure development (SDG 9), and nature conservation (SDG 15), among others, appear to be the least developed sectors in terms of impact investment readiness. As a result, a significantly small number of impact investment deals originate from these sectors.</w:t>
      </w:r>
    </w:p>
    <w:p>
      <w:pPr>
        <w:pStyle w:val="BodyText"/>
        <w:spacing w:line="477" w:lineRule="auto" w:before="164"/>
        <w:ind w:right="130"/>
      </w:pPr>
      <w:r>
        <w:rPr/>
        <w:t>Table 2</w:t>
      </w:r>
      <w:r>
        <w:rPr>
          <w:spacing w:val="-6"/>
        </w:rPr>
        <w:t> </w:t>
      </w:r>
      <w:r>
        <w:rPr/>
        <w:t>also provides</w:t>
      </w:r>
      <w:r>
        <w:rPr>
          <w:spacing w:val="-10"/>
        </w:rPr>
        <w:t> </w:t>
      </w:r>
      <w:r>
        <w:rPr/>
        <w:t>insights into</w:t>
      </w:r>
      <w:r>
        <w:rPr>
          <w:spacing w:val="-6"/>
        </w:rPr>
        <w:t> </w:t>
      </w:r>
      <w:r>
        <w:rPr/>
        <w:t>the</w:t>
      </w:r>
      <w:r>
        <w:rPr>
          <w:spacing w:val="-15"/>
        </w:rPr>
        <w:t> </w:t>
      </w:r>
      <w:r>
        <w:rPr/>
        <w:t>distribution</w:t>
      </w:r>
      <w:r>
        <w:rPr>
          <w:spacing w:val="-6"/>
        </w:rPr>
        <w:t> </w:t>
      </w:r>
      <w:r>
        <w:rPr/>
        <w:t>of impact investment deals</w:t>
      </w:r>
      <w:r>
        <w:rPr>
          <w:spacing w:val="-10"/>
        </w:rPr>
        <w:t> </w:t>
      </w:r>
      <w:r>
        <w:rPr/>
        <w:t>across different geographic regions at the</w:t>
      </w:r>
      <w:r>
        <w:rPr>
          <w:spacing w:val="-7"/>
        </w:rPr>
        <w:t> </w:t>
      </w:r>
      <w:r>
        <w:rPr/>
        <w:t>primary SDG level (see Panel B). Here, we</w:t>
      </w:r>
      <w:r>
        <w:rPr>
          <w:spacing w:val="-7"/>
        </w:rPr>
        <w:t> </w:t>
      </w:r>
      <w:r>
        <w:rPr/>
        <w:t>utilized the</w:t>
      </w:r>
      <w:r>
        <w:rPr>
          <w:spacing w:val="-7"/>
        </w:rPr>
        <w:t> </w:t>
      </w:r>
      <w:r>
        <w:rPr/>
        <w:t>geographic classification</w:t>
      </w:r>
      <w:r>
        <w:rPr>
          <w:spacing w:val="-15"/>
        </w:rPr>
        <w:t> </w:t>
      </w:r>
      <w:r>
        <w:rPr/>
        <w:t>adopted</w:t>
      </w:r>
      <w:r>
        <w:rPr>
          <w:spacing w:val="-15"/>
        </w:rPr>
        <w:t> </w:t>
      </w:r>
      <w:r>
        <w:rPr/>
        <w:t>by</w:t>
      </w:r>
      <w:r>
        <w:rPr>
          <w:spacing w:val="-15"/>
        </w:rPr>
        <w:t> </w:t>
      </w:r>
      <w:r>
        <w:rPr/>
        <w:t>the</w:t>
      </w:r>
      <w:r>
        <w:rPr>
          <w:spacing w:val="-15"/>
        </w:rPr>
        <w:t> </w:t>
      </w:r>
      <w:r>
        <w:rPr/>
        <w:t>Global</w:t>
      </w:r>
      <w:r>
        <w:rPr>
          <w:spacing w:val="-15"/>
        </w:rPr>
        <w:t> </w:t>
      </w:r>
      <w:r>
        <w:rPr/>
        <w:t>Impact</w:t>
      </w:r>
      <w:r>
        <w:rPr>
          <w:spacing w:val="-15"/>
        </w:rPr>
        <w:t> </w:t>
      </w:r>
      <w:r>
        <w:rPr/>
        <w:t>Investing</w:t>
      </w:r>
      <w:r>
        <w:rPr>
          <w:spacing w:val="-11"/>
        </w:rPr>
        <w:t> </w:t>
      </w:r>
      <w:r>
        <w:rPr/>
        <w:t>Network</w:t>
      </w:r>
      <w:r>
        <w:rPr>
          <w:spacing w:val="-15"/>
        </w:rPr>
        <w:t> </w:t>
      </w:r>
      <w:r>
        <w:rPr/>
        <w:t>(see</w:t>
      </w:r>
      <w:r>
        <w:rPr>
          <w:spacing w:val="-5"/>
        </w:rPr>
        <w:t> </w:t>
      </w:r>
      <w:r>
        <w:rPr/>
        <w:t>Mudaliar </w:t>
      </w:r>
      <w:r>
        <w:rPr>
          <w:i/>
        </w:rPr>
        <w:t>et</w:t>
      </w:r>
      <w:r>
        <w:rPr>
          <w:i/>
          <w:spacing w:val="-10"/>
        </w:rPr>
        <w:t> </w:t>
      </w:r>
      <w:r>
        <w:rPr>
          <w:i/>
        </w:rPr>
        <w:t>al.</w:t>
      </w:r>
      <w:r>
        <w:rPr/>
        <w:t>,</w:t>
      </w:r>
      <w:r>
        <w:rPr>
          <w:spacing w:val="-4"/>
        </w:rPr>
        <w:t> </w:t>
      </w:r>
      <w:r>
        <w:rPr/>
        <w:t>2019).</w:t>
      </w:r>
      <w:r>
        <w:rPr>
          <w:spacing w:val="-4"/>
        </w:rPr>
        <w:t> </w:t>
      </w:r>
      <w:r>
        <w:rPr/>
        <w:t>The geographic</w:t>
      </w:r>
      <w:r>
        <w:rPr>
          <w:spacing w:val="-10"/>
        </w:rPr>
        <w:t> </w:t>
      </w:r>
      <w:r>
        <w:rPr/>
        <w:t>region of</w:t>
      </w:r>
      <w:r>
        <w:rPr>
          <w:spacing w:val="-11"/>
        </w:rPr>
        <w:t> </w:t>
      </w:r>
      <w:r>
        <w:rPr/>
        <w:t>each</w:t>
      </w:r>
      <w:r>
        <w:rPr>
          <w:spacing w:val="-6"/>
        </w:rPr>
        <w:t> </w:t>
      </w:r>
      <w:r>
        <w:rPr/>
        <w:t>investment deal</w:t>
      </w:r>
      <w:r>
        <w:rPr>
          <w:spacing w:val="-15"/>
        </w:rPr>
        <w:t> </w:t>
      </w:r>
      <w:r>
        <w:rPr/>
        <w:t>was</w:t>
      </w:r>
      <w:r>
        <w:rPr>
          <w:spacing w:val="-9"/>
        </w:rPr>
        <w:t> </w:t>
      </w:r>
      <w:r>
        <w:rPr/>
        <w:t>determined</w:t>
      </w:r>
      <w:r>
        <w:rPr>
          <w:spacing w:val="-7"/>
        </w:rPr>
        <w:t> </w:t>
      </w:r>
      <w:r>
        <w:rPr/>
        <w:t>based</w:t>
      </w:r>
      <w:r>
        <w:rPr>
          <w:spacing w:val="-7"/>
        </w:rPr>
        <w:t> </w:t>
      </w:r>
      <w:r>
        <w:rPr/>
        <w:t>on</w:t>
      </w:r>
      <w:r>
        <w:rPr>
          <w:spacing w:val="-6"/>
        </w:rPr>
        <w:t> </w:t>
      </w:r>
      <w:r>
        <w:rPr/>
        <w:t>the</w:t>
      </w:r>
      <w:r>
        <w:rPr>
          <w:spacing w:val="-15"/>
        </w:rPr>
        <w:t> </w:t>
      </w:r>
      <w:r>
        <w:rPr/>
        <w:t>operating</w:t>
      </w:r>
      <w:r>
        <w:rPr>
          <w:spacing w:val="-6"/>
        </w:rPr>
        <w:t> </w:t>
      </w:r>
      <w:r>
        <w:rPr/>
        <w:t>countries of the</w:t>
      </w:r>
      <w:r>
        <w:rPr>
          <w:spacing w:val="-11"/>
        </w:rPr>
        <w:t> </w:t>
      </w:r>
      <w:r>
        <w:rPr/>
        <w:t>investee</w:t>
      </w:r>
      <w:r>
        <w:rPr>
          <w:spacing w:val="-7"/>
        </w:rPr>
        <w:t> </w:t>
      </w:r>
      <w:r>
        <w:rPr/>
        <w:t>companies</w:t>
      </w:r>
      <w:r>
        <w:rPr>
          <w:spacing w:val="19"/>
        </w:rPr>
        <w:t> </w:t>
      </w:r>
      <w:r>
        <w:rPr/>
        <w:t>underlying</w:t>
      </w:r>
      <w:r>
        <w:rPr>
          <w:spacing w:val="-5"/>
        </w:rPr>
        <w:t> </w:t>
      </w:r>
      <w:r>
        <w:rPr/>
        <w:t>each</w:t>
      </w:r>
      <w:r>
        <w:rPr>
          <w:spacing w:val="-5"/>
        </w:rPr>
        <w:t> </w:t>
      </w:r>
      <w:r>
        <w:rPr/>
        <w:t>deal.</w:t>
      </w:r>
      <w:r>
        <w:rPr>
          <w:spacing w:val="-5"/>
        </w:rPr>
        <w:t> </w:t>
      </w:r>
      <w:r>
        <w:rPr/>
        <w:t>The results show that</w:t>
      </w:r>
      <w:r>
        <w:rPr>
          <w:spacing w:val="-11"/>
        </w:rPr>
        <w:t> </w:t>
      </w:r>
      <w:r>
        <w:rPr/>
        <w:t>for</w:t>
      </w:r>
      <w:r>
        <w:rPr>
          <w:spacing w:val="-11"/>
        </w:rPr>
        <w:t> </w:t>
      </w:r>
      <w:r>
        <w:rPr/>
        <w:t>almost all SDGs,</w:t>
      </w:r>
      <w:r>
        <w:rPr>
          <w:spacing w:val="-15"/>
        </w:rPr>
        <w:t> </w:t>
      </w:r>
      <w:r>
        <w:rPr/>
        <w:t>most investment deals are located in two</w:t>
      </w:r>
      <w:r>
        <w:rPr>
          <w:spacing w:val="-3"/>
        </w:rPr>
        <w:t> </w:t>
      </w:r>
      <w:r>
        <w:rPr/>
        <w:t>regions – US</w:t>
      </w:r>
      <w:r>
        <w:rPr>
          <w:spacing w:val="-2"/>
        </w:rPr>
        <w:t> </w:t>
      </w:r>
      <w:r>
        <w:rPr/>
        <w:t>&amp; Canada</w:t>
      </w:r>
      <w:r>
        <w:rPr>
          <w:spacing w:val="-4"/>
        </w:rPr>
        <w:t> </w:t>
      </w:r>
      <w:r>
        <w:rPr/>
        <w:t>and Sub-Saharan Africa (SSA). This</w:t>
      </w:r>
      <w:r>
        <w:rPr>
          <w:spacing w:val="-15"/>
        </w:rPr>
        <w:t> </w:t>
      </w:r>
      <w:r>
        <w:rPr/>
        <w:t>suggests</w:t>
      </w:r>
      <w:r>
        <w:rPr>
          <w:spacing w:val="-15"/>
        </w:rPr>
        <w:t> </w:t>
      </w:r>
      <w:r>
        <w:rPr/>
        <w:t>that</w:t>
      </w:r>
      <w:r>
        <w:rPr>
          <w:spacing w:val="-15"/>
        </w:rPr>
        <w:t> </w:t>
      </w:r>
      <w:r>
        <w:rPr/>
        <w:t>impact</w:t>
      </w:r>
      <w:r>
        <w:rPr>
          <w:spacing w:val="-15"/>
        </w:rPr>
        <w:t> </w:t>
      </w:r>
      <w:r>
        <w:rPr/>
        <w:t>investment</w:t>
      </w:r>
      <w:r>
        <w:rPr>
          <w:spacing w:val="-15"/>
        </w:rPr>
        <w:t> </w:t>
      </w:r>
      <w:r>
        <w:rPr/>
        <w:t>opportunities</w:t>
      </w:r>
      <w:r>
        <w:rPr>
          <w:spacing w:val="-15"/>
        </w:rPr>
        <w:t> </w:t>
      </w:r>
      <w:r>
        <w:rPr/>
        <w:t>contributing</w:t>
      </w:r>
      <w:r>
        <w:rPr>
          <w:spacing w:val="-15"/>
        </w:rPr>
        <w:t> </w:t>
      </w:r>
      <w:r>
        <w:rPr/>
        <w:t>to</w:t>
      </w:r>
      <w:r>
        <w:rPr>
          <w:spacing w:val="-15"/>
        </w:rPr>
        <w:t> </w:t>
      </w:r>
      <w:r>
        <w:rPr/>
        <w:t>various</w:t>
      </w:r>
      <w:r>
        <w:rPr>
          <w:spacing w:val="-15"/>
        </w:rPr>
        <w:t> </w:t>
      </w:r>
      <w:r>
        <w:rPr/>
        <w:t>SDGs</w:t>
      </w:r>
      <w:r>
        <w:rPr>
          <w:spacing w:val="-15"/>
        </w:rPr>
        <w:t> </w:t>
      </w:r>
      <w:r>
        <w:rPr/>
        <w:t>are</w:t>
      </w:r>
      <w:r>
        <w:rPr>
          <w:spacing w:val="-9"/>
        </w:rPr>
        <w:t> </w:t>
      </w:r>
      <w:r>
        <w:rPr/>
        <w:t>not</w:t>
      </w:r>
      <w:r>
        <w:rPr>
          <w:spacing w:val="-15"/>
        </w:rPr>
        <w:t> </w:t>
      </w:r>
      <w:r>
        <w:rPr/>
        <w:t>evenly distributed</w:t>
      </w:r>
      <w:r>
        <w:rPr>
          <w:spacing w:val="-15"/>
        </w:rPr>
        <w:t> </w:t>
      </w:r>
      <w:r>
        <w:rPr/>
        <w:t>to</w:t>
      </w:r>
      <w:r>
        <w:rPr>
          <w:spacing w:val="-15"/>
        </w:rPr>
        <w:t> </w:t>
      </w:r>
      <w:r>
        <w:rPr/>
        <w:t>all</w:t>
      </w:r>
      <w:r>
        <w:rPr>
          <w:spacing w:val="-9"/>
        </w:rPr>
        <w:t> </w:t>
      </w:r>
      <w:r>
        <w:rPr/>
        <w:t>regions;</w:t>
      </w:r>
      <w:r>
        <w:rPr>
          <w:spacing w:val="21"/>
        </w:rPr>
        <w:t> </w:t>
      </w:r>
      <w:r>
        <w:rPr/>
        <w:t>instead,</w:t>
      </w:r>
      <w:r>
        <w:rPr>
          <w:spacing w:val="-15"/>
        </w:rPr>
        <w:t> </w:t>
      </w:r>
      <w:r>
        <w:rPr/>
        <w:t>they</w:t>
      </w:r>
      <w:r>
        <w:rPr>
          <w:spacing w:val="-15"/>
        </w:rPr>
        <w:t> </w:t>
      </w:r>
      <w:r>
        <w:rPr/>
        <w:t>are largely confined</w:t>
      </w:r>
      <w:r>
        <w:rPr>
          <w:spacing w:val="-3"/>
        </w:rPr>
        <w:t> </w:t>
      </w:r>
      <w:r>
        <w:rPr/>
        <w:t>to</w:t>
      </w:r>
      <w:r>
        <w:rPr>
          <w:spacing w:val="-15"/>
        </w:rPr>
        <w:t> </w:t>
      </w:r>
      <w:r>
        <w:rPr/>
        <w:t>two</w:t>
      </w:r>
      <w:r>
        <w:rPr>
          <w:spacing w:val="-15"/>
        </w:rPr>
        <w:t> </w:t>
      </w:r>
      <w:r>
        <w:rPr/>
        <w:t>regions</w:t>
      </w:r>
      <w:r>
        <w:rPr>
          <w:spacing w:val="23"/>
        </w:rPr>
        <w:t> </w:t>
      </w:r>
      <w:r>
        <w:rPr/>
        <w:t>–</w:t>
      </w:r>
      <w:r>
        <w:rPr>
          <w:spacing w:val="-2"/>
        </w:rPr>
        <w:t> </w:t>
      </w:r>
      <w:r>
        <w:rPr/>
        <w:t>US</w:t>
      </w:r>
      <w:r>
        <w:rPr>
          <w:spacing w:val="-15"/>
        </w:rPr>
        <w:t> </w:t>
      </w:r>
      <w:r>
        <w:rPr/>
        <w:t>&amp;</w:t>
      </w:r>
      <w:r>
        <w:rPr>
          <w:spacing w:val="-9"/>
        </w:rPr>
        <w:t> </w:t>
      </w:r>
      <w:r>
        <w:rPr/>
        <w:t>Canada</w:t>
      </w:r>
      <w:r>
        <w:rPr>
          <w:spacing w:val="-15"/>
        </w:rPr>
        <w:t> </w:t>
      </w:r>
      <w:r>
        <w:rPr/>
        <w:t>and </w:t>
      </w:r>
      <w:r>
        <w:rPr>
          <w:spacing w:val="-4"/>
        </w:rPr>
        <w:t>SSA.</w:t>
      </w:r>
    </w:p>
    <w:p>
      <w:pPr>
        <w:pStyle w:val="BodyText"/>
        <w:spacing w:line="480" w:lineRule="auto" w:before="191"/>
        <w:ind w:right="128"/>
      </w:pPr>
      <w:r>
        <w:rPr/>
        <w:t>Another important observation is that for SDGs 1 (no poverty), 2 (zero hunger), and 7 (affordable</w:t>
      </w:r>
      <w:r>
        <w:rPr>
          <w:spacing w:val="-15"/>
        </w:rPr>
        <w:t> </w:t>
      </w:r>
      <w:r>
        <w:rPr/>
        <w:t>and</w:t>
      </w:r>
      <w:r>
        <w:rPr>
          <w:spacing w:val="-15"/>
        </w:rPr>
        <w:t> </w:t>
      </w:r>
      <w:r>
        <w:rPr/>
        <w:t>clean</w:t>
      </w:r>
      <w:r>
        <w:rPr>
          <w:spacing w:val="-15"/>
        </w:rPr>
        <w:t> </w:t>
      </w:r>
      <w:r>
        <w:rPr/>
        <w:t>energy),</w:t>
      </w:r>
      <w:r>
        <w:rPr>
          <w:spacing w:val="-15"/>
        </w:rPr>
        <w:t> </w:t>
      </w:r>
      <w:r>
        <w:rPr/>
        <w:t>the</w:t>
      </w:r>
      <w:r>
        <w:rPr>
          <w:spacing w:val="-15"/>
        </w:rPr>
        <w:t> </w:t>
      </w:r>
      <w:r>
        <w:rPr/>
        <w:t>majority</w:t>
      </w:r>
      <w:r>
        <w:rPr>
          <w:spacing w:val="-15"/>
        </w:rPr>
        <w:t> </w:t>
      </w:r>
      <w:r>
        <w:rPr/>
        <w:t>of</w:t>
      </w:r>
      <w:r>
        <w:rPr>
          <w:spacing w:val="-15"/>
        </w:rPr>
        <w:t> </w:t>
      </w:r>
      <w:r>
        <w:rPr/>
        <w:t>investment</w:t>
      </w:r>
      <w:r>
        <w:rPr>
          <w:spacing w:val="-15"/>
        </w:rPr>
        <w:t> </w:t>
      </w:r>
      <w:r>
        <w:rPr/>
        <w:t>deals</w:t>
      </w:r>
      <w:r>
        <w:rPr>
          <w:spacing w:val="-15"/>
        </w:rPr>
        <w:t> </w:t>
      </w:r>
      <w:r>
        <w:rPr/>
        <w:t>are</w:t>
      </w:r>
      <w:r>
        <w:rPr>
          <w:spacing w:val="-15"/>
        </w:rPr>
        <w:t> </w:t>
      </w:r>
      <w:r>
        <w:rPr/>
        <w:t>located</w:t>
      </w:r>
      <w:r>
        <w:rPr>
          <w:spacing w:val="-15"/>
        </w:rPr>
        <w:t> </w:t>
      </w:r>
      <w:r>
        <w:rPr/>
        <w:t>in</w:t>
      </w:r>
      <w:r>
        <w:rPr>
          <w:spacing w:val="-15"/>
        </w:rPr>
        <w:t> </w:t>
      </w:r>
      <w:r>
        <w:rPr/>
        <w:t>emerging</w:t>
      </w:r>
      <w:r>
        <w:rPr>
          <w:spacing w:val="-9"/>
        </w:rPr>
        <w:t> </w:t>
      </w:r>
      <w:r>
        <w:rPr/>
        <w:t>regions. In</w:t>
      </w:r>
      <w:r>
        <w:rPr>
          <w:spacing w:val="-4"/>
        </w:rPr>
        <w:t> </w:t>
      </w:r>
      <w:r>
        <w:rPr/>
        <w:t>contrast,</w:t>
      </w:r>
      <w:r>
        <w:rPr>
          <w:spacing w:val="-4"/>
        </w:rPr>
        <w:t> </w:t>
      </w:r>
      <w:r>
        <w:rPr/>
        <w:t>the</w:t>
      </w:r>
      <w:r>
        <w:rPr>
          <w:spacing w:val="-6"/>
        </w:rPr>
        <w:t> </w:t>
      </w:r>
      <w:r>
        <w:rPr/>
        <w:t>majority of investment deals</w:t>
      </w:r>
      <w:r>
        <w:rPr>
          <w:spacing w:val="-8"/>
        </w:rPr>
        <w:t> </w:t>
      </w:r>
      <w:r>
        <w:rPr/>
        <w:t>targeting</w:t>
      </w:r>
      <w:r>
        <w:rPr>
          <w:spacing w:val="-4"/>
        </w:rPr>
        <w:t> </w:t>
      </w:r>
      <w:r>
        <w:rPr/>
        <w:t>health and</w:t>
      </w:r>
      <w:r>
        <w:rPr>
          <w:spacing w:val="-5"/>
        </w:rPr>
        <w:t> </w:t>
      </w:r>
      <w:r>
        <w:rPr/>
        <w:t>well-being (SDG 3), quality education</w:t>
      </w:r>
      <w:r>
        <w:rPr>
          <w:spacing w:val="-15"/>
        </w:rPr>
        <w:t> </w:t>
      </w:r>
      <w:r>
        <w:rPr/>
        <w:t>(SDG</w:t>
      </w:r>
      <w:r>
        <w:rPr>
          <w:spacing w:val="-15"/>
        </w:rPr>
        <w:t> </w:t>
      </w:r>
      <w:r>
        <w:rPr/>
        <w:t>4),</w:t>
      </w:r>
      <w:r>
        <w:rPr>
          <w:spacing w:val="-11"/>
        </w:rPr>
        <w:t> </w:t>
      </w:r>
      <w:r>
        <w:rPr/>
        <w:t>and</w:t>
      </w:r>
      <w:r>
        <w:rPr>
          <w:spacing w:val="-6"/>
        </w:rPr>
        <w:t> </w:t>
      </w:r>
      <w:r>
        <w:rPr/>
        <w:t>decent</w:t>
      </w:r>
      <w:r>
        <w:rPr>
          <w:spacing w:val="-11"/>
        </w:rPr>
        <w:t> </w:t>
      </w:r>
      <w:r>
        <w:rPr/>
        <w:t>job</w:t>
      </w:r>
      <w:r>
        <w:rPr>
          <w:spacing w:val="-15"/>
        </w:rPr>
        <w:t> </w:t>
      </w:r>
      <w:r>
        <w:rPr/>
        <w:t>creation</w:t>
      </w:r>
      <w:r>
        <w:rPr>
          <w:spacing w:val="-5"/>
        </w:rPr>
        <w:t> </w:t>
      </w:r>
      <w:r>
        <w:rPr/>
        <w:t>(SDG</w:t>
      </w:r>
      <w:r>
        <w:rPr>
          <w:spacing w:val="-13"/>
        </w:rPr>
        <w:t> </w:t>
      </w:r>
      <w:r>
        <w:rPr/>
        <w:t>8)</w:t>
      </w:r>
      <w:r>
        <w:rPr>
          <w:spacing w:val="-10"/>
        </w:rPr>
        <w:t> </w:t>
      </w:r>
      <w:r>
        <w:rPr/>
        <w:t>are</w:t>
      </w:r>
      <w:r>
        <w:rPr>
          <w:spacing w:val="-7"/>
        </w:rPr>
        <w:t> </w:t>
      </w:r>
      <w:r>
        <w:rPr/>
        <w:t>located</w:t>
      </w:r>
      <w:r>
        <w:rPr>
          <w:spacing w:val="-6"/>
        </w:rPr>
        <w:t> </w:t>
      </w:r>
      <w:r>
        <w:rPr/>
        <w:t>in</w:t>
      </w:r>
      <w:r>
        <w:rPr>
          <w:spacing w:val="-5"/>
        </w:rPr>
        <w:t> </w:t>
      </w:r>
      <w:r>
        <w:rPr/>
        <w:t>developed regions.</w:t>
      </w:r>
      <w:r>
        <w:rPr>
          <w:spacing w:val="-5"/>
        </w:rPr>
        <w:t> </w:t>
      </w:r>
      <w:r>
        <w:rPr/>
        <w:t>Overall, this analysis points out that the majority of available deals in emerging regions focus on addressing fundamental issues such as extreme poverty, food insecurity, and energy crisis, whereas the majority of deals in developed</w:t>
      </w:r>
      <w:r>
        <w:rPr>
          <w:spacing w:val="-5"/>
        </w:rPr>
        <w:t> </w:t>
      </w:r>
      <w:r>
        <w:rPr/>
        <w:t>regions focus on improving the</w:t>
      </w:r>
      <w:r>
        <w:rPr>
          <w:spacing w:val="-6"/>
        </w:rPr>
        <w:t> </w:t>
      </w:r>
      <w:r>
        <w:rPr/>
        <w:t>quality of life by increasing</w:t>
      </w:r>
      <w:r>
        <w:rPr>
          <w:spacing w:val="34"/>
        </w:rPr>
        <w:t> </w:t>
      </w:r>
      <w:r>
        <w:rPr/>
        <w:t>the availability</w:t>
      </w:r>
      <w:r>
        <w:rPr>
          <w:spacing w:val="34"/>
        </w:rPr>
        <w:t> </w:t>
      </w:r>
      <w:r>
        <w:rPr/>
        <w:t>of quality</w:t>
      </w:r>
      <w:r>
        <w:rPr>
          <w:spacing w:val="20"/>
        </w:rPr>
        <w:t> </w:t>
      </w:r>
      <w:r>
        <w:rPr/>
        <w:t>healthcare, education, and jobs.</w:t>
      </w:r>
      <w:r>
        <w:rPr>
          <w:spacing w:val="20"/>
        </w:rPr>
        <w:t> </w:t>
      </w:r>
      <w:r>
        <w:rPr/>
        <w:t>This reflects the reality</w:t>
      </w:r>
    </w:p>
    <w:p>
      <w:pPr>
        <w:spacing w:after="0" w:line="480" w:lineRule="auto"/>
        <w:sectPr>
          <w:pgSz w:w="11910" w:h="16850"/>
          <w:pgMar w:header="0" w:footer="1005" w:top="1380" w:bottom="1200" w:left="1340" w:right="1300"/>
        </w:sectPr>
      </w:pPr>
    </w:p>
    <w:p>
      <w:pPr>
        <w:pStyle w:val="BodyText"/>
        <w:spacing w:line="475" w:lineRule="auto" w:before="72"/>
        <w:ind w:right="140"/>
      </w:pPr>
      <w:r>
        <w:rPr/>
        <w:t>that fundamental issues (e.g., extreme poverty and food insecurity) are direr in emerging regions than</w:t>
      </w:r>
      <w:r>
        <w:rPr>
          <w:spacing w:val="-8"/>
        </w:rPr>
        <w:t> </w:t>
      </w:r>
      <w:r>
        <w:rPr/>
        <w:t>in developed</w:t>
      </w:r>
      <w:r>
        <w:rPr>
          <w:spacing w:val="-9"/>
        </w:rPr>
        <w:t> </w:t>
      </w:r>
      <w:r>
        <w:rPr/>
        <w:t>regions. However,</w:t>
      </w:r>
      <w:r>
        <w:rPr>
          <w:spacing w:val="-8"/>
        </w:rPr>
        <w:t> </w:t>
      </w:r>
      <w:r>
        <w:rPr/>
        <w:t>our analysis also raises a concern that</w:t>
      </w:r>
      <w:r>
        <w:rPr>
          <w:spacing w:val="-1"/>
        </w:rPr>
        <w:t> </w:t>
      </w:r>
      <w:r>
        <w:rPr/>
        <w:t>emerging regions</w:t>
      </w:r>
      <w:r>
        <w:rPr>
          <w:spacing w:val="-8"/>
        </w:rPr>
        <w:t> </w:t>
      </w:r>
      <w:r>
        <w:rPr/>
        <w:t>will</w:t>
      </w:r>
      <w:r>
        <w:rPr>
          <w:spacing w:val="-3"/>
        </w:rPr>
        <w:t> </w:t>
      </w:r>
      <w:r>
        <w:rPr/>
        <w:t>continue</w:t>
      </w:r>
      <w:r>
        <w:rPr>
          <w:spacing w:val="-11"/>
        </w:rPr>
        <w:t> </w:t>
      </w:r>
      <w:r>
        <w:rPr/>
        <w:t>to</w:t>
      </w:r>
      <w:r>
        <w:rPr>
          <w:spacing w:val="-15"/>
        </w:rPr>
        <w:t> </w:t>
      </w:r>
      <w:r>
        <w:rPr/>
        <w:t>remain</w:t>
      </w:r>
      <w:r>
        <w:rPr>
          <w:spacing w:val="15"/>
        </w:rPr>
        <w:t> </w:t>
      </w:r>
      <w:r>
        <w:rPr/>
        <w:t>underprivileged in</w:t>
      </w:r>
      <w:r>
        <w:rPr>
          <w:spacing w:val="-10"/>
        </w:rPr>
        <w:t> </w:t>
      </w:r>
      <w:r>
        <w:rPr/>
        <w:t>terms of</w:t>
      </w:r>
      <w:r>
        <w:rPr>
          <w:spacing w:val="-15"/>
        </w:rPr>
        <w:t> </w:t>
      </w:r>
      <w:r>
        <w:rPr/>
        <w:t>improvement</w:t>
      </w:r>
      <w:r>
        <w:rPr>
          <w:spacing w:val="22"/>
        </w:rPr>
        <w:t> </w:t>
      </w:r>
      <w:r>
        <w:rPr/>
        <w:t>in</w:t>
      </w:r>
      <w:r>
        <w:rPr>
          <w:spacing w:val="-10"/>
        </w:rPr>
        <w:t> </w:t>
      </w:r>
      <w:r>
        <w:rPr/>
        <w:t>quality</w:t>
      </w:r>
      <w:r>
        <w:rPr>
          <w:spacing w:val="-10"/>
        </w:rPr>
        <w:t> </w:t>
      </w:r>
      <w:r>
        <w:rPr/>
        <w:t>of</w:t>
      </w:r>
      <w:r>
        <w:rPr>
          <w:spacing w:val="-2"/>
        </w:rPr>
        <w:t> </w:t>
      </w:r>
      <w:r>
        <w:rPr/>
        <w:t>life</w:t>
      </w:r>
      <w:r>
        <w:rPr>
          <w:spacing w:val="-11"/>
        </w:rPr>
        <w:t> </w:t>
      </w:r>
      <w:r>
        <w:rPr/>
        <w:t>due to the shortage of relevant dealflow.</w:t>
      </w:r>
    </w:p>
    <w:p>
      <w:pPr>
        <w:pStyle w:val="ListParagraph"/>
        <w:numPr>
          <w:ilvl w:val="1"/>
          <w:numId w:val="1"/>
        </w:numPr>
        <w:tabs>
          <w:tab w:pos="462" w:val="left" w:leader="none"/>
        </w:tabs>
        <w:spacing w:line="240" w:lineRule="auto" w:before="186" w:after="0"/>
        <w:ind w:left="462" w:right="0" w:hanging="361"/>
        <w:jc w:val="both"/>
        <w:rPr>
          <w:i/>
          <w:sz w:val="24"/>
        </w:rPr>
      </w:pPr>
      <w:r>
        <w:rPr>
          <w:i/>
          <w:sz w:val="24"/>
        </w:rPr>
        <w:t>Impact</w:t>
      </w:r>
      <w:r>
        <w:rPr>
          <w:i/>
          <w:spacing w:val="-12"/>
          <w:sz w:val="24"/>
        </w:rPr>
        <w:t> </w:t>
      </w:r>
      <w:r>
        <w:rPr>
          <w:i/>
          <w:sz w:val="24"/>
        </w:rPr>
        <w:t>investment</w:t>
      </w:r>
      <w:r>
        <w:rPr>
          <w:i/>
          <w:spacing w:val="17"/>
          <w:sz w:val="24"/>
        </w:rPr>
        <w:t> </w:t>
      </w:r>
      <w:r>
        <w:rPr>
          <w:i/>
          <w:sz w:val="24"/>
        </w:rPr>
        <w:t>deals</w:t>
      </w:r>
      <w:r>
        <w:rPr>
          <w:i/>
          <w:spacing w:val="5"/>
          <w:sz w:val="24"/>
        </w:rPr>
        <w:t> </w:t>
      </w:r>
      <w:r>
        <w:rPr>
          <w:i/>
          <w:sz w:val="24"/>
        </w:rPr>
        <w:t>and</w:t>
      </w:r>
      <w:r>
        <w:rPr>
          <w:i/>
          <w:spacing w:val="-5"/>
          <w:sz w:val="24"/>
        </w:rPr>
        <w:t> </w:t>
      </w:r>
      <w:r>
        <w:rPr>
          <w:i/>
          <w:sz w:val="24"/>
        </w:rPr>
        <w:t>SDGs</w:t>
      </w:r>
      <w:r>
        <w:rPr>
          <w:i/>
          <w:spacing w:val="-8"/>
          <w:sz w:val="24"/>
        </w:rPr>
        <w:t> </w:t>
      </w:r>
      <w:r>
        <w:rPr>
          <w:i/>
          <w:sz w:val="24"/>
        </w:rPr>
        <w:t>at</w:t>
      </w:r>
      <w:r>
        <w:rPr>
          <w:i/>
          <w:spacing w:val="-11"/>
          <w:sz w:val="24"/>
        </w:rPr>
        <w:t> </w:t>
      </w:r>
      <w:r>
        <w:rPr>
          <w:i/>
          <w:sz w:val="24"/>
        </w:rPr>
        <w:t>the</w:t>
      </w:r>
      <w:r>
        <w:rPr>
          <w:i/>
          <w:spacing w:val="-7"/>
          <w:sz w:val="24"/>
        </w:rPr>
        <w:t> </w:t>
      </w:r>
      <w:r>
        <w:rPr>
          <w:i/>
          <w:sz w:val="24"/>
        </w:rPr>
        <w:t>secondary</w:t>
      </w:r>
      <w:r>
        <w:rPr>
          <w:i/>
          <w:spacing w:val="7"/>
          <w:sz w:val="24"/>
        </w:rPr>
        <w:t> </w:t>
      </w:r>
      <w:r>
        <w:rPr>
          <w:i/>
          <w:sz w:val="24"/>
        </w:rPr>
        <w:t>SDG</w:t>
      </w:r>
      <w:r>
        <w:rPr>
          <w:i/>
          <w:spacing w:val="1"/>
          <w:sz w:val="24"/>
        </w:rPr>
        <w:t> </w:t>
      </w:r>
      <w:r>
        <w:rPr>
          <w:i/>
          <w:spacing w:val="-2"/>
          <w:sz w:val="24"/>
        </w:rPr>
        <w:t>level</w:t>
      </w:r>
    </w:p>
    <w:p>
      <w:pPr>
        <w:pStyle w:val="BodyText"/>
        <w:spacing w:before="4"/>
        <w:ind w:left="0"/>
        <w:jc w:val="left"/>
        <w:rPr>
          <w:i/>
        </w:rPr>
      </w:pPr>
    </w:p>
    <w:p>
      <w:pPr>
        <w:pStyle w:val="BodyText"/>
        <w:spacing w:line="480" w:lineRule="auto"/>
        <w:ind w:right="125"/>
      </w:pPr>
      <w:r>
        <w:rPr/>
        <w:t>This</w:t>
      </w:r>
      <w:r>
        <w:rPr>
          <w:spacing w:val="-15"/>
        </w:rPr>
        <w:t> </w:t>
      </w:r>
      <w:r>
        <w:rPr/>
        <w:t>section</w:t>
      </w:r>
      <w:r>
        <w:rPr>
          <w:spacing w:val="-13"/>
        </w:rPr>
        <w:t> </w:t>
      </w:r>
      <w:r>
        <w:rPr/>
        <w:t>discusses</w:t>
      </w:r>
      <w:r>
        <w:rPr>
          <w:spacing w:val="-8"/>
        </w:rPr>
        <w:t> </w:t>
      </w:r>
      <w:r>
        <w:rPr/>
        <w:t>the</w:t>
      </w:r>
      <w:r>
        <w:rPr>
          <w:spacing w:val="-15"/>
        </w:rPr>
        <w:t> </w:t>
      </w:r>
      <w:r>
        <w:rPr/>
        <w:t>linkage</w:t>
      </w:r>
      <w:r>
        <w:rPr>
          <w:spacing w:val="-6"/>
        </w:rPr>
        <w:t> </w:t>
      </w:r>
      <w:r>
        <w:rPr/>
        <w:t>between</w:t>
      </w:r>
      <w:r>
        <w:rPr>
          <w:spacing w:val="-15"/>
        </w:rPr>
        <w:t> </w:t>
      </w:r>
      <w:r>
        <w:rPr/>
        <w:t>impact investment deals</w:t>
      </w:r>
      <w:r>
        <w:rPr>
          <w:spacing w:val="-15"/>
        </w:rPr>
        <w:t> </w:t>
      </w:r>
      <w:r>
        <w:rPr/>
        <w:t>and</w:t>
      </w:r>
      <w:r>
        <w:rPr>
          <w:spacing w:val="-15"/>
        </w:rPr>
        <w:t> </w:t>
      </w:r>
      <w:r>
        <w:rPr/>
        <w:t>SDGs</w:t>
      </w:r>
      <w:r>
        <w:rPr>
          <w:spacing w:val="-15"/>
        </w:rPr>
        <w:t> </w:t>
      </w:r>
      <w:r>
        <w:rPr/>
        <w:t>at</w:t>
      </w:r>
      <w:r>
        <w:rPr>
          <w:spacing w:val="-11"/>
        </w:rPr>
        <w:t> </w:t>
      </w:r>
      <w:r>
        <w:rPr/>
        <w:t>the</w:t>
      </w:r>
      <w:r>
        <w:rPr>
          <w:spacing w:val="-15"/>
        </w:rPr>
        <w:t> </w:t>
      </w:r>
      <w:r>
        <w:rPr/>
        <w:t>secondary SDG level. The secondary SDGs</w:t>
      </w:r>
      <w:r>
        <w:rPr>
          <w:spacing w:val="-6"/>
        </w:rPr>
        <w:t> </w:t>
      </w:r>
      <w:r>
        <w:rPr/>
        <w:t>for each impact investment deal were identified based on prior literature. The prior literature shows that the progress in a specific SDG (i.e., an influencing</w:t>
      </w:r>
      <w:r>
        <w:rPr>
          <w:spacing w:val="-15"/>
        </w:rPr>
        <w:t> </w:t>
      </w:r>
      <w:r>
        <w:rPr/>
        <w:t>SDG)</w:t>
      </w:r>
      <w:r>
        <w:rPr>
          <w:spacing w:val="-15"/>
        </w:rPr>
        <w:t> </w:t>
      </w:r>
      <w:r>
        <w:rPr/>
        <w:t>will</w:t>
      </w:r>
      <w:r>
        <w:rPr>
          <w:spacing w:val="-11"/>
        </w:rPr>
        <w:t> </w:t>
      </w:r>
      <w:r>
        <w:rPr/>
        <w:t>contribute</w:t>
      </w:r>
      <w:r>
        <w:rPr>
          <w:spacing w:val="-15"/>
        </w:rPr>
        <w:t> </w:t>
      </w:r>
      <w:r>
        <w:rPr/>
        <w:t>to</w:t>
      </w:r>
      <w:r>
        <w:rPr>
          <w:spacing w:val="-15"/>
        </w:rPr>
        <w:t> </w:t>
      </w:r>
      <w:r>
        <w:rPr/>
        <w:t>the</w:t>
      </w:r>
      <w:r>
        <w:rPr>
          <w:spacing w:val="-15"/>
        </w:rPr>
        <w:t> </w:t>
      </w:r>
      <w:r>
        <w:rPr/>
        <w:t>progress</w:t>
      </w:r>
      <w:r>
        <w:rPr>
          <w:spacing w:val="8"/>
        </w:rPr>
        <w:t> </w:t>
      </w:r>
      <w:r>
        <w:rPr/>
        <w:t>of</w:t>
      </w:r>
      <w:r>
        <w:rPr>
          <w:spacing w:val="-8"/>
        </w:rPr>
        <w:t> </w:t>
      </w:r>
      <w:r>
        <w:rPr/>
        <w:t>several other</w:t>
      </w:r>
      <w:r>
        <w:rPr>
          <w:spacing w:val="-15"/>
        </w:rPr>
        <w:t> </w:t>
      </w:r>
      <w:r>
        <w:rPr/>
        <w:t>SDGs</w:t>
      </w:r>
      <w:r>
        <w:rPr>
          <w:spacing w:val="-15"/>
        </w:rPr>
        <w:t> </w:t>
      </w:r>
      <w:r>
        <w:rPr/>
        <w:t>(i.e.,</w:t>
      </w:r>
      <w:r>
        <w:rPr>
          <w:spacing w:val="-2"/>
        </w:rPr>
        <w:t> </w:t>
      </w:r>
      <w:r>
        <w:rPr/>
        <w:t>influenced</w:t>
      </w:r>
      <w:r>
        <w:rPr>
          <w:spacing w:val="-3"/>
        </w:rPr>
        <w:t> </w:t>
      </w:r>
      <w:r>
        <w:rPr/>
        <w:t>SDGs) (see United Nations, 2019a; Nilsson </w:t>
      </w:r>
      <w:r>
        <w:rPr>
          <w:i/>
        </w:rPr>
        <w:t>et al.</w:t>
      </w:r>
      <w:r>
        <w:rPr/>
        <w:t>, 2016; Pradhan</w:t>
      </w:r>
      <w:r>
        <w:rPr/>
        <w:t> </w:t>
      </w:r>
      <w:r>
        <w:rPr>
          <w:i/>
        </w:rPr>
        <w:t>et al.</w:t>
      </w:r>
      <w:r>
        <w:rPr/>
        <w:t>,</w:t>
      </w:r>
      <w:r>
        <w:rPr/>
        <w:t> 2017).</w:t>
      </w:r>
      <w:r>
        <w:rPr/>
        <w:t> By analyzing</w:t>
      </w:r>
      <w:r>
        <w:rPr/>
        <w:t> 112 scientific articles and</w:t>
      </w:r>
      <w:r>
        <w:rPr>
          <w:spacing w:val="-9"/>
        </w:rPr>
        <w:t> </w:t>
      </w:r>
      <w:r>
        <w:rPr/>
        <w:t>65</w:t>
      </w:r>
      <w:r>
        <w:rPr>
          <w:spacing w:val="-9"/>
        </w:rPr>
        <w:t> </w:t>
      </w:r>
      <w:r>
        <w:rPr/>
        <w:t>reports, Pham-Truffert </w:t>
      </w:r>
      <w:r>
        <w:rPr>
          <w:i/>
        </w:rPr>
        <w:t>et</w:t>
      </w:r>
      <w:r>
        <w:rPr>
          <w:i/>
          <w:spacing w:val="-2"/>
        </w:rPr>
        <w:t> </w:t>
      </w:r>
      <w:r>
        <w:rPr>
          <w:i/>
        </w:rPr>
        <w:t>al. </w:t>
      </w:r>
      <w:r>
        <w:rPr/>
        <w:t>(2020)</w:t>
      </w:r>
      <w:r>
        <w:rPr>
          <w:spacing w:val="-13"/>
        </w:rPr>
        <w:t> </w:t>
      </w:r>
      <w:r>
        <w:rPr/>
        <w:t>provide</w:t>
      </w:r>
      <w:r>
        <w:rPr>
          <w:spacing w:val="-10"/>
        </w:rPr>
        <w:t> </w:t>
      </w:r>
      <w:r>
        <w:rPr/>
        <w:t>a comprehensive picture of interactions between influencing and influenced SDGs. Based on Pham-Truffert </w:t>
      </w:r>
      <w:r>
        <w:rPr>
          <w:i/>
        </w:rPr>
        <w:t>et al.</w:t>
      </w:r>
      <w:r>
        <w:rPr>
          <w:i/>
        </w:rPr>
        <w:t> </w:t>
      </w:r>
      <w:r>
        <w:rPr/>
        <w:t>(2020),</w:t>
      </w:r>
      <w:r>
        <w:rPr>
          <w:spacing w:val="-15"/>
        </w:rPr>
        <w:t> </w:t>
      </w:r>
      <w:r>
        <w:rPr/>
        <w:t>we</w:t>
      </w:r>
      <w:r>
        <w:rPr>
          <w:spacing w:val="-15"/>
        </w:rPr>
        <w:t> </w:t>
      </w:r>
      <w:r>
        <w:rPr/>
        <w:t>identified</w:t>
      </w:r>
      <w:r>
        <w:rPr>
          <w:spacing w:val="-15"/>
        </w:rPr>
        <w:t> </w:t>
      </w:r>
      <w:r>
        <w:rPr/>
        <w:t>the</w:t>
      </w:r>
      <w:r>
        <w:rPr>
          <w:spacing w:val="-15"/>
        </w:rPr>
        <w:t> </w:t>
      </w:r>
      <w:r>
        <w:rPr/>
        <w:t>five</w:t>
      </w:r>
      <w:r>
        <w:rPr>
          <w:spacing w:val="-15"/>
        </w:rPr>
        <w:t> </w:t>
      </w:r>
      <w:r>
        <w:rPr/>
        <w:t>most</w:t>
      </w:r>
      <w:r>
        <w:rPr>
          <w:spacing w:val="-15"/>
        </w:rPr>
        <w:t> </w:t>
      </w:r>
      <w:r>
        <w:rPr/>
        <w:t>influenced</w:t>
      </w:r>
      <w:r>
        <w:rPr>
          <w:spacing w:val="-15"/>
        </w:rPr>
        <w:t> </w:t>
      </w:r>
      <w:r>
        <w:rPr/>
        <w:t>SDGs</w:t>
      </w:r>
      <w:r>
        <w:rPr>
          <w:spacing w:val="-15"/>
        </w:rPr>
        <w:t> </w:t>
      </w:r>
      <w:r>
        <w:rPr/>
        <w:t>for</w:t>
      </w:r>
      <w:r>
        <w:rPr>
          <w:spacing w:val="-15"/>
        </w:rPr>
        <w:t> </w:t>
      </w:r>
      <w:r>
        <w:rPr/>
        <w:t>a</w:t>
      </w:r>
      <w:r>
        <w:rPr>
          <w:spacing w:val="-15"/>
        </w:rPr>
        <w:t> </w:t>
      </w:r>
      <w:r>
        <w:rPr/>
        <w:t>given</w:t>
      </w:r>
      <w:r>
        <w:rPr>
          <w:spacing w:val="-15"/>
        </w:rPr>
        <w:t> </w:t>
      </w:r>
      <w:r>
        <w:rPr/>
        <w:t>influencing</w:t>
      </w:r>
      <w:r>
        <w:rPr>
          <w:spacing w:val="-15"/>
        </w:rPr>
        <w:t> </w:t>
      </w:r>
      <w:r>
        <w:rPr/>
        <w:t>SDG.</w:t>
      </w:r>
      <w:r>
        <w:rPr>
          <w:spacing w:val="-15"/>
        </w:rPr>
        <w:t> </w:t>
      </w:r>
      <w:r>
        <w:rPr/>
        <w:t>For</w:t>
      </w:r>
      <w:r>
        <w:rPr>
          <w:spacing w:val="-15"/>
        </w:rPr>
        <w:t> </w:t>
      </w:r>
      <w:r>
        <w:rPr/>
        <w:t>example, according</w:t>
      </w:r>
      <w:r>
        <w:rPr>
          <w:spacing w:val="-3"/>
        </w:rPr>
        <w:t> </w:t>
      </w:r>
      <w:r>
        <w:rPr/>
        <w:t>to</w:t>
      </w:r>
      <w:r>
        <w:rPr>
          <w:spacing w:val="-3"/>
        </w:rPr>
        <w:t> </w:t>
      </w:r>
      <w:r>
        <w:rPr/>
        <w:t>Pham-Truffert </w:t>
      </w:r>
      <w:r>
        <w:rPr>
          <w:i/>
        </w:rPr>
        <w:t>et al. </w:t>
      </w:r>
      <w:r>
        <w:rPr/>
        <w:t>(2020), the</w:t>
      </w:r>
      <w:r>
        <w:rPr>
          <w:spacing w:val="-4"/>
        </w:rPr>
        <w:t> </w:t>
      </w:r>
      <w:r>
        <w:rPr/>
        <w:t>top</w:t>
      </w:r>
      <w:r>
        <w:rPr>
          <w:spacing w:val="-2"/>
        </w:rPr>
        <w:t> </w:t>
      </w:r>
      <w:r>
        <w:rPr/>
        <w:t>five</w:t>
      </w:r>
      <w:r>
        <w:rPr>
          <w:spacing w:val="-4"/>
        </w:rPr>
        <w:t> </w:t>
      </w:r>
      <w:r>
        <w:rPr/>
        <w:t>SDGs</w:t>
      </w:r>
      <w:r>
        <w:rPr>
          <w:spacing w:val="-6"/>
        </w:rPr>
        <w:t> </w:t>
      </w:r>
      <w:r>
        <w:rPr/>
        <w:t>that</w:t>
      </w:r>
      <w:r>
        <w:rPr>
          <w:spacing w:val="-9"/>
        </w:rPr>
        <w:t> </w:t>
      </w:r>
      <w:r>
        <w:rPr/>
        <w:t>will be positively influenced by</w:t>
      </w:r>
      <w:r>
        <w:rPr>
          <w:spacing w:val="-15"/>
        </w:rPr>
        <w:t> </w:t>
      </w:r>
      <w:r>
        <w:rPr/>
        <w:t>the</w:t>
      </w:r>
      <w:r>
        <w:rPr>
          <w:spacing w:val="-15"/>
        </w:rPr>
        <w:t> </w:t>
      </w:r>
      <w:r>
        <w:rPr/>
        <w:t>progress</w:t>
      </w:r>
      <w:r>
        <w:rPr>
          <w:spacing w:val="-15"/>
        </w:rPr>
        <w:t> </w:t>
      </w:r>
      <w:r>
        <w:rPr/>
        <w:t>in</w:t>
      </w:r>
      <w:r>
        <w:rPr>
          <w:spacing w:val="-15"/>
        </w:rPr>
        <w:t> </w:t>
      </w:r>
      <w:r>
        <w:rPr/>
        <w:t>SDG</w:t>
      </w:r>
      <w:r>
        <w:rPr>
          <w:spacing w:val="-15"/>
        </w:rPr>
        <w:t> </w:t>
      </w:r>
      <w:r>
        <w:rPr/>
        <w:t>1</w:t>
      </w:r>
      <w:r>
        <w:rPr>
          <w:spacing w:val="-9"/>
        </w:rPr>
        <w:t> </w:t>
      </w:r>
      <w:r>
        <w:rPr/>
        <w:t>(no</w:t>
      </w:r>
      <w:r>
        <w:rPr>
          <w:spacing w:val="-15"/>
        </w:rPr>
        <w:t> </w:t>
      </w:r>
      <w:r>
        <w:rPr/>
        <w:t>poverty)</w:t>
      </w:r>
      <w:r>
        <w:rPr>
          <w:spacing w:val="-9"/>
        </w:rPr>
        <w:t> </w:t>
      </w:r>
      <w:r>
        <w:rPr/>
        <w:t>are:</w:t>
      </w:r>
      <w:r>
        <w:rPr>
          <w:spacing w:val="-10"/>
        </w:rPr>
        <w:t> </w:t>
      </w:r>
      <w:r>
        <w:rPr/>
        <w:t>SDG</w:t>
      </w:r>
      <w:r>
        <w:rPr>
          <w:spacing w:val="-12"/>
        </w:rPr>
        <w:t> </w:t>
      </w:r>
      <w:r>
        <w:rPr/>
        <w:t>2</w:t>
      </w:r>
      <w:r>
        <w:rPr>
          <w:spacing w:val="-15"/>
        </w:rPr>
        <w:t> </w:t>
      </w:r>
      <w:r>
        <w:rPr/>
        <w:t>(zero</w:t>
      </w:r>
      <w:r>
        <w:rPr>
          <w:spacing w:val="-3"/>
        </w:rPr>
        <w:t> </w:t>
      </w:r>
      <w:r>
        <w:rPr/>
        <w:t>hunger),</w:t>
      </w:r>
      <w:r>
        <w:rPr>
          <w:spacing w:val="10"/>
        </w:rPr>
        <w:t> </w:t>
      </w:r>
      <w:r>
        <w:rPr/>
        <w:t>SDG</w:t>
      </w:r>
      <w:r>
        <w:rPr>
          <w:spacing w:val="-15"/>
        </w:rPr>
        <w:t> </w:t>
      </w:r>
      <w:r>
        <w:rPr/>
        <w:t>3</w:t>
      </w:r>
      <w:r>
        <w:rPr>
          <w:spacing w:val="-15"/>
        </w:rPr>
        <w:t> </w:t>
      </w:r>
      <w:r>
        <w:rPr/>
        <w:t>(good</w:t>
      </w:r>
      <w:r>
        <w:rPr>
          <w:spacing w:val="-4"/>
        </w:rPr>
        <w:t> </w:t>
      </w:r>
      <w:r>
        <w:rPr/>
        <w:t>health</w:t>
      </w:r>
      <w:r>
        <w:rPr>
          <w:spacing w:val="-3"/>
        </w:rPr>
        <w:t> </w:t>
      </w:r>
      <w:r>
        <w:rPr/>
        <w:t>and</w:t>
      </w:r>
      <w:r>
        <w:rPr>
          <w:spacing w:val="-15"/>
        </w:rPr>
        <w:t> </w:t>
      </w:r>
      <w:r>
        <w:rPr/>
        <w:t>well- being), SDG 5 (gender equality), SDG 8 (decent work and economic</w:t>
      </w:r>
      <w:r>
        <w:rPr/>
        <w:t> growth), and SDG 16 (peace, justice and strong institutions). In the context of our study, we conceptualized influencing SDGs</w:t>
      </w:r>
      <w:r>
        <w:rPr>
          <w:spacing w:val="-7"/>
        </w:rPr>
        <w:t> </w:t>
      </w:r>
      <w:r>
        <w:rPr/>
        <w:t>as</w:t>
      </w:r>
      <w:r>
        <w:rPr>
          <w:spacing w:val="-7"/>
        </w:rPr>
        <w:t> </w:t>
      </w:r>
      <w:r>
        <w:rPr/>
        <w:t>primary</w:t>
      </w:r>
      <w:r>
        <w:rPr>
          <w:spacing w:val="25"/>
        </w:rPr>
        <w:t> </w:t>
      </w:r>
      <w:r>
        <w:rPr/>
        <w:t>SDGs</w:t>
      </w:r>
      <w:r>
        <w:rPr>
          <w:spacing w:val="-7"/>
        </w:rPr>
        <w:t> </w:t>
      </w:r>
      <w:r>
        <w:rPr/>
        <w:t>and</w:t>
      </w:r>
      <w:r>
        <w:rPr>
          <w:spacing w:val="-4"/>
        </w:rPr>
        <w:t> </w:t>
      </w:r>
      <w:r>
        <w:rPr/>
        <w:t>influenced SDGs</w:t>
      </w:r>
      <w:r>
        <w:rPr>
          <w:spacing w:val="-15"/>
        </w:rPr>
        <w:t> </w:t>
      </w:r>
      <w:r>
        <w:rPr/>
        <w:t>as secondary</w:t>
      </w:r>
      <w:r>
        <w:rPr>
          <w:spacing w:val="-3"/>
        </w:rPr>
        <w:t> </w:t>
      </w:r>
      <w:r>
        <w:rPr/>
        <w:t>SDGs.</w:t>
      </w:r>
      <w:r>
        <w:rPr>
          <w:spacing w:val="-15"/>
        </w:rPr>
        <w:t> </w:t>
      </w:r>
      <w:r>
        <w:rPr/>
        <w:t>Thus,</w:t>
      </w:r>
      <w:r>
        <w:rPr>
          <w:spacing w:val="25"/>
        </w:rPr>
        <w:t> </w:t>
      </w:r>
      <w:r>
        <w:rPr/>
        <w:t>drawing on Pham-Truffert </w:t>
      </w:r>
      <w:r>
        <w:rPr>
          <w:i/>
        </w:rPr>
        <w:t>et al. </w:t>
      </w:r>
      <w:r>
        <w:rPr/>
        <w:t>(2020), we</w:t>
      </w:r>
      <w:r>
        <w:rPr>
          <w:spacing w:val="-2"/>
        </w:rPr>
        <w:t> </w:t>
      </w:r>
      <w:r>
        <w:rPr/>
        <w:t>attributed</w:t>
      </w:r>
      <w:r>
        <w:rPr>
          <w:spacing w:val="-1"/>
        </w:rPr>
        <w:t> </w:t>
      </w:r>
      <w:r>
        <w:rPr/>
        <w:t>SDG</w:t>
      </w:r>
      <w:r>
        <w:rPr>
          <w:spacing w:val="-9"/>
        </w:rPr>
        <w:t> </w:t>
      </w:r>
      <w:r>
        <w:rPr/>
        <w:t>2, SDG 3, SDG</w:t>
      </w:r>
      <w:r>
        <w:rPr>
          <w:spacing w:val="-9"/>
        </w:rPr>
        <w:t> </w:t>
      </w:r>
      <w:r>
        <w:rPr/>
        <w:t>5, SDG</w:t>
      </w:r>
      <w:r>
        <w:rPr>
          <w:spacing w:val="-9"/>
        </w:rPr>
        <w:t> </w:t>
      </w:r>
      <w:r>
        <w:rPr/>
        <w:t>8, and</w:t>
      </w:r>
      <w:r>
        <w:rPr>
          <w:spacing w:val="-1"/>
        </w:rPr>
        <w:t> </w:t>
      </w:r>
      <w:r>
        <w:rPr/>
        <w:t>SDG</w:t>
      </w:r>
      <w:r>
        <w:rPr>
          <w:spacing w:val="-9"/>
        </w:rPr>
        <w:t> </w:t>
      </w:r>
      <w:r>
        <w:rPr/>
        <w:t>16 as the secondary SDGs for an investment deal whose primary</w:t>
      </w:r>
      <w:r>
        <w:rPr>
          <w:spacing w:val="40"/>
        </w:rPr>
        <w:t> </w:t>
      </w:r>
      <w:r>
        <w:rPr/>
        <w:t>SDG is SDG 1. In this way, we assigned five secondary SDGs</w:t>
      </w:r>
      <w:r>
        <w:rPr>
          <w:spacing w:val="-4"/>
        </w:rPr>
        <w:t> </w:t>
      </w:r>
      <w:r>
        <w:rPr/>
        <w:t>for each investment deal depending on its primary</w:t>
      </w:r>
      <w:r>
        <w:rPr>
          <w:spacing w:val="40"/>
        </w:rPr>
        <w:t> </w:t>
      </w:r>
      <w:r>
        <w:rPr/>
        <w:t>SDG (see Table</w:t>
      </w:r>
      <w:r>
        <w:rPr>
          <w:spacing w:val="-9"/>
        </w:rPr>
        <w:t> </w:t>
      </w:r>
      <w:r>
        <w:rPr/>
        <w:t>1</w:t>
      </w:r>
      <w:r>
        <w:rPr>
          <w:spacing w:val="-4"/>
        </w:rPr>
        <w:t> </w:t>
      </w:r>
      <w:r>
        <w:rPr/>
        <w:t>for</w:t>
      </w:r>
      <w:r>
        <w:rPr>
          <w:spacing w:val="-15"/>
        </w:rPr>
        <w:t> </w:t>
      </w:r>
      <w:r>
        <w:rPr/>
        <w:t>secondary</w:t>
      </w:r>
      <w:r>
        <w:rPr>
          <w:spacing w:val="-5"/>
        </w:rPr>
        <w:t> </w:t>
      </w:r>
      <w:r>
        <w:rPr/>
        <w:t>SDGs</w:t>
      </w:r>
      <w:r>
        <w:rPr>
          <w:spacing w:val="-15"/>
        </w:rPr>
        <w:t> </w:t>
      </w:r>
      <w:r>
        <w:rPr/>
        <w:t>for</w:t>
      </w:r>
      <w:r>
        <w:rPr>
          <w:spacing w:val="-10"/>
        </w:rPr>
        <w:t> </w:t>
      </w:r>
      <w:r>
        <w:rPr/>
        <w:t>a</w:t>
      </w:r>
      <w:r>
        <w:rPr>
          <w:spacing w:val="-7"/>
        </w:rPr>
        <w:t> </w:t>
      </w:r>
      <w:r>
        <w:rPr/>
        <w:t>sample of</w:t>
      </w:r>
      <w:r>
        <w:rPr>
          <w:spacing w:val="-10"/>
        </w:rPr>
        <w:t> </w:t>
      </w:r>
      <w:r>
        <w:rPr/>
        <w:t>impact investment deals).</w:t>
      </w:r>
      <w:r>
        <w:rPr>
          <w:spacing w:val="-5"/>
        </w:rPr>
        <w:t> </w:t>
      </w:r>
      <w:r>
        <w:rPr/>
        <w:t>One</w:t>
      </w:r>
      <w:r>
        <w:rPr>
          <w:spacing w:val="-7"/>
        </w:rPr>
        <w:t> </w:t>
      </w:r>
      <w:r>
        <w:rPr/>
        <w:t>researcher initially performed</w:t>
      </w:r>
      <w:r>
        <w:rPr>
          <w:spacing w:val="-15"/>
        </w:rPr>
        <w:t> </w:t>
      </w:r>
      <w:r>
        <w:rPr/>
        <w:t>the</w:t>
      </w:r>
      <w:r>
        <w:rPr>
          <w:spacing w:val="-15"/>
        </w:rPr>
        <w:t> </w:t>
      </w:r>
      <w:r>
        <w:rPr/>
        <w:t>analysis,</w:t>
      </w:r>
      <w:r>
        <w:rPr>
          <w:spacing w:val="-2"/>
        </w:rPr>
        <w:t> </w:t>
      </w:r>
      <w:r>
        <w:rPr/>
        <w:t>while</w:t>
      </w:r>
      <w:r>
        <w:rPr>
          <w:spacing w:val="-10"/>
        </w:rPr>
        <w:t> </w:t>
      </w:r>
      <w:r>
        <w:rPr/>
        <w:t>a</w:t>
      </w:r>
      <w:r>
        <w:rPr>
          <w:spacing w:val="-15"/>
        </w:rPr>
        <w:t> </w:t>
      </w:r>
      <w:r>
        <w:rPr/>
        <w:t>second</w:t>
      </w:r>
      <w:r>
        <w:rPr>
          <w:spacing w:val="-10"/>
        </w:rPr>
        <w:t> </w:t>
      </w:r>
      <w:r>
        <w:rPr/>
        <w:t>researcher</w:t>
      </w:r>
      <w:r>
        <w:rPr>
          <w:spacing w:val="12"/>
        </w:rPr>
        <w:t> </w:t>
      </w:r>
      <w:r>
        <w:rPr/>
        <w:t>later</w:t>
      </w:r>
      <w:r>
        <w:rPr>
          <w:spacing w:val="-14"/>
        </w:rPr>
        <w:t> </w:t>
      </w:r>
      <w:r>
        <w:rPr/>
        <w:t>reviewed</w:t>
      </w:r>
      <w:r>
        <w:rPr>
          <w:spacing w:val="-10"/>
        </w:rPr>
        <w:t> </w:t>
      </w:r>
      <w:r>
        <w:rPr/>
        <w:t>it.</w:t>
      </w:r>
      <w:r>
        <w:rPr>
          <w:spacing w:val="-15"/>
        </w:rPr>
        <w:t> </w:t>
      </w:r>
      <w:r>
        <w:rPr/>
        <w:t>Both</w:t>
      </w:r>
      <w:r>
        <w:rPr>
          <w:spacing w:val="-9"/>
        </w:rPr>
        <w:t> </w:t>
      </w:r>
      <w:r>
        <w:rPr/>
        <w:t>researchers discussed and reconciled disagreements.</w:t>
      </w:r>
    </w:p>
    <w:p>
      <w:pPr>
        <w:spacing w:after="0" w:line="480" w:lineRule="auto"/>
        <w:sectPr>
          <w:pgSz w:w="11910" w:h="16850"/>
          <w:pgMar w:header="0" w:footer="1005" w:top="1380" w:bottom="1200" w:left="1340" w:right="1300"/>
        </w:sectPr>
      </w:pPr>
    </w:p>
    <w:p>
      <w:pPr>
        <w:pStyle w:val="BodyText"/>
        <w:spacing w:line="477" w:lineRule="auto" w:before="72"/>
        <w:ind w:right="142"/>
      </w:pPr>
      <w:r>
        <w:rPr/>
        <w:t>Table 3 presents our summary analysis. As already noted,</w:t>
      </w:r>
      <w:r>
        <w:rPr>
          <w:spacing w:val="-4"/>
        </w:rPr>
        <w:t> </w:t>
      </w:r>
      <w:r>
        <w:rPr/>
        <w:t>primary</w:t>
      </w:r>
      <w:r>
        <w:rPr>
          <w:spacing w:val="40"/>
        </w:rPr>
        <w:t> </w:t>
      </w:r>
      <w:r>
        <w:rPr/>
        <w:t>SDGs</w:t>
      </w:r>
      <w:r>
        <w:rPr>
          <w:spacing w:val="-8"/>
        </w:rPr>
        <w:t> </w:t>
      </w:r>
      <w:r>
        <w:rPr/>
        <w:t>are those that are directly</w:t>
      </w:r>
      <w:r>
        <w:rPr>
          <w:spacing w:val="-15"/>
        </w:rPr>
        <w:t> </w:t>
      </w:r>
      <w:r>
        <w:rPr/>
        <w:t>linked</w:t>
      </w:r>
      <w:r>
        <w:rPr>
          <w:spacing w:val="8"/>
        </w:rPr>
        <w:t> </w:t>
      </w:r>
      <w:r>
        <w:rPr/>
        <w:t>to</w:t>
      </w:r>
      <w:r>
        <w:rPr>
          <w:spacing w:val="-15"/>
        </w:rPr>
        <w:t> </w:t>
      </w:r>
      <w:r>
        <w:rPr/>
        <w:t>investment deals,</w:t>
      </w:r>
      <w:r>
        <w:rPr>
          <w:spacing w:val="-6"/>
        </w:rPr>
        <w:t> </w:t>
      </w:r>
      <w:r>
        <w:rPr/>
        <w:t>while secondary</w:t>
      </w:r>
      <w:r>
        <w:rPr>
          <w:spacing w:val="-6"/>
        </w:rPr>
        <w:t> </w:t>
      </w:r>
      <w:r>
        <w:rPr/>
        <w:t>SDGs</w:t>
      </w:r>
      <w:r>
        <w:rPr>
          <w:spacing w:val="-9"/>
        </w:rPr>
        <w:t> </w:t>
      </w:r>
      <w:r>
        <w:rPr/>
        <w:t>are those</w:t>
      </w:r>
      <w:r>
        <w:rPr>
          <w:spacing w:val="-8"/>
        </w:rPr>
        <w:t> </w:t>
      </w:r>
      <w:r>
        <w:rPr/>
        <w:t>that</w:t>
      </w:r>
      <w:r>
        <w:rPr>
          <w:spacing w:val="-12"/>
        </w:rPr>
        <w:t> </w:t>
      </w:r>
      <w:r>
        <w:rPr/>
        <w:t>are ind</w:t>
      </w:r>
      <w:r>
        <w:rPr>
          <w:spacing w:val="-15"/>
        </w:rPr>
        <w:t> </w:t>
      </w:r>
      <w:r>
        <w:rPr/>
        <w:t>irectly linked to investment deals. Three major observations emerge when we compare indirect linkages between</w:t>
      </w:r>
      <w:r>
        <w:rPr>
          <w:spacing w:val="-5"/>
        </w:rPr>
        <w:t> </w:t>
      </w:r>
      <w:r>
        <w:rPr/>
        <w:t>SDGs</w:t>
      </w:r>
      <w:r>
        <w:rPr>
          <w:spacing w:val="-9"/>
        </w:rPr>
        <w:t> </w:t>
      </w:r>
      <w:r>
        <w:rPr/>
        <w:t>and investment deals (i.e., Panel A in Table 3) with their direct linkages (i.e., Panel A in Table 2).</w:t>
      </w:r>
    </w:p>
    <w:p>
      <w:pPr>
        <w:pStyle w:val="BodyText"/>
        <w:spacing w:before="167"/>
        <w:ind w:left="3060"/>
      </w:pPr>
      <w:r>
        <w:rPr/>
        <w:t>---</w:t>
      </w:r>
      <w:r>
        <w:rPr>
          <w:spacing w:val="-2"/>
        </w:rPr>
        <w:t> </w:t>
      </w:r>
      <w:r>
        <w:rPr/>
        <w:t>Insert</w:t>
      </w:r>
      <w:r>
        <w:rPr>
          <w:spacing w:val="-3"/>
        </w:rPr>
        <w:t> </w:t>
      </w:r>
      <w:r>
        <w:rPr/>
        <w:t>Table</w:t>
      </w:r>
      <w:r>
        <w:rPr>
          <w:spacing w:val="1"/>
        </w:rPr>
        <w:t> </w:t>
      </w:r>
      <w:r>
        <w:rPr/>
        <w:t>3</w:t>
      </w:r>
      <w:r>
        <w:rPr>
          <w:spacing w:val="-9"/>
        </w:rPr>
        <w:t> </w:t>
      </w:r>
      <w:r>
        <w:rPr/>
        <w:t>around</w:t>
      </w:r>
      <w:r>
        <w:rPr>
          <w:spacing w:val="2"/>
        </w:rPr>
        <w:t> </w:t>
      </w:r>
      <w:r>
        <w:rPr/>
        <w:t>here</w:t>
      </w:r>
      <w:r>
        <w:rPr>
          <w:spacing w:val="-7"/>
        </w:rPr>
        <w:t> </w:t>
      </w:r>
      <w:r>
        <w:rPr/>
        <w:t>--</w:t>
      </w:r>
      <w:r>
        <w:rPr>
          <w:spacing w:val="-10"/>
        </w:rPr>
        <w:t>-</w:t>
      </w:r>
    </w:p>
    <w:p>
      <w:pPr>
        <w:pStyle w:val="BodyText"/>
        <w:spacing w:before="8"/>
        <w:ind w:left="0"/>
        <w:jc w:val="left"/>
        <w:rPr>
          <w:sz w:val="38"/>
        </w:rPr>
      </w:pPr>
    </w:p>
    <w:p>
      <w:pPr>
        <w:pStyle w:val="BodyText"/>
        <w:spacing w:line="477" w:lineRule="auto"/>
        <w:ind w:right="127"/>
      </w:pPr>
      <w:r>
        <w:rPr/>
        <w:t>First, a group of SDGs (SDGs 1, 2, 3, 5, 8, and 10) sees a large increase in their indirect representation in the impact investment deals when compared to their direct linkages to investment deals. For example, while only 5.1% of investment deals directly target reducing poverty (SDG 1) (see Table 2, Panel A), 92.5% of investment deals indirectly contribute to poverty</w:t>
      </w:r>
      <w:r>
        <w:rPr>
          <w:spacing w:val="-15"/>
        </w:rPr>
        <w:t> </w:t>
      </w:r>
      <w:r>
        <w:rPr/>
        <w:t>reduction</w:t>
      </w:r>
      <w:r>
        <w:rPr>
          <w:spacing w:val="-15"/>
        </w:rPr>
        <w:t> </w:t>
      </w:r>
      <w:r>
        <w:rPr/>
        <w:t>(see Table 3,</w:t>
      </w:r>
      <w:r>
        <w:rPr>
          <w:spacing w:val="-4"/>
        </w:rPr>
        <w:t> </w:t>
      </w:r>
      <w:r>
        <w:rPr/>
        <w:t>Panel A).</w:t>
      </w:r>
      <w:r>
        <w:rPr>
          <w:spacing w:val="-5"/>
        </w:rPr>
        <w:t> </w:t>
      </w:r>
      <w:r>
        <w:rPr/>
        <w:t>In</w:t>
      </w:r>
      <w:r>
        <w:rPr>
          <w:spacing w:val="-15"/>
        </w:rPr>
        <w:t> </w:t>
      </w:r>
      <w:r>
        <w:rPr/>
        <w:t>the</w:t>
      </w:r>
      <w:r>
        <w:rPr>
          <w:spacing w:val="-15"/>
        </w:rPr>
        <w:t> </w:t>
      </w:r>
      <w:r>
        <w:rPr/>
        <w:t>same vein, while</w:t>
      </w:r>
      <w:r>
        <w:rPr>
          <w:spacing w:val="-6"/>
        </w:rPr>
        <w:t> </w:t>
      </w:r>
      <w:r>
        <w:rPr/>
        <w:t>only</w:t>
      </w:r>
      <w:r>
        <w:rPr>
          <w:spacing w:val="-4"/>
        </w:rPr>
        <w:t> </w:t>
      </w:r>
      <w:r>
        <w:rPr/>
        <w:t>1% of</w:t>
      </w:r>
      <w:r>
        <w:rPr>
          <w:spacing w:val="-10"/>
        </w:rPr>
        <w:t> </w:t>
      </w:r>
      <w:r>
        <w:rPr/>
        <w:t>investment deals directly aim to address gender discrimination (SDG 5) (see Table 2, Panel A), 57.9%</w:t>
      </w:r>
      <w:r>
        <w:rPr/>
        <w:t> of investment deals</w:t>
      </w:r>
      <w:r>
        <w:rPr>
          <w:spacing w:val="-8"/>
        </w:rPr>
        <w:t> </w:t>
      </w:r>
      <w:r>
        <w:rPr/>
        <w:t>indirectly</w:t>
      </w:r>
      <w:r>
        <w:rPr>
          <w:spacing w:val="-4"/>
        </w:rPr>
        <w:t> </w:t>
      </w:r>
      <w:r>
        <w:rPr/>
        <w:t>contribute to</w:t>
      </w:r>
      <w:r>
        <w:rPr>
          <w:spacing w:val="-15"/>
        </w:rPr>
        <w:t> </w:t>
      </w:r>
      <w:r>
        <w:rPr/>
        <w:t>SDG 5</w:t>
      </w:r>
      <w:r>
        <w:rPr>
          <w:spacing w:val="-4"/>
        </w:rPr>
        <w:t> </w:t>
      </w:r>
      <w:r>
        <w:rPr/>
        <w:t>(see Table 3,</w:t>
      </w:r>
      <w:r>
        <w:rPr>
          <w:spacing w:val="-4"/>
        </w:rPr>
        <w:t> </w:t>
      </w:r>
      <w:r>
        <w:rPr/>
        <w:t>Panel A).</w:t>
      </w:r>
      <w:r>
        <w:rPr>
          <w:spacing w:val="-5"/>
        </w:rPr>
        <w:t> </w:t>
      </w:r>
      <w:r>
        <w:rPr/>
        <w:t>Overall, this suggests that in the absence of impact investment deals directly targeting these SDGs, the impact investing market can still fairly contribute to them, </w:t>
      </w:r>
      <w:r>
        <w:rPr>
          <w:i/>
        </w:rPr>
        <w:t>albeit </w:t>
      </w:r>
      <w:r>
        <w:rPr/>
        <w:t>indirectly.</w:t>
      </w:r>
    </w:p>
    <w:p>
      <w:pPr>
        <w:pStyle w:val="BodyText"/>
        <w:spacing w:line="477" w:lineRule="auto" w:before="191"/>
        <w:ind w:right="136"/>
      </w:pPr>
      <w:r>
        <w:rPr/>
        <w:t>Second,</w:t>
      </w:r>
      <w:r>
        <w:rPr>
          <w:spacing w:val="-7"/>
        </w:rPr>
        <w:t> </w:t>
      </w:r>
      <w:r>
        <w:rPr/>
        <w:t>another</w:t>
      </w:r>
      <w:r>
        <w:rPr>
          <w:spacing w:val="-8"/>
        </w:rPr>
        <w:t> </w:t>
      </w:r>
      <w:r>
        <w:rPr/>
        <w:t>group of SDGs</w:t>
      </w:r>
      <w:r>
        <w:rPr>
          <w:spacing w:val="-15"/>
        </w:rPr>
        <w:t> </w:t>
      </w:r>
      <w:r>
        <w:rPr/>
        <w:t>(SDGs</w:t>
      </w:r>
      <w:r>
        <w:rPr>
          <w:spacing w:val="-6"/>
        </w:rPr>
        <w:t> </w:t>
      </w:r>
      <w:r>
        <w:rPr/>
        <w:t>4, 9,</w:t>
      </w:r>
      <w:r>
        <w:rPr>
          <w:spacing w:val="-2"/>
        </w:rPr>
        <w:t> </w:t>
      </w:r>
      <w:r>
        <w:rPr/>
        <w:t>11, and</w:t>
      </w:r>
      <w:r>
        <w:rPr>
          <w:spacing w:val="-3"/>
        </w:rPr>
        <w:t> </w:t>
      </w:r>
      <w:r>
        <w:rPr/>
        <w:t>17) sees lower indirect representation</w:t>
      </w:r>
      <w:r>
        <w:rPr>
          <w:spacing w:val="27"/>
        </w:rPr>
        <w:t> </w:t>
      </w:r>
      <w:r>
        <w:rPr/>
        <w:t>in impact investment deals when compared to their direct linkages to investment deals. For example,</w:t>
      </w:r>
      <w:r>
        <w:rPr/>
        <w:t> while 8.9% of investment deals directly aim to contribute to SDG 4 (quality education) (see Table 2, Panel A), only 1% of</w:t>
      </w:r>
      <w:r>
        <w:rPr/>
        <w:t> the</w:t>
      </w:r>
      <w:r>
        <w:rPr>
          <w:spacing w:val="-4"/>
        </w:rPr>
        <w:t> </w:t>
      </w:r>
      <w:r>
        <w:rPr/>
        <w:t>deals are indirectly linked to SDG 4 (see Table 3, Panel A).</w:t>
      </w:r>
      <w:r>
        <w:rPr/>
        <w:t> In the</w:t>
      </w:r>
      <w:r>
        <w:rPr/>
        <w:t> same vein, while 3.4% of deals are directly linked to SDG 11 (sustainable cities and</w:t>
      </w:r>
      <w:r>
        <w:rPr>
          <w:spacing w:val="-9"/>
        </w:rPr>
        <w:t> </w:t>
      </w:r>
      <w:r>
        <w:rPr/>
        <w:t>communities)</w:t>
      </w:r>
      <w:r>
        <w:rPr>
          <w:spacing w:val="25"/>
        </w:rPr>
        <w:t> </w:t>
      </w:r>
      <w:r>
        <w:rPr/>
        <w:t>(see Table 2,</w:t>
      </w:r>
      <w:r>
        <w:rPr>
          <w:spacing w:val="-8"/>
        </w:rPr>
        <w:t> </w:t>
      </w:r>
      <w:r>
        <w:rPr/>
        <w:t>Panel</w:t>
      </w:r>
      <w:r>
        <w:rPr>
          <w:spacing w:val="-1"/>
        </w:rPr>
        <w:t> </w:t>
      </w:r>
      <w:r>
        <w:rPr/>
        <w:t>A),</w:t>
      </w:r>
      <w:r>
        <w:rPr>
          <w:spacing w:val="-8"/>
        </w:rPr>
        <w:t> </w:t>
      </w:r>
      <w:r>
        <w:rPr/>
        <w:t>only 0.7% of deals</w:t>
      </w:r>
      <w:r>
        <w:rPr>
          <w:spacing w:val="-11"/>
        </w:rPr>
        <w:t> </w:t>
      </w:r>
      <w:r>
        <w:rPr/>
        <w:t>are indirectly linked to this SDG (see Table 3, Panel A).</w:t>
      </w:r>
      <w:r>
        <w:rPr/>
        <w:t> Overall, this suggests that in the absence of investment deals directly targeting these SDGs, the impact investing market is unlikely to contribute to them indirectly.</w:t>
      </w:r>
    </w:p>
    <w:p>
      <w:pPr>
        <w:spacing w:after="0" w:line="477" w:lineRule="auto"/>
        <w:sectPr>
          <w:pgSz w:w="11910" w:h="16850"/>
          <w:pgMar w:header="0" w:footer="1005" w:top="1380" w:bottom="1200" w:left="1340" w:right="1300"/>
        </w:sectPr>
      </w:pPr>
    </w:p>
    <w:p>
      <w:pPr>
        <w:pStyle w:val="BodyText"/>
        <w:spacing w:line="480" w:lineRule="auto" w:before="72"/>
        <w:ind w:right="138"/>
      </w:pPr>
      <w:r>
        <w:rPr/>
        <w:t>Third, another group of SDGs (SDG 6, 7, 12, 13, 14, 15, and 16) falls between the</w:t>
      </w:r>
      <w:r>
        <w:rPr>
          <w:spacing w:val="-3"/>
        </w:rPr>
        <w:t> </w:t>
      </w:r>
      <w:r>
        <w:rPr/>
        <w:t>first and second groups of SDGs</w:t>
      </w:r>
      <w:r>
        <w:rPr>
          <w:spacing w:val="-6"/>
        </w:rPr>
        <w:t> </w:t>
      </w:r>
      <w:r>
        <w:rPr/>
        <w:t>(as noted</w:t>
      </w:r>
      <w:r>
        <w:rPr>
          <w:spacing w:val="-3"/>
        </w:rPr>
        <w:t> </w:t>
      </w:r>
      <w:r>
        <w:rPr/>
        <w:t>above). This</w:t>
      </w:r>
      <w:r>
        <w:rPr>
          <w:spacing w:val="37"/>
        </w:rPr>
        <w:t> </w:t>
      </w:r>
      <w:r>
        <w:rPr/>
        <w:t>third group of SDGs</w:t>
      </w:r>
      <w:r>
        <w:rPr>
          <w:spacing w:val="-6"/>
        </w:rPr>
        <w:t> </w:t>
      </w:r>
      <w:r>
        <w:rPr/>
        <w:t>sees a little to</w:t>
      </w:r>
      <w:r>
        <w:rPr>
          <w:spacing w:val="-2"/>
        </w:rPr>
        <w:t> </w:t>
      </w:r>
      <w:r>
        <w:rPr/>
        <w:t>moderate increase (i.e., neither a</w:t>
      </w:r>
      <w:r>
        <w:rPr>
          <w:spacing w:val="-10"/>
        </w:rPr>
        <w:t> </w:t>
      </w:r>
      <w:r>
        <w:rPr/>
        <w:t>large increase like the</w:t>
      </w:r>
      <w:r>
        <w:rPr>
          <w:spacing w:val="-10"/>
        </w:rPr>
        <w:t> </w:t>
      </w:r>
      <w:r>
        <w:rPr/>
        <w:t>first group</w:t>
      </w:r>
      <w:r>
        <w:rPr>
          <w:spacing w:val="-8"/>
        </w:rPr>
        <w:t> </w:t>
      </w:r>
      <w:r>
        <w:rPr/>
        <w:t>nor</w:t>
      </w:r>
      <w:r>
        <w:rPr>
          <w:spacing w:val="-12"/>
        </w:rPr>
        <w:t> </w:t>
      </w:r>
      <w:r>
        <w:rPr/>
        <w:t>a</w:t>
      </w:r>
      <w:r>
        <w:rPr>
          <w:spacing w:val="-10"/>
        </w:rPr>
        <w:t> </w:t>
      </w:r>
      <w:r>
        <w:rPr/>
        <w:t>decrease</w:t>
      </w:r>
      <w:r>
        <w:rPr>
          <w:spacing w:val="-10"/>
        </w:rPr>
        <w:t> </w:t>
      </w:r>
      <w:r>
        <w:rPr/>
        <w:t>like the</w:t>
      </w:r>
      <w:r>
        <w:rPr>
          <w:spacing w:val="-10"/>
        </w:rPr>
        <w:t> </w:t>
      </w:r>
      <w:r>
        <w:rPr/>
        <w:t>second</w:t>
      </w:r>
      <w:r>
        <w:rPr>
          <w:spacing w:val="-9"/>
        </w:rPr>
        <w:t> </w:t>
      </w:r>
      <w:r>
        <w:rPr/>
        <w:t>group) in their indirect representation in investment deals when compared to</w:t>
      </w:r>
      <w:r>
        <w:rPr>
          <w:spacing w:val="-6"/>
        </w:rPr>
        <w:t> </w:t>
      </w:r>
      <w:r>
        <w:rPr/>
        <w:t>their direct linkages to investment deals. For example, while 2.1% of investment deals are directly linked to</w:t>
      </w:r>
      <w:r>
        <w:rPr>
          <w:spacing w:val="-4"/>
        </w:rPr>
        <w:t> </w:t>
      </w:r>
      <w:r>
        <w:rPr/>
        <w:t>SDG 6 (clean water and sanitation) (see Table</w:t>
      </w:r>
      <w:r>
        <w:rPr>
          <w:spacing w:val="40"/>
        </w:rPr>
        <w:t> </w:t>
      </w:r>
      <w:r>
        <w:rPr/>
        <w:t>2, Panel A), 13% of investment deals are indirectly linked</w:t>
      </w:r>
      <w:r>
        <w:rPr>
          <w:spacing w:val="-7"/>
        </w:rPr>
        <w:t> </w:t>
      </w:r>
      <w:r>
        <w:rPr/>
        <w:t>to</w:t>
      </w:r>
      <w:r>
        <w:rPr>
          <w:spacing w:val="-15"/>
        </w:rPr>
        <w:t> </w:t>
      </w:r>
      <w:r>
        <w:rPr/>
        <w:t>addressing</w:t>
      </w:r>
      <w:r>
        <w:rPr>
          <w:spacing w:val="-5"/>
        </w:rPr>
        <w:t> </w:t>
      </w:r>
      <w:r>
        <w:rPr/>
        <w:t>clean</w:t>
      </w:r>
      <w:r>
        <w:rPr>
          <w:spacing w:val="-5"/>
        </w:rPr>
        <w:t> </w:t>
      </w:r>
      <w:r>
        <w:rPr/>
        <w:t>water</w:t>
      </w:r>
      <w:r>
        <w:rPr>
          <w:spacing w:val="-11"/>
        </w:rPr>
        <w:t> </w:t>
      </w:r>
      <w:r>
        <w:rPr/>
        <w:t>and sanitation</w:t>
      </w:r>
      <w:r>
        <w:rPr>
          <w:spacing w:val="-5"/>
        </w:rPr>
        <w:t> </w:t>
      </w:r>
      <w:r>
        <w:rPr/>
        <w:t>issues</w:t>
      </w:r>
      <w:r>
        <w:rPr>
          <w:spacing w:val="-9"/>
        </w:rPr>
        <w:t> </w:t>
      </w:r>
      <w:r>
        <w:rPr/>
        <w:t>(see</w:t>
      </w:r>
      <w:r>
        <w:rPr>
          <w:spacing w:val="-7"/>
        </w:rPr>
        <w:t> </w:t>
      </w:r>
      <w:r>
        <w:rPr/>
        <w:t>Table 3,</w:t>
      </w:r>
      <w:r>
        <w:rPr>
          <w:spacing w:val="-15"/>
        </w:rPr>
        <w:t> </w:t>
      </w:r>
      <w:r>
        <w:rPr/>
        <w:t>Panel A).</w:t>
      </w:r>
      <w:r>
        <w:rPr>
          <w:spacing w:val="-15"/>
        </w:rPr>
        <w:t> </w:t>
      </w:r>
      <w:r>
        <w:rPr/>
        <w:t>In</w:t>
      </w:r>
      <w:r>
        <w:rPr>
          <w:spacing w:val="-6"/>
        </w:rPr>
        <w:t> </w:t>
      </w:r>
      <w:r>
        <w:rPr/>
        <w:t>the</w:t>
      </w:r>
      <w:r>
        <w:rPr>
          <w:spacing w:val="-8"/>
        </w:rPr>
        <w:t> </w:t>
      </w:r>
      <w:r>
        <w:rPr/>
        <w:t>same</w:t>
      </w:r>
      <w:r>
        <w:rPr>
          <w:spacing w:val="-7"/>
        </w:rPr>
        <w:t> </w:t>
      </w:r>
      <w:r>
        <w:rPr/>
        <w:t>vein, 1.4% of investment deals are directly linked to SDG 12 (responsible</w:t>
      </w:r>
      <w:r>
        <w:rPr/>
        <w:t> consumption</w:t>
      </w:r>
      <w:r>
        <w:rPr/>
        <w:t> and production), while 3.4% of deals are indirectly linked to</w:t>
      </w:r>
      <w:r>
        <w:rPr>
          <w:spacing w:val="-2"/>
        </w:rPr>
        <w:t> </w:t>
      </w:r>
      <w:r>
        <w:rPr/>
        <w:t>this SDG.</w:t>
      </w:r>
      <w:r>
        <w:rPr>
          <w:spacing w:val="-2"/>
        </w:rPr>
        <w:t> </w:t>
      </w:r>
      <w:r>
        <w:rPr/>
        <w:t>This suggests that in the absence of investment deals directly targeting these SDGs,</w:t>
      </w:r>
      <w:r>
        <w:rPr>
          <w:spacing w:val="-4"/>
        </w:rPr>
        <w:t> </w:t>
      </w:r>
      <w:r>
        <w:rPr/>
        <w:t>the impact investing market may contribute to them indirectly, </w:t>
      </w:r>
      <w:r>
        <w:rPr>
          <w:i/>
        </w:rPr>
        <w:t>albeit </w:t>
      </w:r>
      <w:r>
        <w:rPr/>
        <w:t>to a limited extent.</w:t>
      </w:r>
    </w:p>
    <w:p>
      <w:pPr>
        <w:pStyle w:val="BodyText"/>
        <w:spacing w:line="477" w:lineRule="auto" w:before="159"/>
        <w:ind w:right="137"/>
      </w:pPr>
      <w:r>
        <w:rPr/>
        <w:t>Table</w:t>
      </w:r>
      <w:r>
        <w:rPr>
          <w:spacing w:val="-6"/>
        </w:rPr>
        <w:t> </w:t>
      </w:r>
      <w:r>
        <w:rPr/>
        <w:t>3</w:t>
      </w:r>
      <w:r>
        <w:rPr>
          <w:spacing w:val="-5"/>
        </w:rPr>
        <w:t> </w:t>
      </w:r>
      <w:r>
        <w:rPr/>
        <w:t>also shows</w:t>
      </w:r>
      <w:r>
        <w:rPr>
          <w:spacing w:val="-9"/>
        </w:rPr>
        <w:t> </w:t>
      </w:r>
      <w:r>
        <w:rPr/>
        <w:t>the</w:t>
      </w:r>
      <w:r>
        <w:rPr>
          <w:spacing w:val="-15"/>
        </w:rPr>
        <w:t> </w:t>
      </w:r>
      <w:r>
        <w:rPr/>
        <w:t>distribution</w:t>
      </w:r>
      <w:r>
        <w:rPr>
          <w:spacing w:val="-5"/>
        </w:rPr>
        <w:t> </w:t>
      </w:r>
      <w:r>
        <w:rPr/>
        <w:t>of</w:t>
      </w:r>
      <w:r>
        <w:rPr>
          <w:spacing w:val="-11"/>
        </w:rPr>
        <w:t> </w:t>
      </w:r>
      <w:r>
        <w:rPr/>
        <w:t>impact</w:t>
      </w:r>
      <w:r>
        <w:rPr>
          <w:spacing w:val="16"/>
        </w:rPr>
        <w:t> </w:t>
      </w:r>
      <w:r>
        <w:rPr/>
        <w:t>investment deals</w:t>
      </w:r>
      <w:r>
        <w:rPr>
          <w:spacing w:val="-9"/>
        </w:rPr>
        <w:t> </w:t>
      </w:r>
      <w:r>
        <w:rPr/>
        <w:t>across regions and</w:t>
      </w:r>
      <w:r>
        <w:rPr>
          <w:spacing w:val="-6"/>
        </w:rPr>
        <w:t> </w:t>
      </w:r>
      <w:r>
        <w:rPr/>
        <w:t>SDGs</w:t>
      </w:r>
      <w:r>
        <w:rPr>
          <w:spacing w:val="-15"/>
        </w:rPr>
        <w:t> </w:t>
      </w:r>
      <w:r>
        <w:rPr/>
        <w:t>at</w:t>
      </w:r>
      <w:r>
        <w:rPr>
          <w:spacing w:val="-12"/>
        </w:rPr>
        <w:t> </w:t>
      </w:r>
      <w:r>
        <w:rPr/>
        <w:t>the secondary</w:t>
      </w:r>
      <w:r>
        <w:rPr>
          <w:spacing w:val="-15"/>
        </w:rPr>
        <w:t> </w:t>
      </w:r>
      <w:r>
        <w:rPr/>
        <w:t>SDG</w:t>
      </w:r>
      <w:r>
        <w:rPr>
          <w:spacing w:val="-15"/>
        </w:rPr>
        <w:t> </w:t>
      </w:r>
      <w:r>
        <w:rPr/>
        <w:t>level.</w:t>
      </w:r>
      <w:r>
        <w:rPr>
          <w:spacing w:val="-15"/>
        </w:rPr>
        <w:t> </w:t>
      </w:r>
      <w:r>
        <w:rPr/>
        <w:t>As</w:t>
      </w:r>
      <w:r>
        <w:rPr>
          <w:spacing w:val="-15"/>
        </w:rPr>
        <w:t> </w:t>
      </w:r>
      <w:r>
        <w:rPr/>
        <w:t>shown</w:t>
      </w:r>
      <w:r>
        <w:rPr>
          <w:spacing w:val="-15"/>
        </w:rPr>
        <w:t> </w:t>
      </w:r>
      <w:r>
        <w:rPr/>
        <w:t>in</w:t>
      </w:r>
      <w:r>
        <w:rPr>
          <w:spacing w:val="-15"/>
        </w:rPr>
        <w:t> </w:t>
      </w:r>
      <w:r>
        <w:rPr/>
        <w:t>Panel</w:t>
      </w:r>
      <w:r>
        <w:rPr>
          <w:spacing w:val="-14"/>
        </w:rPr>
        <w:t> </w:t>
      </w:r>
      <w:r>
        <w:rPr/>
        <w:t>B</w:t>
      </w:r>
      <w:r>
        <w:rPr>
          <w:spacing w:val="-15"/>
        </w:rPr>
        <w:t> </w:t>
      </w:r>
      <w:r>
        <w:rPr/>
        <w:t>in</w:t>
      </w:r>
      <w:r>
        <w:rPr>
          <w:spacing w:val="-6"/>
        </w:rPr>
        <w:t> </w:t>
      </w:r>
      <w:r>
        <w:rPr/>
        <w:t>Table</w:t>
      </w:r>
      <w:r>
        <w:rPr>
          <w:spacing w:val="5"/>
        </w:rPr>
        <w:t> </w:t>
      </w:r>
      <w:r>
        <w:rPr/>
        <w:t>3,</w:t>
      </w:r>
      <w:r>
        <w:rPr>
          <w:spacing w:val="-15"/>
        </w:rPr>
        <w:t> </w:t>
      </w:r>
      <w:r>
        <w:rPr/>
        <w:t>investment deals</w:t>
      </w:r>
      <w:r>
        <w:rPr>
          <w:spacing w:val="-15"/>
        </w:rPr>
        <w:t> </w:t>
      </w:r>
      <w:r>
        <w:rPr/>
        <w:t>indirectly</w:t>
      </w:r>
      <w:r>
        <w:rPr>
          <w:spacing w:val="-6"/>
        </w:rPr>
        <w:t> </w:t>
      </w:r>
      <w:r>
        <w:rPr/>
        <w:t>contributing to different SDGs are highly concentrated in two regions</w:t>
      </w:r>
      <w:r>
        <w:rPr>
          <w:spacing w:val="40"/>
        </w:rPr>
        <w:t> </w:t>
      </w:r>
      <w:r>
        <w:rPr/>
        <w:t>– US &amp; Canada and SSA. This observation is largely similar to what Panel B in Table 2 shows regarding the significant dominance of the</w:t>
      </w:r>
      <w:r>
        <w:rPr>
          <w:spacing w:val="-5"/>
        </w:rPr>
        <w:t> </w:t>
      </w:r>
      <w:r>
        <w:rPr/>
        <w:t>same two</w:t>
      </w:r>
      <w:r>
        <w:rPr>
          <w:spacing w:val="-3"/>
        </w:rPr>
        <w:t> </w:t>
      </w:r>
      <w:r>
        <w:rPr/>
        <w:t>regions – US</w:t>
      </w:r>
      <w:r>
        <w:rPr>
          <w:spacing w:val="-2"/>
        </w:rPr>
        <w:t> </w:t>
      </w:r>
      <w:r>
        <w:rPr/>
        <w:t>&amp; Canada</w:t>
      </w:r>
      <w:r>
        <w:rPr>
          <w:spacing w:val="-5"/>
        </w:rPr>
        <w:t> </w:t>
      </w:r>
      <w:r>
        <w:rPr/>
        <w:t>and SSA – in the availability of impact investment deals directly contributing to various SDGs.</w:t>
      </w:r>
    </w:p>
    <w:p>
      <w:pPr>
        <w:pStyle w:val="ListParagraph"/>
        <w:numPr>
          <w:ilvl w:val="1"/>
          <w:numId w:val="1"/>
        </w:numPr>
        <w:tabs>
          <w:tab w:pos="462" w:val="left" w:leader="none"/>
        </w:tabs>
        <w:spacing w:line="240" w:lineRule="auto" w:before="188" w:after="0"/>
        <w:ind w:left="462" w:right="0" w:hanging="361"/>
        <w:jc w:val="both"/>
        <w:rPr>
          <w:i/>
          <w:sz w:val="24"/>
        </w:rPr>
      </w:pPr>
      <w:r>
        <w:rPr>
          <w:i/>
          <w:sz w:val="24"/>
        </w:rPr>
        <w:t>Impact</w:t>
      </w:r>
      <w:r>
        <w:rPr>
          <w:i/>
          <w:spacing w:val="-12"/>
          <w:sz w:val="24"/>
        </w:rPr>
        <w:t> </w:t>
      </w:r>
      <w:r>
        <w:rPr>
          <w:i/>
          <w:sz w:val="24"/>
        </w:rPr>
        <w:t>investment</w:t>
      </w:r>
      <w:r>
        <w:rPr>
          <w:i/>
          <w:spacing w:val="18"/>
          <w:sz w:val="24"/>
        </w:rPr>
        <w:t> </w:t>
      </w:r>
      <w:r>
        <w:rPr>
          <w:i/>
          <w:sz w:val="24"/>
        </w:rPr>
        <w:t>deals</w:t>
      </w:r>
      <w:r>
        <w:rPr>
          <w:i/>
          <w:spacing w:val="5"/>
          <w:sz w:val="24"/>
        </w:rPr>
        <w:t> </w:t>
      </w:r>
      <w:r>
        <w:rPr>
          <w:i/>
          <w:sz w:val="24"/>
        </w:rPr>
        <w:t>and</w:t>
      </w:r>
      <w:r>
        <w:rPr>
          <w:i/>
          <w:spacing w:val="-5"/>
          <w:sz w:val="24"/>
        </w:rPr>
        <w:t> </w:t>
      </w:r>
      <w:r>
        <w:rPr>
          <w:i/>
          <w:sz w:val="24"/>
        </w:rPr>
        <w:t>SDGs</w:t>
      </w:r>
      <w:r>
        <w:rPr>
          <w:i/>
          <w:spacing w:val="-9"/>
          <w:sz w:val="24"/>
        </w:rPr>
        <w:t> </w:t>
      </w:r>
      <w:r>
        <w:rPr>
          <w:i/>
          <w:sz w:val="24"/>
        </w:rPr>
        <w:t>at</w:t>
      </w:r>
      <w:r>
        <w:rPr>
          <w:i/>
          <w:spacing w:val="-11"/>
          <w:sz w:val="24"/>
        </w:rPr>
        <w:t> </w:t>
      </w:r>
      <w:r>
        <w:rPr>
          <w:i/>
          <w:sz w:val="24"/>
        </w:rPr>
        <w:t>both</w:t>
      </w:r>
      <w:r>
        <w:rPr>
          <w:i/>
          <w:spacing w:val="-6"/>
          <w:sz w:val="24"/>
        </w:rPr>
        <w:t> </w:t>
      </w:r>
      <w:r>
        <w:rPr>
          <w:i/>
          <w:sz w:val="24"/>
        </w:rPr>
        <w:t>primary</w:t>
      </w:r>
      <w:r>
        <w:rPr>
          <w:i/>
          <w:spacing w:val="7"/>
          <w:sz w:val="24"/>
        </w:rPr>
        <w:t> </w:t>
      </w:r>
      <w:r>
        <w:rPr>
          <w:i/>
          <w:sz w:val="24"/>
        </w:rPr>
        <w:t>and</w:t>
      </w:r>
      <w:r>
        <w:rPr>
          <w:i/>
          <w:spacing w:val="-5"/>
          <w:sz w:val="24"/>
        </w:rPr>
        <w:t> </w:t>
      </w:r>
      <w:r>
        <w:rPr>
          <w:i/>
          <w:sz w:val="24"/>
        </w:rPr>
        <w:t>secondary</w:t>
      </w:r>
      <w:r>
        <w:rPr>
          <w:i/>
          <w:spacing w:val="-7"/>
          <w:sz w:val="24"/>
        </w:rPr>
        <w:t> </w:t>
      </w:r>
      <w:r>
        <w:rPr>
          <w:i/>
          <w:sz w:val="24"/>
        </w:rPr>
        <w:t>SDG </w:t>
      </w:r>
      <w:r>
        <w:rPr>
          <w:i/>
          <w:spacing w:val="-2"/>
          <w:sz w:val="24"/>
        </w:rPr>
        <w:t>levels</w:t>
      </w:r>
    </w:p>
    <w:p>
      <w:pPr>
        <w:pStyle w:val="BodyText"/>
        <w:spacing w:before="3"/>
        <w:ind w:left="0"/>
        <w:jc w:val="left"/>
        <w:rPr>
          <w:i/>
        </w:rPr>
      </w:pPr>
    </w:p>
    <w:p>
      <w:pPr>
        <w:pStyle w:val="BodyText"/>
        <w:spacing w:line="477" w:lineRule="auto" w:before="1"/>
        <w:ind w:right="138"/>
      </w:pPr>
      <w:r>
        <w:rPr/>
        <w:t>This section presents</w:t>
      </w:r>
      <w:r>
        <w:rPr>
          <w:spacing w:val="-8"/>
        </w:rPr>
        <w:t> </w:t>
      </w:r>
      <w:r>
        <w:rPr/>
        <w:t>the</w:t>
      </w:r>
      <w:r>
        <w:rPr>
          <w:spacing w:val="-6"/>
        </w:rPr>
        <w:t> </w:t>
      </w:r>
      <w:r>
        <w:rPr/>
        <w:t>linkage between</w:t>
      </w:r>
      <w:r>
        <w:rPr>
          <w:spacing w:val="-4"/>
        </w:rPr>
        <w:t> </w:t>
      </w:r>
      <w:r>
        <w:rPr/>
        <w:t>impact investment deals</w:t>
      </w:r>
      <w:r>
        <w:rPr>
          <w:spacing w:val="-8"/>
        </w:rPr>
        <w:t> </w:t>
      </w:r>
      <w:r>
        <w:rPr/>
        <w:t>and SDGs</w:t>
      </w:r>
      <w:r>
        <w:rPr>
          <w:spacing w:val="-8"/>
        </w:rPr>
        <w:t> </w:t>
      </w:r>
      <w:r>
        <w:rPr/>
        <w:t>at both</w:t>
      </w:r>
      <w:r>
        <w:rPr>
          <w:spacing w:val="-15"/>
        </w:rPr>
        <w:t> </w:t>
      </w:r>
      <w:r>
        <w:rPr/>
        <w:t>primary and secondary SDG levels. Here, for each investment deal, we considered six SDGs (one primary</w:t>
      </w:r>
      <w:r>
        <w:rPr>
          <w:spacing w:val="-15"/>
        </w:rPr>
        <w:t> </w:t>
      </w:r>
      <w:r>
        <w:rPr/>
        <w:t>SDG</w:t>
      </w:r>
      <w:r>
        <w:rPr>
          <w:spacing w:val="-15"/>
        </w:rPr>
        <w:t> </w:t>
      </w:r>
      <w:r>
        <w:rPr/>
        <w:t>[as</w:t>
      </w:r>
      <w:r>
        <w:rPr>
          <w:spacing w:val="-15"/>
        </w:rPr>
        <w:t> </w:t>
      </w:r>
      <w:r>
        <w:rPr/>
        <w:t>noted</w:t>
      </w:r>
      <w:r>
        <w:rPr>
          <w:spacing w:val="-15"/>
        </w:rPr>
        <w:t> </w:t>
      </w:r>
      <w:r>
        <w:rPr/>
        <w:t>in</w:t>
      </w:r>
      <w:r>
        <w:rPr>
          <w:spacing w:val="-13"/>
        </w:rPr>
        <w:t> </w:t>
      </w:r>
      <w:r>
        <w:rPr/>
        <w:t>section</w:t>
      </w:r>
      <w:r>
        <w:rPr>
          <w:spacing w:val="-5"/>
        </w:rPr>
        <w:t> </w:t>
      </w:r>
      <w:r>
        <w:rPr/>
        <w:t>4.1]</w:t>
      </w:r>
      <w:r>
        <w:rPr>
          <w:spacing w:val="-15"/>
        </w:rPr>
        <w:t> </w:t>
      </w:r>
      <w:r>
        <w:rPr/>
        <w:t>and</w:t>
      </w:r>
      <w:r>
        <w:rPr>
          <w:spacing w:val="-6"/>
        </w:rPr>
        <w:t> </w:t>
      </w:r>
      <w:r>
        <w:rPr/>
        <w:t>five</w:t>
      </w:r>
      <w:r>
        <w:rPr>
          <w:spacing w:val="-15"/>
        </w:rPr>
        <w:t> </w:t>
      </w:r>
      <w:r>
        <w:rPr/>
        <w:t>secondary</w:t>
      </w:r>
      <w:r>
        <w:rPr>
          <w:spacing w:val="-5"/>
        </w:rPr>
        <w:t> </w:t>
      </w:r>
      <w:r>
        <w:rPr/>
        <w:t>SDGs</w:t>
      </w:r>
      <w:r>
        <w:rPr>
          <w:spacing w:val="-15"/>
        </w:rPr>
        <w:t> </w:t>
      </w:r>
      <w:r>
        <w:rPr/>
        <w:t>[as mentioned</w:t>
      </w:r>
      <w:r>
        <w:rPr>
          <w:spacing w:val="-6"/>
        </w:rPr>
        <w:t> </w:t>
      </w:r>
      <w:r>
        <w:rPr/>
        <w:t>in</w:t>
      </w:r>
      <w:r>
        <w:rPr>
          <w:spacing w:val="-5"/>
        </w:rPr>
        <w:t> </w:t>
      </w:r>
      <w:r>
        <w:rPr/>
        <w:t>section</w:t>
      </w:r>
      <w:r>
        <w:rPr>
          <w:spacing w:val="-15"/>
        </w:rPr>
        <w:t> </w:t>
      </w:r>
      <w:r>
        <w:rPr/>
        <w:t>4.2]). In other words, this analysis considered an investment deal’s direct and indirect linkages to SDGs. Panel A in Table 4 provides our summary results. It shows that the top four representative SDGs</w:t>
      </w:r>
      <w:r>
        <w:rPr>
          <w:spacing w:val="-7"/>
        </w:rPr>
        <w:t> </w:t>
      </w:r>
      <w:r>
        <w:rPr/>
        <w:t>are: SDG</w:t>
      </w:r>
      <w:r>
        <w:rPr>
          <w:spacing w:val="-12"/>
        </w:rPr>
        <w:t> </w:t>
      </w:r>
      <w:r>
        <w:rPr/>
        <w:t>1</w:t>
      </w:r>
      <w:r>
        <w:rPr>
          <w:spacing w:val="-3"/>
        </w:rPr>
        <w:t> </w:t>
      </w:r>
      <w:r>
        <w:rPr/>
        <w:t>(no poverty), SDG</w:t>
      </w:r>
      <w:r>
        <w:rPr>
          <w:spacing w:val="-12"/>
        </w:rPr>
        <w:t> </w:t>
      </w:r>
      <w:r>
        <w:rPr/>
        <w:t>2</w:t>
      </w:r>
      <w:r>
        <w:rPr>
          <w:spacing w:val="-3"/>
        </w:rPr>
        <w:t> </w:t>
      </w:r>
      <w:r>
        <w:rPr/>
        <w:t>(zero hunger), SDG 3</w:t>
      </w:r>
      <w:r>
        <w:rPr>
          <w:spacing w:val="-3"/>
        </w:rPr>
        <w:t> </w:t>
      </w:r>
      <w:r>
        <w:rPr/>
        <w:t>(good health</w:t>
      </w:r>
      <w:r>
        <w:rPr>
          <w:spacing w:val="-3"/>
        </w:rPr>
        <w:t> </w:t>
      </w:r>
      <w:r>
        <w:rPr/>
        <w:t>and well-being),</w:t>
      </w:r>
      <w:r>
        <w:rPr>
          <w:spacing w:val="55"/>
        </w:rPr>
        <w:t> </w:t>
      </w:r>
      <w:r>
        <w:rPr/>
        <w:t>and</w:t>
      </w:r>
      <w:r>
        <w:rPr>
          <w:spacing w:val="41"/>
        </w:rPr>
        <w:t> </w:t>
      </w:r>
      <w:r>
        <w:rPr/>
        <w:t>SDG</w:t>
      </w:r>
      <w:r>
        <w:rPr>
          <w:spacing w:val="33"/>
        </w:rPr>
        <w:t> </w:t>
      </w:r>
      <w:r>
        <w:rPr/>
        <w:t>8</w:t>
      </w:r>
      <w:r>
        <w:rPr>
          <w:spacing w:val="41"/>
        </w:rPr>
        <w:t> </w:t>
      </w:r>
      <w:r>
        <w:rPr/>
        <w:t>(decent</w:t>
      </w:r>
      <w:r>
        <w:rPr>
          <w:spacing w:val="20"/>
        </w:rPr>
        <w:t> </w:t>
      </w:r>
      <w:r>
        <w:rPr/>
        <w:t>jobs</w:t>
      </w:r>
      <w:r>
        <w:rPr>
          <w:spacing w:val="53"/>
        </w:rPr>
        <w:t> </w:t>
      </w:r>
      <w:r>
        <w:rPr/>
        <w:t>and</w:t>
      </w:r>
      <w:r>
        <w:rPr>
          <w:spacing w:val="41"/>
        </w:rPr>
        <w:t> </w:t>
      </w:r>
      <w:r>
        <w:rPr/>
        <w:t>economic</w:t>
      </w:r>
      <w:r>
        <w:rPr>
          <w:spacing w:val="40"/>
        </w:rPr>
        <w:t> </w:t>
      </w:r>
      <w:r>
        <w:rPr/>
        <w:t>growth).</w:t>
      </w:r>
      <w:r>
        <w:rPr>
          <w:spacing w:val="40"/>
        </w:rPr>
        <w:t> </w:t>
      </w:r>
      <w:r>
        <w:rPr/>
        <w:t>Each</w:t>
      </w:r>
      <w:r>
        <w:rPr>
          <w:spacing w:val="27"/>
        </w:rPr>
        <w:t> </w:t>
      </w:r>
      <w:r>
        <w:rPr/>
        <w:t>of</w:t>
      </w:r>
      <w:r>
        <w:rPr>
          <w:spacing w:val="50"/>
        </w:rPr>
        <w:t> </w:t>
      </w:r>
      <w:r>
        <w:rPr/>
        <w:t>these</w:t>
      </w:r>
      <w:r>
        <w:rPr>
          <w:spacing w:val="26"/>
        </w:rPr>
        <w:t> </w:t>
      </w:r>
      <w:r>
        <w:rPr/>
        <w:t>four</w:t>
      </w:r>
      <w:r>
        <w:rPr>
          <w:spacing w:val="21"/>
        </w:rPr>
        <w:t> </w:t>
      </w:r>
      <w:r>
        <w:rPr/>
        <w:t>SDGs</w:t>
      </w:r>
      <w:r>
        <w:rPr>
          <w:spacing w:val="38"/>
        </w:rPr>
        <w:t> </w:t>
      </w:r>
      <w:r>
        <w:rPr>
          <w:spacing w:val="-5"/>
        </w:rPr>
        <w:t>is</w:t>
      </w:r>
    </w:p>
    <w:p>
      <w:pPr>
        <w:spacing w:after="0" w:line="477" w:lineRule="auto"/>
        <w:sectPr>
          <w:pgSz w:w="11910" w:h="16850"/>
          <w:pgMar w:header="0" w:footer="1005" w:top="1380" w:bottom="1200" w:left="1340" w:right="1300"/>
        </w:sectPr>
      </w:pPr>
    </w:p>
    <w:p>
      <w:pPr>
        <w:pStyle w:val="BodyText"/>
        <w:spacing w:line="470" w:lineRule="auto" w:before="72"/>
        <w:ind w:right="140"/>
      </w:pPr>
      <w:r>
        <w:rPr/>
        <w:t>directly</w:t>
      </w:r>
      <w:r>
        <w:rPr>
          <w:spacing w:val="-15"/>
        </w:rPr>
        <w:t> </w:t>
      </w:r>
      <w:r>
        <w:rPr/>
        <w:t>or</w:t>
      </w:r>
      <w:r>
        <w:rPr>
          <w:spacing w:val="-15"/>
        </w:rPr>
        <w:t> </w:t>
      </w:r>
      <w:r>
        <w:rPr/>
        <w:t>indirectly</w:t>
      </w:r>
      <w:r>
        <w:rPr>
          <w:spacing w:val="-6"/>
        </w:rPr>
        <w:t> </w:t>
      </w:r>
      <w:r>
        <w:rPr/>
        <w:t>linked to</w:t>
      </w:r>
      <w:r>
        <w:rPr>
          <w:spacing w:val="-15"/>
        </w:rPr>
        <w:t> </w:t>
      </w:r>
      <w:r>
        <w:rPr/>
        <w:t>80%</w:t>
      </w:r>
      <w:r>
        <w:rPr>
          <w:spacing w:val="-10"/>
        </w:rPr>
        <w:t> </w:t>
      </w:r>
      <w:r>
        <w:rPr/>
        <w:t>or</w:t>
      </w:r>
      <w:r>
        <w:rPr>
          <w:spacing w:val="-10"/>
        </w:rPr>
        <w:t> </w:t>
      </w:r>
      <w:r>
        <w:rPr/>
        <w:t>more investment deals.</w:t>
      </w:r>
      <w:r>
        <w:rPr>
          <w:spacing w:val="-5"/>
        </w:rPr>
        <w:t> </w:t>
      </w:r>
      <w:r>
        <w:rPr/>
        <w:t>As</w:t>
      </w:r>
      <w:r>
        <w:rPr>
          <w:spacing w:val="-15"/>
        </w:rPr>
        <w:t> </w:t>
      </w:r>
      <w:r>
        <w:rPr/>
        <w:t>a</w:t>
      </w:r>
      <w:r>
        <w:rPr>
          <w:spacing w:val="-7"/>
        </w:rPr>
        <w:t> </w:t>
      </w:r>
      <w:r>
        <w:rPr/>
        <w:t>result, the</w:t>
      </w:r>
      <w:r>
        <w:rPr>
          <w:spacing w:val="-15"/>
        </w:rPr>
        <w:t> </w:t>
      </w:r>
      <w:r>
        <w:rPr/>
        <w:t>impact investing market can effectively contribute to these SDGs.</w:t>
      </w:r>
    </w:p>
    <w:p>
      <w:pPr>
        <w:pStyle w:val="BodyText"/>
        <w:spacing w:before="164"/>
        <w:ind w:left="3060"/>
        <w:jc w:val="left"/>
      </w:pPr>
      <w:r>
        <w:rPr/>
        <w:t>---</w:t>
      </w:r>
      <w:r>
        <w:rPr>
          <w:spacing w:val="-2"/>
        </w:rPr>
        <w:t> </w:t>
      </w:r>
      <w:r>
        <w:rPr/>
        <w:t>Insert</w:t>
      </w:r>
      <w:r>
        <w:rPr>
          <w:spacing w:val="-3"/>
        </w:rPr>
        <w:t> </w:t>
      </w:r>
      <w:r>
        <w:rPr/>
        <w:t>Table</w:t>
      </w:r>
      <w:r>
        <w:rPr>
          <w:spacing w:val="1"/>
        </w:rPr>
        <w:t> </w:t>
      </w:r>
      <w:r>
        <w:rPr/>
        <w:t>4</w:t>
      </w:r>
      <w:r>
        <w:rPr>
          <w:spacing w:val="-9"/>
        </w:rPr>
        <w:t> </w:t>
      </w:r>
      <w:r>
        <w:rPr/>
        <w:t>around</w:t>
      </w:r>
      <w:r>
        <w:rPr>
          <w:spacing w:val="2"/>
        </w:rPr>
        <w:t> </w:t>
      </w:r>
      <w:r>
        <w:rPr/>
        <w:t>here</w:t>
      </w:r>
      <w:r>
        <w:rPr>
          <w:spacing w:val="-7"/>
        </w:rPr>
        <w:t> </w:t>
      </w:r>
      <w:r>
        <w:rPr/>
        <w:t>--</w:t>
      </w:r>
      <w:r>
        <w:rPr>
          <w:spacing w:val="-10"/>
        </w:rPr>
        <w:t>-</w:t>
      </w:r>
    </w:p>
    <w:p>
      <w:pPr>
        <w:pStyle w:val="BodyText"/>
        <w:ind w:left="0"/>
        <w:jc w:val="left"/>
        <w:rPr>
          <w:sz w:val="26"/>
        </w:rPr>
      </w:pPr>
    </w:p>
    <w:p>
      <w:pPr>
        <w:pStyle w:val="BodyText"/>
        <w:spacing w:line="477" w:lineRule="auto" w:before="161"/>
        <w:ind w:right="128"/>
      </w:pPr>
      <w:r>
        <w:rPr/>
        <w:t>Unfortunately,</w:t>
      </w:r>
      <w:r>
        <w:rPr>
          <w:spacing w:val="-3"/>
        </w:rPr>
        <w:t> </w:t>
      </w:r>
      <w:r>
        <w:rPr/>
        <w:t>several other SDGs</w:t>
      </w:r>
      <w:r>
        <w:rPr>
          <w:spacing w:val="-6"/>
        </w:rPr>
        <w:t> </w:t>
      </w:r>
      <w:r>
        <w:rPr/>
        <w:t>(SDGs 4, 6, 7, 9, 11-17) have minimal</w:t>
      </w:r>
      <w:r>
        <w:rPr>
          <w:spacing w:val="40"/>
        </w:rPr>
        <w:t> </w:t>
      </w:r>
      <w:r>
        <w:rPr/>
        <w:t>representations in the</w:t>
      </w:r>
      <w:r>
        <w:rPr>
          <w:spacing w:val="-8"/>
        </w:rPr>
        <w:t> </w:t>
      </w:r>
      <w:r>
        <w:rPr/>
        <w:t>investment deals when</w:t>
      </w:r>
      <w:r>
        <w:rPr>
          <w:spacing w:val="-2"/>
        </w:rPr>
        <w:t> </w:t>
      </w:r>
      <w:r>
        <w:rPr/>
        <w:t>a deal’s both</w:t>
      </w:r>
      <w:r>
        <w:rPr>
          <w:spacing w:val="-2"/>
        </w:rPr>
        <w:t> </w:t>
      </w:r>
      <w:r>
        <w:rPr/>
        <w:t>direct and indirect linkages</w:t>
      </w:r>
      <w:r>
        <w:rPr>
          <w:spacing w:val="24"/>
        </w:rPr>
        <w:t> </w:t>
      </w:r>
      <w:r>
        <w:rPr/>
        <w:t>to SDGs</w:t>
      </w:r>
      <w:r>
        <w:rPr>
          <w:spacing w:val="-15"/>
        </w:rPr>
        <w:t> </w:t>
      </w:r>
      <w:r>
        <w:rPr/>
        <w:t>are</w:t>
      </w:r>
      <w:r>
        <w:rPr>
          <w:spacing w:val="26"/>
        </w:rPr>
        <w:t> </w:t>
      </w:r>
      <w:r>
        <w:rPr/>
        <w:t>considered. A notable observation is that collectively, SDG 4 (quality education), SDG 9 (industry and infrastructure), SDG 11 (sustainable cities and communities),</w:t>
      </w:r>
      <w:r>
        <w:rPr/>
        <w:t> SDG 12 (responsible consumption</w:t>
      </w:r>
      <w:r>
        <w:rPr/>
        <w:t> and</w:t>
      </w:r>
      <w:r>
        <w:rPr/>
        <w:t> production),</w:t>
      </w:r>
      <w:r>
        <w:rPr/>
        <w:t> and</w:t>
      </w:r>
      <w:r>
        <w:rPr/>
        <w:t> SDG 14 (life below water) have less than 10% representation</w:t>
      </w:r>
      <w:r>
        <w:rPr>
          <w:spacing w:val="-15"/>
        </w:rPr>
        <w:t> </w:t>
      </w:r>
      <w:r>
        <w:rPr/>
        <w:t>in</w:t>
      </w:r>
      <w:r>
        <w:rPr>
          <w:spacing w:val="-15"/>
        </w:rPr>
        <w:t> </w:t>
      </w:r>
      <w:r>
        <w:rPr/>
        <w:t>the</w:t>
      </w:r>
      <w:r>
        <w:rPr>
          <w:spacing w:val="-15"/>
        </w:rPr>
        <w:t> </w:t>
      </w:r>
      <w:r>
        <w:rPr/>
        <w:t>available</w:t>
      </w:r>
      <w:r>
        <w:rPr>
          <w:spacing w:val="-15"/>
        </w:rPr>
        <w:t> </w:t>
      </w:r>
      <w:r>
        <w:rPr/>
        <w:t>investment</w:t>
      </w:r>
      <w:r>
        <w:rPr>
          <w:spacing w:val="-9"/>
        </w:rPr>
        <w:t> </w:t>
      </w:r>
      <w:r>
        <w:rPr/>
        <w:t>deals.</w:t>
      </w:r>
      <w:r>
        <w:rPr>
          <w:spacing w:val="-15"/>
        </w:rPr>
        <w:t> </w:t>
      </w:r>
      <w:r>
        <w:rPr/>
        <w:t>This suggests</w:t>
      </w:r>
      <w:r>
        <w:rPr>
          <w:spacing w:val="-13"/>
        </w:rPr>
        <w:t> </w:t>
      </w:r>
      <w:r>
        <w:rPr/>
        <w:t>that</w:t>
      </w:r>
      <w:r>
        <w:rPr>
          <w:spacing w:val="-15"/>
        </w:rPr>
        <w:t> </w:t>
      </w:r>
      <w:r>
        <w:rPr/>
        <w:t>the</w:t>
      </w:r>
      <w:r>
        <w:rPr>
          <w:spacing w:val="-15"/>
        </w:rPr>
        <w:t> </w:t>
      </w:r>
      <w:r>
        <w:rPr/>
        <w:t>impact</w:t>
      </w:r>
      <w:r>
        <w:rPr>
          <w:spacing w:val="-2"/>
        </w:rPr>
        <w:t> </w:t>
      </w:r>
      <w:r>
        <w:rPr/>
        <w:t>investing market may fail to effectively contribute to these SDGs due to the lack of reasonable numbers of investment deals directly or indirectly targeting them.</w:t>
      </w:r>
    </w:p>
    <w:p>
      <w:pPr>
        <w:pStyle w:val="BodyText"/>
        <w:spacing w:line="477" w:lineRule="auto" w:before="186"/>
        <w:ind w:right="125"/>
      </w:pPr>
      <w:r>
        <w:rPr/>
        <w:t>We also analyzed the distribution of impact investment deals across regions by considering both primary and secondary SDGs. As shown in Panel B in Table 4, most investment deals directly</w:t>
      </w:r>
      <w:r>
        <w:rPr>
          <w:spacing w:val="-11"/>
        </w:rPr>
        <w:t> </w:t>
      </w:r>
      <w:r>
        <w:rPr/>
        <w:t>or</w:t>
      </w:r>
      <w:r>
        <w:rPr>
          <w:spacing w:val="-8"/>
        </w:rPr>
        <w:t> </w:t>
      </w:r>
      <w:r>
        <w:rPr/>
        <w:t>indirectly</w:t>
      </w:r>
      <w:r>
        <w:rPr>
          <w:spacing w:val="-3"/>
        </w:rPr>
        <w:t> </w:t>
      </w:r>
      <w:r>
        <w:rPr/>
        <w:t>contributing</w:t>
      </w:r>
      <w:r>
        <w:rPr>
          <w:spacing w:val="-3"/>
        </w:rPr>
        <w:t> </w:t>
      </w:r>
      <w:r>
        <w:rPr/>
        <w:t>to</w:t>
      </w:r>
      <w:r>
        <w:rPr>
          <w:spacing w:val="-11"/>
        </w:rPr>
        <w:t> </w:t>
      </w:r>
      <w:r>
        <w:rPr/>
        <w:t>nine major SDGs</w:t>
      </w:r>
      <w:r>
        <w:rPr>
          <w:spacing w:val="-15"/>
        </w:rPr>
        <w:t> </w:t>
      </w:r>
      <w:r>
        <w:rPr/>
        <w:t>(SDGs</w:t>
      </w:r>
      <w:r>
        <w:rPr>
          <w:spacing w:val="-7"/>
        </w:rPr>
        <w:t> </w:t>
      </w:r>
      <w:r>
        <w:rPr/>
        <w:t>1-5,</w:t>
      </w:r>
      <w:r>
        <w:rPr>
          <w:spacing w:val="-3"/>
        </w:rPr>
        <w:t> </w:t>
      </w:r>
      <w:r>
        <w:rPr/>
        <w:t>7,</w:t>
      </w:r>
      <w:r>
        <w:rPr>
          <w:spacing w:val="-3"/>
        </w:rPr>
        <w:t> </w:t>
      </w:r>
      <w:r>
        <w:rPr/>
        <w:t>8,</w:t>
      </w:r>
      <w:r>
        <w:rPr>
          <w:spacing w:val="-15"/>
        </w:rPr>
        <w:t> </w:t>
      </w:r>
      <w:r>
        <w:rPr/>
        <w:t>10,</w:t>
      </w:r>
      <w:r>
        <w:rPr>
          <w:spacing w:val="-3"/>
        </w:rPr>
        <w:t> </w:t>
      </w:r>
      <w:r>
        <w:rPr/>
        <w:t>and</w:t>
      </w:r>
      <w:r>
        <w:rPr>
          <w:spacing w:val="-4"/>
        </w:rPr>
        <w:t> </w:t>
      </w:r>
      <w:r>
        <w:rPr/>
        <w:t>15)</w:t>
      </w:r>
      <w:r>
        <w:rPr>
          <w:spacing w:val="-8"/>
        </w:rPr>
        <w:t> </w:t>
      </w:r>
      <w:r>
        <w:rPr/>
        <w:t>are located in</w:t>
      </w:r>
      <w:r>
        <w:rPr>
          <w:spacing w:val="-15"/>
        </w:rPr>
        <w:t> </w:t>
      </w:r>
      <w:r>
        <w:rPr/>
        <w:t>a</w:t>
      </w:r>
      <w:r>
        <w:rPr>
          <w:spacing w:val="-12"/>
        </w:rPr>
        <w:t> </w:t>
      </w:r>
      <w:r>
        <w:rPr/>
        <w:t>single</w:t>
      </w:r>
      <w:r>
        <w:rPr>
          <w:spacing w:val="-7"/>
        </w:rPr>
        <w:t> </w:t>
      </w:r>
      <w:r>
        <w:rPr/>
        <w:t>developed</w:t>
      </w:r>
      <w:r>
        <w:rPr>
          <w:spacing w:val="-6"/>
        </w:rPr>
        <w:t> </w:t>
      </w:r>
      <w:r>
        <w:rPr/>
        <w:t>region</w:t>
      </w:r>
      <w:r>
        <w:rPr>
          <w:spacing w:val="-1"/>
        </w:rPr>
        <w:t> </w:t>
      </w:r>
      <w:r>
        <w:rPr/>
        <w:t>–</w:t>
      </w:r>
      <w:r>
        <w:rPr>
          <w:spacing w:val="-15"/>
        </w:rPr>
        <w:t> </w:t>
      </w:r>
      <w:r>
        <w:rPr/>
        <w:t>US</w:t>
      </w:r>
      <w:r>
        <w:rPr>
          <w:spacing w:val="-15"/>
        </w:rPr>
        <w:t> </w:t>
      </w:r>
      <w:r>
        <w:rPr/>
        <w:t>&amp;</w:t>
      </w:r>
      <w:r>
        <w:rPr>
          <w:spacing w:val="-11"/>
        </w:rPr>
        <w:t> </w:t>
      </w:r>
      <w:r>
        <w:rPr/>
        <w:t>Canada.</w:t>
      </w:r>
      <w:r>
        <w:rPr>
          <w:spacing w:val="-15"/>
        </w:rPr>
        <w:t> </w:t>
      </w:r>
      <w:r>
        <w:rPr/>
        <w:t>Also,</w:t>
      </w:r>
      <w:r>
        <w:rPr>
          <w:spacing w:val="-5"/>
        </w:rPr>
        <w:t> </w:t>
      </w:r>
      <w:r>
        <w:rPr/>
        <w:t>most</w:t>
      </w:r>
      <w:r>
        <w:rPr>
          <w:spacing w:val="-11"/>
        </w:rPr>
        <w:t> </w:t>
      </w:r>
      <w:r>
        <w:rPr/>
        <w:t>investment deals</w:t>
      </w:r>
      <w:r>
        <w:rPr>
          <w:spacing w:val="-15"/>
        </w:rPr>
        <w:t> </w:t>
      </w:r>
      <w:r>
        <w:rPr/>
        <w:t>directly</w:t>
      </w:r>
      <w:r>
        <w:rPr>
          <w:spacing w:val="-5"/>
        </w:rPr>
        <w:t> </w:t>
      </w:r>
      <w:r>
        <w:rPr/>
        <w:t>or</w:t>
      </w:r>
      <w:r>
        <w:rPr>
          <w:spacing w:val="-9"/>
        </w:rPr>
        <w:t> </w:t>
      </w:r>
      <w:r>
        <w:rPr/>
        <w:t>indirectly contributing to</w:t>
      </w:r>
      <w:r>
        <w:rPr>
          <w:spacing w:val="-15"/>
        </w:rPr>
        <w:t> </w:t>
      </w:r>
      <w:r>
        <w:rPr/>
        <w:t>the</w:t>
      </w:r>
      <w:r>
        <w:rPr>
          <w:spacing w:val="-2"/>
        </w:rPr>
        <w:t> </w:t>
      </w:r>
      <w:r>
        <w:rPr/>
        <w:t>rest of</w:t>
      </w:r>
      <w:r>
        <w:rPr>
          <w:spacing w:val="-6"/>
        </w:rPr>
        <w:t> </w:t>
      </w:r>
      <w:r>
        <w:rPr/>
        <w:t>the</w:t>
      </w:r>
      <w:r>
        <w:rPr>
          <w:spacing w:val="-2"/>
        </w:rPr>
        <w:t> </w:t>
      </w:r>
      <w:r>
        <w:rPr/>
        <w:t>other</w:t>
      </w:r>
      <w:r>
        <w:rPr>
          <w:spacing w:val="-6"/>
        </w:rPr>
        <w:t> </w:t>
      </w:r>
      <w:r>
        <w:rPr/>
        <w:t>SDGs</w:t>
      </w:r>
      <w:r>
        <w:rPr>
          <w:spacing w:val="-4"/>
        </w:rPr>
        <w:t> </w:t>
      </w:r>
      <w:r>
        <w:rPr/>
        <w:t>(e.g., SDGs</w:t>
      </w:r>
      <w:r>
        <w:rPr>
          <w:spacing w:val="-15"/>
        </w:rPr>
        <w:t> </w:t>
      </w:r>
      <w:r>
        <w:rPr/>
        <w:t>6, 9, 13, and 16)</w:t>
      </w:r>
      <w:r>
        <w:rPr>
          <w:spacing w:val="-5"/>
        </w:rPr>
        <w:t> </w:t>
      </w:r>
      <w:r>
        <w:rPr/>
        <w:t>are located in a single emerging region – SSA. Overall, this suggests that most investment deals that directly or indirectly</w:t>
      </w:r>
      <w:r>
        <w:rPr>
          <w:spacing w:val="-15"/>
        </w:rPr>
        <w:t> </w:t>
      </w:r>
      <w:r>
        <w:rPr/>
        <w:t>contribute</w:t>
      </w:r>
      <w:r>
        <w:rPr>
          <w:spacing w:val="-15"/>
        </w:rPr>
        <w:t> </w:t>
      </w:r>
      <w:r>
        <w:rPr/>
        <w:t>to</w:t>
      </w:r>
      <w:r>
        <w:rPr>
          <w:spacing w:val="-15"/>
        </w:rPr>
        <w:t> </w:t>
      </w:r>
      <w:r>
        <w:rPr/>
        <w:t>almost</w:t>
      </w:r>
      <w:r>
        <w:rPr>
          <w:spacing w:val="-15"/>
        </w:rPr>
        <w:t> </w:t>
      </w:r>
      <w:r>
        <w:rPr/>
        <w:t>all</w:t>
      </w:r>
      <w:r>
        <w:rPr>
          <w:spacing w:val="-15"/>
        </w:rPr>
        <w:t> </w:t>
      </w:r>
      <w:r>
        <w:rPr/>
        <w:t>SDGs</w:t>
      </w:r>
      <w:r>
        <w:rPr>
          <w:spacing w:val="-15"/>
        </w:rPr>
        <w:t> </w:t>
      </w:r>
      <w:r>
        <w:rPr/>
        <w:t>are</w:t>
      </w:r>
      <w:r>
        <w:rPr>
          <w:spacing w:val="-13"/>
        </w:rPr>
        <w:t> </w:t>
      </w:r>
      <w:r>
        <w:rPr/>
        <w:t>highly</w:t>
      </w:r>
      <w:r>
        <w:rPr>
          <w:spacing w:val="9"/>
        </w:rPr>
        <w:t> </w:t>
      </w:r>
      <w:r>
        <w:rPr/>
        <w:t>concentrated</w:t>
      </w:r>
      <w:r>
        <w:rPr>
          <w:spacing w:val="-15"/>
        </w:rPr>
        <w:t> </w:t>
      </w:r>
      <w:r>
        <w:rPr/>
        <w:t>in</w:t>
      </w:r>
      <w:r>
        <w:rPr>
          <w:spacing w:val="-4"/>
        </w:rPr>
        <w:t> </w:t>
      </w:r>
      <w:r>
        <w:rPr/>
        <w:t>two</w:t>
      </w:r>
      <w:r>
        <w:rPr>
          <w:spacing w:val="-15"/>
        </w:rPr>
        <w:t> </w:t>
      </w:r>
      <w:r>
        <w:rPr/>
        <w:t>regions</w:t>
      </w:r>
      <w:r>
        <w:rPr>
          <w:spacing w:val="20"/>
        </w:rPr>
        <w:t> </w:t>
      </w:r>
      <w:r>
        <w:rPr/>
        <w:t>–</w:t>
      </w:r>
      <w:r>
        <w:rPr>
          <w:spacing w:val="-15"/>
        </w:rPr>
        <w:t> </w:t>
      </w:r>
      <w:r>
        <w:rPr/>
        <w:t>US</w:t>
      </w:r>
      <w:r>
        <w:rPr>
          <w:spacing w:val="-15"/>
        </w:rPr>
        <w:t> </w:t>
      </w:r>
      <w:r>
        <w:rPr/>
        <w:t>&amp;</w:t>
      </w:r>
      <w:r>
        <w:rPr>
          <w:spacing w:val="-11"/>
        </w:rPr>
        <w:t> </w:t>
      </w:r>
      <w:r>
        <w:rPr/>
        <w:t>Canada and</w:t>
      </w:r>
      <w:r>
        <w:rPr>
          <w:spacing w:val="-15"/>
        </w:rPr>
        <w:t> </w:t>
      </w:r>
      <w:r>
        <w:rPr/>
        <w:t>SSA.</w:t>
      </w:r>
      <w:r>
        <w:rPr>
          <w:spacing w:val="-15"/>
        </w:rPr>
        <w:t> </w:t>
      </w:r>
      <w:r>
        <w:rPr/>
        <w:t>This</w:t>
      </w:r>
      <w:r>
        <w:rPr>
          <w:spacing w:val="-15"/>
        </w:rPr>
        <w:t> </w:t>
      </w:r>
      <w:r>
        <w:rPr/>
        <w:t>also</w:t>
      </w:r>
      <w:r>
        <w:rPr>
          <w:spacing w:val="9"/>
        </w:rPr>
        <w:t> </w:t>
      </w:r>
      <w:r>
        <w:rPr/>
        <w:t>indicates</w:t>
      </w:r>
      <w:r>
        <w:rPr>
          <w:spacing w:val="-15"/>
        </w:rPr>
        <w:t> </w:t>
      </w:r>
      <w:r>
        <w:rPr/>
        <w:t>that</w:t>
      </w:r>
      <w:r>
        <w:rPr>
          <w:spacing w:val="-15"/>
        </w:rPr>
        <w:t> </w:t>
      </w:r>
      <w:r>
        <w:rPr/>
        <w:t>US</w:t>
      </w:r>
      <w:r>
        <w:rPr>
          <w:spacing w:val="-15"/>
        </w:rPr>
        <w:t> </w:t>
      </w:r>
      <w:r>
        <w:rPr/>
        <w:t>&amp;</w:t>
      </w:r>
      <w:r>
        <w:rPr>
          <w:spacing w:val="-9"/>
        </w:rPr>
        <w:t> </w:t>
      </w:r>
      <w:r>
        <w:rPr/>
        <w:t>Canada</w:t>
      </w:r>
      <w:r>
        <w:rPr>
          <w:spacing w:val="-15"/>
        </w:rPr>
        <w:t> </w:t>
      </w:r>
      <w:r>
        <w:rPr/>
        <w:t>and</w:t>
      </w:r>
      <w:r>
        <w:rPr>
          <w:spacing w:val="-15"/>
        </w:rPr>
        <w:t> </w:t>
      </w:r>
      <w:r>
        <w:rPr/>
        <w:t>SSA</w:t>
      </w:r>
      <w:r>
        <w:rPr>
          <w:spacing w:val="-11"/>
        </w:rPr>
        <w:t> </w:t>
      </w:r>
      <w:r>
        <w:rPr/>
        <w:t>are</w:t>
      </w:r>
      <w:r>
        <w:rPr>
          <w:spacing w:val="-5"/>
        </w:rPr>
        <w:t> </w:t>
      </w:r>
      <w:r>
        <w:rPr/>
        <w:t>far</w:t>
      </w:r>
      <w:r>
        <w:rPr>
          <w:spacing w:val="-8"/>
        </w:rPr>
        <w:t> </w:t>
      </w:r>
      <w:r>
        <w:rPr/>
        <w:t>more</w:t>
      </w:r>
      <w:r>
        <w:rPr>
          <w:spacing w:val="-5"/>
        </w:rPr>
        <w:t> </w:t>
      </w:r>
      <w:r>
        <w:rPr/>
        <w:t>impact investment-ready than the rest of the other regions of the world.</w:t>
      </w:r>
    </w:p>
    <w:p>
      <w:pPr>
        <w:pStyle w:val="BodyText"/>
        <w:spacing w:line="477" w:lineRule="auto" w:before="192"/>
        <w:ind w:right="126"/>
      </w:pPr>
      <w:r>
        <w:rPr/>
        <w:t>The</w:t>
      </w:r>
      <w:r>
        <w:rPr>
          <w:spacing w:val="-15"/>
        </w:rPr>
        <w:t> </w:t>
      </w:r>
      <w:r>
        <w:rPr/>
        <w:t>above</w:t>
      </w:r>
      <w:r>
        <w:rPr>
          <w:spacing w:val="-13"/>
        </w:rPr>
        <w:t> </w:t>
      </w:r>
      <w:r>
        <w:rPr/>
        <w:t>observation</w:t>
      </w:r>
      <w:r>
        <w:rPr>
          <w:spacing w:val="-9"/>
        </w:rPr>
        <w:t> </w:t>
      </w:r>
      <w:r>
        <w:rPr/>
        <w:t>also</w:t>
      </w:r>
      <w:r>
        <w:rPr>
          <w:spacing w:val="-9"/>
        </w:rPr>
        <w:t> </w:t>
      </w:r>
      <w:r>
        <w:rPr/>
        <w:t>raises another</w:t>
      </w:r>
      <w:r>
        <w:rPr>
          <w:spacing w:val="-14"/>
        </w:rPr>
        <w:t> </w:t>
      </w:r>
      <w:r>
        <w:rPr/>
        <w:t>major</w:t>
      </w:r>
      <w:r>
        <w:rPr>
          <w:spacing w:val="-1"/>
        </w:rPr>
        <w:t> </w:t>
      </w:r>
      <w:r>
        <w:rPr/>
        <w:t>concern.</w:t>
      </w:r>
      <w:r>
        <w:rPr>
          <w:spacing w:val="-9"/>
        </w:rPr>
        <w:t> </w:t>
      </w:r>
      <w:r>
        <w:rPr/>
        <w:t>Since</w:t>
      </w:r>
      <w:r>
        <w:rPr>
          <w:spacing w:val="-10"/>
        </w:rPr>
        <w:t> </w:t>
      </w:r>
      <w:r>
        <w:rPr/>
        <w:t>most</w:t>
      </w:r>
      <w:r>
        <w:rPr>
          <w:spacing w:val="-15"/>
        </w:rPr>
        <w:t> </w:t>
      </w:r>
      <w:r>
        <w:rPr/>
        <w:t>of</w:t>
      </w:r>
      <w:r>
        <w:rPr>
          <w:spacing w:val="-14"/>
        </w:rPr>
        <w:t> </w:t>
      </w:r>
      <w:r>
        <w:rPr/>
        <w:t>the</w:t>
      </w:r>
      <w:r>
        <w:rPr>
          <w:spacing w:val="-15"/>
        </w:rPr>
        <w:t> </w:t>
      </w:r>
      <w:r>
        <w:rPr/>
        <w:t>world’s</w:t>
      </w:r>
      <w:r>
        <w:rPr>
          <w:spacing w:val="-12"/>
        </w:rPr>
        <w:t> </w:t>
      </w:r>
      <w:r>
        <w:rPr/>
        <w:t>population lives</w:t>
      </w:r>
      <w:r>
        <w:rPr>
          <w:spacing w:val="-8"/>
        </w:rPr>
        <w:t> </w:t>
      </w:r>
      <w:r>
        <w:rPr/>
        <w:t>in emerging regions (United</w:t>
      </w:r>
      <w:r>
        <w:rPr>
          <w:spacing w:val="-6"/>
        </w:rPr>
        <w:t> </w:t>
      </w:r>
      <w:r>
        <w:rPr/>
        <w:t>Nations,</w:t>
      </w:r>
      <w:r>
        <w:rPr>
          <w:spacing w:val="-5"/>
        </w:rPr>
        <w:t> </w:t>
      </w:r>
      <w:r>
        <w:rPr/>
        <w:t>2019c), to</w:t>
      </w:r>
      <w:r>
        <w:rPr>
          <w:spacing w:val="-15"/>
        </w:rPr>
        <w:t> </w:t>
      </w:r>
      <w:r>
        <w:rPr/>
        <w:t>effectively</w:t>
      </w:r>
      <w:r>
        <w:rPr>
          <w:spacing w:val="-5"/>
        </w:rPr>
        <w:t> </w:t>
      </w:r>
      <w:r>
        <w:rPr/>
        <w:t>achieve the</w:t>
      </w:r>
      <w:r>
        <w:rPr>
          <w:spacing w:val="-15"/>
        </w:rPr>
        <w:t> </w:t>
      </w:r>
      <w:r>
        <w:rPr/>
        <w:t>aims of SDGs,</w:t>
      </w:r>
      <w:r>
        <w:rPr>
          <w:spacing w:val="-15"/>
        </w:rPr>
        <w:t> </w:t>
      </w:r>
      <w:r>
        <w:rPr/>
        <w:t>it is important to effectively address global problems persisting in emerging regions (OECD, 2019;</w:t>
      </w:r>
      <w:r>
        <w:rPr>
          <w:spacing w:val="-6"/>
        </w:rPr>
        <w:t> </w:t>
      </w:r>
      <w:r>
        <w:rPr/>
        <w:t>United Nations, 2020b). However, as</w:t>
      </w:r>
      <w:r>
        <w:rPr>
          <w:spacing w:val="-3"/>
        </w:rPr>
        <w:t> </w:t>
      </w:r>
      <w:r>
        <w:rPr/>
        <w:t>this study</w:t>
      </w:r>
      <w:r>
        <w:rPr>
          <w:spacing w:val="-16"/>
        </w:rPr>
        <w:t> </w:t>
      </w:r>
      <w:r>
        <w:rPr/>
        <w:t>shows, US &amp;</w:t>
      </w:r>
      <w:r>
        <w:rPr>
          <w:spacing w:val="-6"/>
        </w:rPr>
        <w:t> </w:t>
      </w:r>
      <w:r>
        <w:rPr/>
        <w:t>Canada</w:t>
      </w:r>
      <w:r>
        <w:rPr>
          <w:spacing w:val="-1"/>
        </w:rPr>
        <w:t> </w:t>
      </w:r>
      <w:r>
        <w:rPr/>
        <w:t>is</w:t>
      </w:r>
      <w:r>
        <w:rPr>
          <w:spacing w:val="-3"/>
        </w:rPr>
        <w:t> </w:t>
      </w:r>
      <w:r>
        <w:rPr/>
        <w:t>the</w:t>
      </w:r>
      <w:r>
        <w:rPr>
          <w:spacing w:val="-1"/>
        </w:rPr>
        <w:t> </w:t>
      </w:r>
      <w:r>
        <w:rPr/>
        <w:t>single</w:t>
      </w:r>
      <w:r>
        <w:rPr>
          <w:spacing w:val="-1"/>
        </w:rPr>
        <w:t> </w:t>
      </w:r>
      <w:r>
        <w:rPr/>
        <w:t>most</w:t>
      </w:r>
    </w:p>
    <w:p>
      <w:pPr>
        <w:spacing w:after="0" w:line="477" w:lineRule="auto"/>
        <w:sectPr>
          <w:pgSz w:w="11910" w:h="16850"/>
          <w:pgMar w:header="0" w:footer="1005" w:top="1380" w:bottom="1200" w:left="1340" w:right="1300"/>
        </w:sectPr>
      </w:pPr>
    </w:p>
    <w:p>
      <w:pPr>
        <w:pStyle w:val="BodyText"/>
        <w:spacing w:line="477" w:lineRule="auto" w:before="72"/>
        <w:ind w:right="120"/>
      </w:pPr>
      <w:r>
        <w:rPr/>
        <w:t>representative region of impact investment deals directly or indirectly contributing to</w:t>
      </w:r>
      <w:r>
        <w:rPr>
          <w:spacing w:val="-5"/>
        </w:rPr>
        <w:t> </w:t>
      </w:r>
      <w:r>
        <w:rPr/>
        <w:t>several major</w:t>
      </w:r>
      <w:r>
        <w:rPr>
          <w:spacing w:val="-4"/>
        </w:rPr>
        <w:t> </w:t>
      </w:r>
      <w:r>
        <w:rPr/>
        <w:t>SDGs</w:t>
      </w:r>
      <w:r>
        <w:rPr>
          <w:spacing w:val="-15"/>
        </w:rPr>
        <w:t> </w:t>
      </w:r>
      <w:r>
        <w:rPr/>
        <w:t>such</w:t>
      </w:r>
      <w:r>
        <w:rPr>
          <w:spacing w:val="-3"/>
        </w:rPr>
        <w:t> </w:t>
      </w:r>
      <w:r>
        <w:rPr/>
        <w:t>as SDG</w:t>
      </w:r>
      <w:r>
        <w:rPr>
          <w:spacing w:val="-12"/>
        </w:rPr>
        <w:t> </w:t>
      </w:r>
      <w:r>
        <w:rPr/>
        <w:t>1</w:t>
      </w:r>
      <w:r>
        <w:rPr>
          <w:spacing w:val="-15"/>
        </w:rPr>
        <w:t> </w:t>
      </w:r>
      <w:r>
        <w:rPr/>
        <w:t>(no</w:t>
      </w:r>
      <w:r>
        <w:rPr>
          <w:spacing w:val="-3"/>
        </w:rPr>
        <w:t> </w:t>
      </w:r>
      <w:r>
        <w:rPr/>
        <w:t>poverty),</w:t>
      </w:r>
      <w:r>
        <w:rPr>
          <w:spacing w:val="-3"/>
        </w:rPr>
        <w:t> </w:t>
      </w:r>
      <w:r>
        <w:rPr/>
        <w:t>SDG</w:t>
      </w:r>
      <w:r>
        <w:rPr>
          <w:spacing w:val="-12"/>
        </w:rPr>
        <w:t> </w:t>
      </w:r>
      <w:r>
        <w:rPr/>
        <w:t>2</w:t>
      </w:r>
      <w:r>
        <w:rPr>
          <w:spacing w:val="-3"/>
        </w:rPr>
        <w:t> </w:t>
      </w:r>
      <w:r>
        <w:rPr/>
        <w:t>(zero hunger),</w:t>
      </w:r>
      <w:r>
        <w:rPr>
          <w:spacing w:val="-3"/>
        </w:rPr>
        <w:t> </w:t>
      </w:r>
      <w:r>
        <w:rPr/>
        <w:t>SDG</w:t>
      </w:r>
      <w:r>
        <w:rPr>
          <w:spacing w:val="-12"/>
        </w:rPr>
        <w:t> </w:t>
      </w:r>
      <w:r>
        <w:rPr/>
        <w:t>3</w:t>
      </w:r>
      <w:r>
        <w:rPr>
          <w:spacing w:val="-3"/>
        </w:rPr>
        <w:t> </w:t>
      </w:r>
      <w:r>
        <w:rPr/>
        <w:t>(good</w:t>
      </w:r>
      <w:r>
        <w:rPr>
          <w:spacing w:val="-4"/>
        </w:rPr>
        <w:t> </w:t>
      </w:r>
      <w:r>
        <w:rPr/>
        <w:t>health</w:t>
      </w:r>
      <w:r>
        <w:rPr>
          <w:spacing w:val="-3"/>
        </w:rPr>
        <w:t> </w:t>
      </w:r>
      <w:r>
        <w:rPr/>
        <w:t>and well- being),</w:t>
      </w:r>
      <w:r>
        <w:rPr>
          <w:spacing w:val="-15"/>
        </w:rPr>
        <w:t> </w:t>
      </w:r>
      <w:r>
        <w:rPr/>
        <w:t>SDG</w:t>
      </w:r>
      <w:r>
        <w:rPr>
          <w:spacing w:val="-15"/>
        </w:rPr>
        <w:t> </w:t>
      </w:r>
      <w:r>
        <w:rPr/>
        <w:t>4</w:t>
      </w:r>
      <w:r>
        <w:rPr>
          <w:spacing w:val="-15"/>
        </w:rPr>
        <w:t> </w:t>
      </w:r>
      <w:r>
        <w:rPr/>
        <w:t>(quality</w:t>
      </w:r>
      <w:r>
        <w:rPr>
          <w:spacing w:val="-15"/>
        </w:rPr>
        <w:t> </w:t>
      </w:r>
      <w:r>
        <w:rPr/>
        <w:t>education),</w:t>
      </w:r>
      <w:r>
        <w:rPr>
          <w:spacing w:val="-15"/>
        </w:rPr>
        <w:t> </w:t>
      </w:r>
      <w:r>
        <w:rPr/>
        <w:t>and</w:t>
      </w:r>
      <w:r>
        <w:rPr>
          <w:spacing w:val="-15"/>
        </w:rPr>
        <w:t> </w:t>
      </w:r>
      <w:r>
        <w:rPr/>
        <w:t>SDG</w:t>
      </w:r>
      <w:r>
        <w:rPr>
          <w:spacing w:val="-15"/>
        </w:rPr>
        <w:t> </w:t>
      </w:r>
      <w:r>
        <w:rPr/>
        <w:t>5</w:t>
      </w:r>
      <w:r>
        <w:rPr>
          <w:spacing w:val="-15"/>
        </w:rPr>
        <w:t> </w:t>
      </w:r>
      <w:r>
        <w:rPr/>
        <w:t>(gender</w:t>
      </w:r>
      <w:r>
        <w:rPr>
          <w:spacing w:val="-15"/>
        </w:rPr>
        <w:t> </w:t>
      </w:r>
      <w:r>
        <w:rPr/>
        <w:t>equality).</w:t>
      </w:r>
      <w:r>
        <w:rPr>
          <w:spacing w:val="-15"/>
        </w:rPr>
        <w:t> </w:t>
      </w:r>
      <w:r>
        <w:rPr/>
        <w:t>This</w:t>
      </w:r>
      <w:r>
        <w:rPr>
          <w:spacing w:val="-2"/>
        </w:rPr>
        <w:t> </w:t>
      </w:r>
      <w:r>
        <w:rPr/>
        <w:t>suggests</w:t>
      </w:r>
      <w:r>
        <w:rPr>
          <w:spacing w:val="-15"/>
        </w:rPr>
        <w:t> </w:t>
      </w:r>
      <w:r>
        <w:rPr/>
        <w:t>that</w:t>
      </w:r>
      <w:r>
        <w:rPr>
          <w:spacing w:val="-11"/>
        </w:rPr>
        <w:t> </w:t>
      </w:r>
      <w:r>
        <w:rPr/>
        <w:t>while</w:t>
      </w:r>
      <w:r>
        <w:rPr>
          <w:spacing w:val="-6"/>
        </w:rPr>
        <w:t> </w:t>
      </w:r>
      <w:r>
        <w:rPr/>
        <w:t>many investment deals</w:t>
      </w:r>
      <w:r>
        <w:rPr>
          <w:spacing w:val="-4"/>
        </w:rPr>
        <w:t> </w:t>
      </w:r>
      <w:r>
        <w:rPr/>
        <w:t>are linked</w:t>
      </w:r>
      <w:r>
        <w:rPr>
          <w:spacing w:val="-1"/>
        </w:rPr>
        <w:t> </w:t>
      </w:r>
      <w:r>
        <w:rPr/>
        <w:t>to the</w:t>
      </w:r>
      <w:r>
        <w:rPr>
          <w:spacing w:val="-15"/>
        </w:rPr>
        <w:t> </w:t>
      </w:r>
      <w:r>
        <w:rPr/>
        <w:t>above SDGs,</w:t>
      </w:r>
      <w:r>
        <w:rPr>
          <w:spacing w:val="-15"/>
        </w:rPr>
        <w:t> </w:t>
      </w:r>
      <w:r>
        <w:rPr/>
        <w:t>they</w:t>
      </w:r>
      <w:r>
        <w:rPr>
          <w:spacing w:val="-15"/>
        </w:rPr>
        <w:t> </w:t>
      </w:r>
      <w:r>
        <w:rPr/>
        <w:t>may not</w:t>
      </w:r>
      <w:r>
        <w:rPr>
          <w:spacing w:val="-7"/>
        </w:rPr>
        <w:t> </w:t>
      </w:r>
      <w:r>
        <w:rPr/>
        <w:t>effectively fulfill</w:t>
      </w:r>
      <w:r>
        <w:rPr>
          <w:spacing w:val="-7"/>
        </w:rPr>
        <w:t> </w:t>
      </w:r>
      <w:r>
        <w:rPr/>
        <w:t>the</w:t>
      </w:r>
      <w:r>
        <w:rPr>
          <w:spacing w:val="-2"/>
        </w:rPr>
        <w:t> </w:t>
      </w:r>
      <w:r>
        <w:rPr/>
        <w:t>mandate</w:t>
      </w:r>
      <w:r>
        <w:rPr>
          <w:spacing w:val="-15"/>
        </w:rPr>
        <w:t> </w:t>
      </w:r>
      <w:r>
        <w:rPr/>
        <w:t>of underlying SDGs</w:t>
      </w:r>
      <w:r>
        <w:rPr>
          <w:spacing w:val="-15"/>
        </w:rPr>
        <w:t> </w:t>
      </w:r>
      <w:r>
        <w:rPr/>
        <w:t>due</w:t>
      </w:r>
      <w:r>
        <w:rPr>
          <w:spacing w:val="-15"/>
        </w:rPr>
        <w:t> </w:t>
      </w:r>
      <w:r>
        <w:rPr/>
        <w:t>to</w:t>
      </w:r>
      <w:r>
        <w:rPr>
          <w:spacing w:val="-1"/>
        </w:rPr>
        <w:t> </w:t>
      </w:r>
      <w:r>
        <w:rPr/>
        <w:t>predominantly targeting</w:t>
      </w:r>
      <w:r>
        <w:rPr>
          <w:spacing w:val="-1"/>
        </w:rPr>
        <w:t> </w:t>
      </w:r>
      <w:r>
        <w:rPr/>
        <w:t>global problems</w:t>
      </w:r>
      <w:r>
        <w:rPr>
          <w:spacing w:val="25"/>
        </w:rPr>
        <w:t> </w:t>
      </w:r>
      <w:r>
        <w:rPr/>
        <w:t>in the</w:t>
      </w:r>
      <w:r>
        <w:rPr>
          <w:spacing w:val="-15"/>
        </w:rPr>
        <w:t> </w:t>
      </w:r>
      <w:r>
        <w:rPr/>
        <w:t>context of</w:t>
      </w:r>
      <w:r>
        <w:rPr>
          <w:spacing w:val="-7"/>
        </w:rPr>
        <w:t> </w:t>
      </w:r>
      <w:r>
        <w:rPr/>
        <w:t>developed regions rather than emerging regions.</w:t>
      </w:r>
    </w:p>
    <w:p>
      <w:pPr>
        <w:pStyle w:val="BodyText"/>
        <w:spacing w:before="6"/>
        <w:ind w:left="0"/>
        <w:jc w:val="left"/>
        <w:rPr>
          <w:sz w:val="21"/>
        </w:rPr>
      </w:pPr>
    </w:p>
    <w:p>
      <w:pPr>
        <w:pStyle w:val="Heading1"/>
        <w:numPr>
          <w:ilvl w:val="0"/>
          <w:numId w:val="1"/>
        </w:numPr>
        <w:tabs>
          <w:tab w:pos="342" w:val="left" w:leader="none"/>
        </w:tabs>
        <w:spacing w:line="240" w:lineRule="auto" w:before="0" w:after="0"/>
        <w:ind w:left="342" w:right="0" w:hanging="241"/>
        <w:jc w:val="both"/>
      </w:pPr>
      <w:r>
        <w:rPr>
          <w:spacing w:val="-2"/>
        </w:rPr>
        <w:t>Discussion</w:t>
      </w:r>
    </w:p>
    <w:p>
      <w:pPr>
        <w:pStyle w:val="BodyText"/>
        <w:spacing w:before="7"/>
        <w:ind w:left="0"/>
        <w:jc w:val="left"/>
        <w:rPr>
          <w:b/>
          <w:sz w:val="25"/>
        </w:rPr>
      </w:pPr>
    </w:p>
    <w:p>
      <w:pPr>
        <w:pStyle w:val="BodyText"/>
        <w:spacing w:line="477" w:lineRule="auto" w:before="1"/>
        <w:ind w:right="127"/>
      </w:pPr>
      <w:r>
        <w:rPr/>
        <w:t>While impact investing is considered a promising vehicle to</w:t>
      </w:r>
      <w:r>
        <w:rPr>
          <w:spacing w:val="-7"/>
        </w:rPr>
        <w:t> </w:t>
      </w:r>
      <w:r>
        <w:rPr/>
        <w:t>reduce the</w:t>
      </w:r>
      <w:r>
        <w:rPr>
          <w:spacing w:val="-9"/>
        </w:rPr>
        <w:t> </w:t>
      </w:r>
      <w:r>
        <w:rPr/>
        <w:t>SDG investment gap (Islam, 2022a; International Finance Corporation, 2019), little</w:t>
      </w:r>
      <w:r>
        <w:rPr>
          <w:spacing w:val="-6"/>
        </w:rPr>
        <w:t> </w:t>
      </w:r>
      <w:r>
        <w:rPr/>
        <w:t>is known</w:t>
      </w:r>
      <w:r>
        <w:rPr>
          <w:spacing w:val="-4"/>
        </w:rPr>
        <w:t> </w:t>
      </w:r>
      <w:r>
        <w:rPr/>
        <w:t>about the</w:t>
      </w:r>
      <w:r>
        <w:rPr>
          <w:spacing w:val="-6"/>
        </w:rPr>
        <w:t> </w:t>
      </w:r>
      <w:r>
        <w:rPr/>
        <w:t>investment opportunities available</w:t>
      </w:r>
      <w:r>
        <w:rPr>
          <w:spacing w:val="34"/>
        </w:rPr>
        <w:t> </w:t>
      </w:r>
      <w:r>
        <w:rPr/>
        <w:t>for</w:t>
      </w:r>
      <w:r>
        <w:rPr>
          <w:spacing w:val="-11"/>
        </w:rPr>
        <w:t> </w:t>
      </w:r>
      <w:r>
        <w:rPr/>
        <w:t>impact investors to</w:t>
      </w:r>
      <w:r>
        <w:rPr>
          <w:spacing w:val="-5"/>
        </w:rPr>
        <w:t> </w:t>
      </w:r>
      <w:r>
        <w:rPr/>
        <w:t>contribute to</w:t>
      </w:r>
      <w:r>
        <w:rPr>
          <w:spacing w:val="-5"/>
        </w:rPr>
        <w:t> </w:t>
      </w:r>
      <w:r>
        <w:rPr/>
        <w:t>SDGs (Suehrer, 2019; Pineiro </w:t>
      </w:r>
      <w:r>
        <w:rPr>
          <w:i/>
        </w:rPr>
        <w:t>et</w:t>
      </w:r>
      <w:r>
        <w:rPr>
          <w:i/>
        </w:rPr>
        <w:t> al.</w:t>
      </w:r>
      <w:r>
        <w:rPr/>
        <w:t>, 2018). We contribute to</w:t>
      </w:r>
      <w:r>
        <w:rPr>
          <w:spacing w:val="-6"/>
        </w:rPr>
        <w:t> </w:t>
      </w:r>
      <w:r>
        <w:rPr/>
        <w:t>the</w:t>
      </w:r>
      <w:r>
        <w:rPr>
          <w:spacing w:val="-8"/>
        </w:rPr>
        <w:t> </w:t>
      </w:r>
      <w:r>
        <w:rPr/>
        <w:t>emerging literature on</w:t>
      </w:r>
      <w:r>
        <w:rPr>
          <w:spacing w:val="-6"/>
        </w:rPr>
        <w:t> </w:t>
      </w:r>
      <w:r>
        <w:rPr/>
        <w:t>impact investing by providing several key</w:t>
      </w:r>
      <w:r>
        <w:rPr>
          <w:spacing w:val="-15"/>
        </w:rPr>
        <w:t> </w:t>
      </w:r>
      <w:r>
        <w:rPr/>
        <w:t>insights</w:t>
      </w:r>
      <w:r>
        <w:rPr>
          <w:spacing w:val="-15"/>
        </w:rPr>
        <w:t> </w:t>
      </w:r>
      <w:r>
        <w:rPr/>
        <w:t>into</w:t>
      </w:r>
      <w:r>
        <w:rPr>
          <w:spacing w:val="-12"/>
        </w:rPr>
        <w:t> </w:t>
      </w:r>
      <w:r>
        <w:rPr/>
        <w:t>investment</w:t>
      </w:r>
      <w:r>
        <w:rPr>
          <w:spacing w:val="-2"/>
        </w:rPr>
        <w:t> </w:t>
      </w:r>
      <w:r>
        <w:rPr/>
        <w:t>opportunities</w:t>
      </w:r>
      <w:r>
        <w:rPr>
          <w:spacing w:val="-13"/>
        </w:rPr>
        <w:t> </w:t>
      </w:r>
      <w:r>
        <w:rPr/>
        <w:t>available for</w:t>
      </w:r>
      <w:r>
        <w:rPr>
          <w:spacing w:val="-15"/>
        </w:rPr>
        <w:t> </w:t>
      </w:r>
      <w:r>
        <w:rPr/>
        <w:t>impact</w:t>
      </w:r>
      <w:r>
        <w:rPr>
          <w:spacing w:val="10"/>
        </w:rPr>
        <w:t> </w:t>
      </w:r>
      <w:r>
        <w:rPr/>
        <w:t>investors</w:t>
      </w:r>
      <w:r>
        <w:rPr>
          <w:spacing w:val="-13"/>
        </w:rPr>
        <w:t> </w:t>
      </w:r>
      <w:r>
        <w:rPr/>
        <w:t>and</w:t>
      </w:r>
      <w:r>
        <w:rPr>
          <w:spacing w:val="-10"/>
        </w:rPr>
        <w:t> </w:t>
      </w:r>
      <w:r>
        <w:rPr/>
        <w:t>their</w:t>
      </w:r>
      <w:r>
        <w:rPr>
          <w:spacing w:val="-14"/>
        </w:rPr>
        <w:t> </w:t>
      </w:r>
      <w:r>
        <w:rPr/>
        <w:t>linkage with </w:t>
      </w:r>
      <w:r>
        <w:rPr>
          <w:spacing w:val="-2"/>
        </w:rPr>
        <w:t>SDGs.</w:t>
      </w:r>
    </w:p>
    <w:p>
      <w:pPr>
        <w:pStyle w:val="BodyText"/>
        <w:spacing w:line="477" w:lineRule="auto" w:before="173"/>
        <w:ind w:right="134"/>
      </w:pPr>
      <w:r>
        <w:rPr/>
        <w:t>Our first insight is that</w:t>
      </w:r>
      <w:r>
        <w:rPr>
          <w:spacing w:val="-9"/>
        </w:rPr>
        <w:t> </w:t>
      </w:r>
      <w:r>
        <w:rPr/>
        <w:t>rather than</w:t>
      </w:r>
      <w:r>
        <w:rPr>
          <w:spacing w:val="-2"/>
        </w:rPr>
        <w:t> </w:t>
      </w:r>
      <w:r>
        <w:rPr/>
        <w:t>offering equal opportunities to contribute to</w:t>
      </w:r>
      <w:r>
        <w:rPr>
          <w:spacing w:val="-2"/>
        </w:rPr>
        <w:t> </w:t>
      </w:r>
      <w:r>
        <w:rPr/>
        <w:t>all 17 SDGs, available</w:t>
      </w:r>
      <w:r>
        <w:rPr>
          <w:spacing w:val="-15"/>
        </w:rPr>
        <w:t> </w:t>
      </w:r>
      <w:r>
        <w:rPr/>
        <w:t>impact</w:t>
      </w:r>
      <w:r>
        <w:rPr>
          <w:spacing w:val="-15"/>
        </w:rPr>
        <w:t> </w:t>
      </w:r>
      <w:r>
        <w:rPr/>
        <w:t>investment</w:t>
      </w:r>
      <w:r>
        <w:rPr>
          <w:spacing w:val="-15"/>
        </w:rPr>
        <w:t> </w:t>
      </w:r>
      <w:r>
        <w:rPr/>
        <w:t>deals</w:t>
      </w:r>
      <w:r>
        <w:rPr>
          <w:spacing w:val="-15"/>
        </w:rPr>
        <w:t> </w:t>
      </w:r>
      <w:r>
        <w:rPr/>
        <w:t>mainly</w:t>
      </w:r>
      <w:r>
        <w:rPr>
          <w:spacing w:val="-6"/>
        </w:rPr>
        <w:t> </w:t>
      </w:r>
      <w:r>
        <w:rPr/>
        <w:t>offer</w:t>
      </w:r>
      <w:r>
        <w:rPr>
          <w:spacing w:val="-15"/>
        </w:rPr>
        <w:t> </w:t>
      </w:r>
      <w:r>
        <w:rPr/>
        <w:t>opportunities</w:t>
      </w:r>
      <w:r>
        <w:rPr>
          <w:spacing w:val="-9"/>
        </w:rPr>
        <w:t> </w:t>
      </w:r>
      <w:r>
        <w:rPr/>
        <w:t>to</w:t>
      </w:r>
      <w:r>
        <w:rPr>
          <w:spacing w:val="-15"/>
        </w:rPr>
        <w:t> </w:t>
      </w:r>
      <w:r>
        <w:rPr/>
        <w:t>contribute</w:t>
      </w:r>
      <w:r>
        <w:rPr>
          <w:spacing w:val="-15"/>
        </w:rPr>
        <w:t> </w:t>
      </w:r>
      <w:r>
        <w:rPr/>
        <w:t>to</w:t>
      </w:r>
      <w:r>
        <w:rPr>
          <w:spacing w:val="-15"/>
        </w:rPr>
        <w:t> </w:t>
      </w:r>
      <w:r>
        <w:rPr/>
        <w:t>a</w:t>
      </w:r>
      <w:r>
        <w:rPr>
          <w:spacing w:val="-7"/>
        </w:rPr>
        <w:t> </w:t>
      </w:r>
      <w:r>
        <w:rPr/>
        <w:t>few</w:t>
      </w:r>
      <w:r>
        <w:rPr>
          <w:spacing w:val="-15"/>
        </w:rPr>
        <w:t> </w:t>
      </w:r>
      <w:r>
        <w:rPr/>
        <w:t>SDGs</w:t>
      </w:r>
      <w:r>
        <w:rPr>
          <w:spacing w:val="-15"/>
        </w:rPr>
        <w:t> </w:t>
      </w:r>
      <w:r>
        <w:rPr/>
        <w:t>while neglecting other SDGs. Specifically, most (80% or more) investment deals are directly or indirectly</w:t>
      </w:r>
      <w:r>
        <w:rPr>
          <w:spacing w:val="-11"/>
        </w:rPr>
        <w:t> </w:t>
      </w:r>
      <w:r>
        <w:rPr/>
        <w:t>linked to</w:t>
      </w:r>
      <w:r>
        <w:rPr>
          <w:spacing w:val="-15"/>
        </w:rPr>
        <w:t> </w:t>
      </w:r>
      <w:r>
        <w:rPr/>
        <w:t>only</w:t>
      </w:r>
      <w:r>
        <w:rPr>
          <w:spacing w:val="-3"/>
        </w:rPr>
        <w:t> </w:t>
      </w:r>
      <w:r>
        <w:rPr/>
        <w:t>four</w:t>
      </w:r>
      <w:r>
        <w:rPr>
          <w:spacing w:val="-8"/>
        </w:rPr>
        <w:t> </w:t>
      </w:r>
      <w:r>
        <w:rPr/>
        <w:t>SDGs</w:t>
      </w:r>
      <w:r>
        <w:rPr>
          <w:spacing w:val="-15"/>
        </w:rPr>
        <w:t> </w:t>
      </w:r>
      <w:r>
        <w:rPr/>
        <w:t>–</w:t>
      </w:r>
      <w:r>
        <w:rPr>
          <w:spacing w:val="-15"/>
        </w:rPr>
        <w:t> </w:t>
      </w:r>
      <w:r>
        <w:rPr/>
        <w:t>SDG</w:t>
      </w:r>
      <w:r>
        <w:rPr>
          <w:spacing w:val="-12"/>
        </w:rPr>
        <w:t> </w:t>
      </w:r>
      <w:r>
        <w:rPr/>
        <w:t>1</w:t>
      </w:r>
      <w:r>
        <w:rPr>
          <w:spacing w:val="-3"/>
        </w:rPr>
        <w:t> </w:t>
      </w:r>
      <w:r>
        <w:rPr/>
        <w:t>(no</w:t>
      </w:r>
      <w:r>
        <w:rPr>
          <w:spacing w:val="-3"/>
        </w:rPr>
        <w:t> </w:t>
      </w:r>
      <w:r>
        <w:rPr/>
        <w:t>poverty),</w:t>
      </w:r>
      <w:r>
        <w:rPr>
          <w:spacing w:val="-3"/>
        </w:rPr>
        <w:t> </w:t>
      </w:r>
      <w:r>
        <w:rPr/>
        <w:t>SDG</w:t>
      </w:r>
      <w:r>
        <w:rPr>
          <w:spacing w:val="-12"/>
        </w:rPr>
        <w:t> </w:t>
      </w:r>
      <w:r>
        <w:rPr/>
        <w:t>2</w:t>
      </w:r>
      <w:r>
        <w:rPr>
          <w:spacing w:val="-15"/>
        </w:rPr>
        <w:t> </w:t>
      </w:r>
      <w:r>
        <w:rPr/>
        <w:t>(zero hunger),</w:t>
      </w:r>
      <w:r>
        <w:rPr>
          <w:spacing w:val="-3"/>
        </w:rPr>
        <w:t> </w:t>
      </w:r>
      <w:r>
        <w:rPr/>
        <w:t>SDG</w:t>
      </w:r>
      <w:r>
        <w:rPr>
          <w:spacing w:val="-12"/>
        </w:rPr>
        <w:t> </w:t>
      </w:r>
      <w:r>
        <w:rPr/>
        <w:t>3</w:t>
      </w:r>
      <w:r>
        <w:rPr>
          <w:spacing w:val="-3"/>
        </w:rPr>
        <w:t> </w:t>
      </w:r>
      <w:r>
        <w:rPr/>
        <w:t>(good health</w:t>
      </w:r>
      <w:r>
        <w:rPr>
          <w:spacing w:val="-15"/>
        </w:rPr>
        <w:t> </w:t>
      </w:r>
      <w:r>
        <w:rPr/>
        <w:t>and</w:t>
      </w:r>
      <w:r>
        <w:rPr>
          <w:spacing w:val="-15"/>
        </w:rPr>
        <w:t> </w:t>
      </w:r>
      <w:r>
        <w:rPr/>
        <w:t>well-being),</w:t>
      </w:r>
      <w:r>
        <w:rPr>
          <w:spacing w:val="-15"/>
        </w:rPr>
        <w:t> </w:t>
      </w:r>
      <w:r>
        <w:rPr/>
        <w:t>and</w:t>
      </w:r>
      <w:r>
        <w:rPr>
          <w:spacing w:val="-15"/>
        </w:rPr>
        <w:t> </w:t>
      </w:r>
      <w:r>
        <w:rPr/>
        <w:t>SDG</w:t>
      </w:r>
      <w:r>
        <w:rPr>
          <w:spacing w:val="-15"/>
        </w:rPr>
        <w:t> </w:t>
      </w:r>
      <w:r>
        <w:rPr/>
        <w:t>8</w:t>
      </w:r>
      <w:r>
        <w:rPr>
          <w:spacing w:val="-15"/>
        </w:rPr>
        <w:t> </w:t>
      </w:r>
      <w:r>
        <w:rPr/>
        <w:t>(decent</w:t>
      </w:r>
      <w:r>
        <w:rPr>
          <w:spacing w:val="-15"/>
        </w:rPr>
        <w:t> </w:t>
      </w:r>
      <w:r>
        <w:rPr/>
        <w:t>job</w:t>
      </w:r>
      <w:r>
        <w:rPr>
          <w:spacing w:val="-15"/>
        </w:rPr>
        <w:t> </w:t>
      </w:r>
      <w:r>
        <w:rPr/>
        <w:t>and</w:t>
      </w:r>
      <w:r>
        <w:rPr>
          <w:spacing w:val="-15"/>
        </w:rPr>
        <w:t> </w:t>
      </w:r>
      <w:r>
        <w:rPr/>
        <w:t>economic</w:t>
      </w:r>
      <w:r>
        <w:rPr>
          <w:spacing w:val="-15"/>
        </w:rPr>
        <w:t> </w:t>
      </w:r>
      <w:r>
        <w:rPr/>
        <w:t>growth).</w:t>
      </w:r>
      <w:r>
        <w:rPr>
          <w:spacing w:val="-15"/>
        </w:rPr>
        <w:t> </w:t>
      </w:r>
      <w:r>
        <w:rPr/>
        <w:t>The</w:t>
      </w:r>
      <w:r>
        <w:rPr>
          <w:spacing w:val="-15"/>
        </w:rPr>
        <w:t> </w:t>
      </w:r>
      <w:r>
        <w:rPr/>
        <w:t>availability</w:t>
      </w:r>
      <w:r>
        <w:rPr>
          <w:spacing w:val="-15"/>
        </w:rPr>
        <w:t> </w:t>
      </w:r>
      <w:r>
        <w:rPr/>
        <w:t>of</w:t>
      </w:r>
      <w:r>
        <w:rPr>
          <w:spacing w:val="-15"/>
        </w:rPr>
        <w:t> </w:t>
      </w:r>
      <w:r>
        <w:rPr/>
        <w:t>larger numbers of investment deals directly</w:t>
      </w:r>
      <w:r>
        <w:rPr>
          <w:spacing w:val="-4"/>
        </w:rPr>
        <w:t> </w:t>
      </w:r>
      <w:r>
        <w:rPr/>
        <w:t>or</w:t>
      </w:r>
      <w:r>
        <w:rPr>
          <w:spacing w:val="-9"/>
        </w:rPr>
        <w:t> </w:t>
      </w:r>
      <w:r>
        <w:rPr/>
        <w:t>indirectly linked to</w:t>
      </w:r>
      <w:r>
        <w:rPr>
          <w:spacing w:val="-4"/>
        </w:rPr>
        <w:t> </w:t>
      </w:r>
      <w:r>
        <w:rPr/>
        <w:t>these</w:t>
      </w:r>
      <w:r>
        <w:rPr>
          <w:spacing w:val="-6"/>
        </w:rPr>
        <w:t> </w:t>
      </w:r>
      <w:r>
        <w:rPr/>
        <w:t>SDGs</w:t>
      </w:r>
      <w:r>
        <w:rPr>
          <w:spacing w:val="-8"/>
        </w:rPr>
        <w:t> </w:t>
      </w:r>
      <w:r>
        <w:rPr/>
        <w:t>provides an</w:t>
      </w:r>
      <w:r>
        <w:rPr>
          <w:spacing w:val="-4"/>
        </w:rPr>
        <w:t> </w:t>
      </w:r>
      <w:r>
        <w:rPr/>
        <w:t>excellent opportunity</w:t>
      </w:r>
      <w:r>
        <w:rPr>
          <w:spacing w:val="-15"/>
        </w:rPr>
        <w:t> </w:t>
      </w:r>
      <w:r>
        <w:rPr/>
        <w:t>to</w:t>
      </w:r>
      <w:r>
        <w:rPr>
          <w:spacing w:val="-15"/>
        </w:rPr>
        <w:t> </w:t>
      </w:r>
      <w:r>
        <w:rPr/>
        <w:t>impact</w:t>
      </w:r>
      <w:r>
        <w:rPr>
          <w:spacing w:val="-15"/>
        </w:rPr>
        <w:t> </w:t>
      </w:r>
      <w:r>
        <w:rPr/>
        <w:t>investors</w:t>
      </w:r>
      <w:r>
        <w:rPr>
          <w:spacing w:val="-15"/>
        </w:rPr>
        <w:t> </w:t>
      </w:r>
      <w:r>
        <w:rPr/>
        <w:t>to</w:t>
      </w:r>
      <w:r>
        <w:rPr>
          <w:spacing w:val="-15"/>
        </w:rPr>
        <w:t> </w:t>
      </w:r>
      <w:r>
        <w:rPr/>
        <w:t>address</w:t>
      </w:r>
      <w:r>
        <w:rPr>
          <w:spacing w:val="-15"/>
        </w:rPr>
        <w:t> </w:t>
      </w:r>
      <w:r>
        <w:rPr/>
        <w:t>global</w:t>
      </w:r>
      <w:r>
        <w:rPr>
          <w:spacing w:val="-9"/>
        </w:rPr>
        <w:t> </w:t>
      </w:r>
      <w:r>
        <w:rPr/>
        <w:t>issues</w:t>
      </w:r>
      <w:r>
        <w:rPr>
          <w:spacing w:val="-8"/>
        </w:rPr>
        <w:t> </w:t>
      </w:r>
      <w:r>
        <w:rPr/>
        <w:t>such</w:t>
      </w:r>
      <w:r>
        <w:rPr>
          <w:spacing w:val="-5"/>
        </w:rPr>
        <w:t> </w:t>
      </w:r>
      <w:r>
        <w:rPr/>
        <w:t>as</w:t>
      </w:r>
      <w:r>
        <w:rPr>
          <w:spacing w:val="-8"/>
        </w:rPr>
        <w:t> </w:t>
      </w:r>
      <w:r>
        <w:rPr/>
        <w:t>extreme</w:t>
      </w:r>
      <w:r>
        <w:rPr>
          <w:spacing w:val="-7"/>
        </w:rPr>
        <w:t> </w:t>
      </w:r>
      <w:r>
        <w:rPr/>
        <w:t>poverty</w:t>
      </w:r>
      <w:r>
        <w:rPr>
          <w:spacing w:val="-15"/>
        </w:rPr>
        <w:t> </w:t>
      </w:r>
      <w:r>
        <w:rPr/>
        <w:t>(SDG</w:t>
      </w:r>
      <w:r>
        <w:rPr>
          <w:spacing w:val="-13"/>
        </w:rPr>
        <w:t> </w:t>
      </w:r>
      <w:r>
        <w:rPr/>
        <w:t>1),</w:t>
      </w:r>
      <w:r>
        <w:rPr>
          <w:spacing w:val="-5"/>
        </w:rPr>
        <w:t> </w:t>
      </w:r>
      <w:r>
        <w:rPr/>
        <w:t>food insecurity (SDG 2), access to quality healthcare (SDG 3), and unemployment</w:t>
      </w:r>
      <w:r>
        <w:rPr>
          <w:spacing w:val="40"/>
        </w:rPr>
        <w:t> </w:t>
      </w:r>
      <w:r>
        <w:rPr/>
        <w:t>and economic downturn (SDG 8).</w:t>
      </w:r>
    </w:p>
    <w:p>
      <w:pPr>
        <w:pStyle w:val="BodyText"/>
        <w:spacing w:line="482" w:lineRule="auto" w:before="192"/>
        <w:ind w:right="137"/>
      </w:pPr>
      <w:r>
        <w:rPr/>
        <w:t>That</w:t>
      </w:r>
      <w:r>
        <w:rPr>
          <w:spacing w:val="-15"/>
        </w:rPr>
        <w:t> </w:t>
      </w:r>
      <w:r>
        <w:rPr/>
        <w:t>said,</w:t>
      </w:r>
      <w:r>
        <w:rPr>
          <w:spacing w:val="-15"/>
        </w:rPr>
        <w:t> </w:t>
      </w:r>
      <w:r>
        <w:rPr/>
        <w:t>many</w:t>
      </w:r>
      <w:r>
        <w:rPr>
          <w:spacing w:val="-15"/>
        </w:rPr>
        <w:t> </w:t>
      </w:r>
      <w:r>
        <w:rPr/>
        <w:t>other</w:t>
      </w:r>
      <w:r>
        <w:rPr>
          <w:spacing w:val="-12"/>
        </w:rPr>
        <w:t> </w:t>
      </w:r>
      <w:r>
        <w:rPr/>
        <w:t>SDGs</w:t>
      </w:r>
      <w:r>
        <w:rPr>
          <w:spacing w:val="-15"/>
        </w:rPr>
        <w:t> </w:t>
      </w:r>
      <w:r>
        <w:rPr/>
        <w:t>have</w:t>
      </w:r>
      <w:r>
        <w:rPr>
          <w:spacing w:val="-9"/>
        </w:rPr>
        <w:t> </w:t>
      </w:r>
      <w:r>
        <w:rPr/>
        <w:t>a</w:t>
      </w:r>
      <w:r>
        <w:rPr>
          <w:spacing w:val="-9"/>
        </w:rPr>
        <w:t> </w:t>
      </w:r>
      <w:r>
        <w:rPr/>
        <w:t>minimal</w:t>
      </w:r>
      <w:r>
        <w:rPr>
          <w:spacing w:val="-1"/>
        </w:rPr>
        <w:t> </w:t>
      </w:r>
      <w:r>
        <w:rPr/>
        <w:t>representation</w:t>
      </w:r>
      <w:r>
        <w:rPr>
          <w:spacing w:val="-8"/>
        </w:rPr>
        <w:t> </w:t>
      </w:r>
      <w:r>
        <w:rPr/>
        <w:t>in</w:t>
      </w:r>
      <w:r>
        <w:rPr>
          <w:spacing w:val="-8"/>
        </w:rPr>
        <w:t> </w:t>
      </w:r>
      <w:r>
        <w:rPr/>
        <w:t>the</w:t>
      </w:r>
      <w:r>
        <w:rPr>
          <w:spacing w:val="-15"/>
        </w:rPr>
        <w:t> </w:t>
      </w:r>
      <w:r>
        <w:rPr/>
        <w:t>impact</w:t>
      </w:r>
      <w:r>
        <w:rPr>
          <w:spacing w:val="13"/>
        </w:rPr>
        <w:t> </w:t>
      </w:r>
      <w:r>
        <w:rPr/>
        <w:t>investment</w:t>
      </w:r>
      <w:r>
        <w:rPr>
          <w:spacing w:val="-14"/>
        </w:rPr>
        <w:t> </w:t>
      </w:r>
      <w:r>
        <w:rPr/>
        <w:t>deals.</w:t>
      </w:r>
      <w:r>
        <w:rPr>
          <w:spacing w:val="-8"/>
        </w:rPr>
        <w:t> </w:t>
      </w:r>
      <w:r>
        <w:rPr/>
        <w:t>For example,</w:t>
      </w:r>
      <w:r>
        <w:rPr>
          <w:spacing w:val="19"/>
        </w:rPr>
        <w:t> </w:t>
      </w:r>
      <w:r>
        <w:rPr/>
        <w:t>only</w:t>
      </w:r>
      <w:r>
        <w:rPr>
          <w:spacing w:val="6"/>
        </w:rPr>
        <w:t> </w:t>
      </w:r>
      <w:r>
        <w:rPr/>
        <w:t>10-15%</w:t>
      </w:r>
      <w:r>
        <w:rPr>
          <w:spacing w:val="2"/>
        </w:rPr>
        <w:t> </w:t>
      </w:r>
      <w:r>
        <w:rPr/>
        <w:t>of</w:t>
      </w:r>
      <w:r>
        <w:rPr>
          <w:spacing w:val="1"/>
        </w:rPr>
        <w:t> </w:t>
      </w:r>
      <w:r>
        <w:rPr/>
        <w:t>investment</w:t>
      </w:r>
      <w:r>
        <w:rPr>
          <w:spacing w:val="1"/>
        </w:rPr>
        <w:t> </w:t>
      </w:r>
      <w:r>
        <w:rPr/>
        <w:t>deals</w:t>
      </w:r>
      <w:r>
        <w:rPr>
          <w:spacing w:val="4"/>
        </w:rPr>
        <w:t> </w:t>
      </w:r>
      <w:r>
        <w:rPr/>
        <w:t>present</w:t>
      </w:r>
      <w:r>
        <w:rPr>
          <w:spacing w:val="14"/>
        </w:rPr>
        <w:t> </w:t>
      </w:r>
      <w:r>
        <w:rPr/>
        <w:t>opportunities</w:t>
      </w:r>
      <w:r>
        <w:rPr>
          <w:spacing w:val="4"/>
        </w:rPr>
        <w:t> </w:t>
      </w:r>
      <w:r>
        <w:rPr/>
        <w:t>to</w:t>
      </w:r>
      <w:r>
        <w:rPr>
          <w:spacing w:val="-12"/>
        </w:rPr>
        <w:t> </w:t>
      </w:r>
      <w:r>
        <w:rPr/>
        <w:t>address</w:t>
      </w:r>
      <w:r>
        <w:rPr>
          <w:spacing w:val="-10"/>
        </w:rPr>
        <w:t> </w:t>
      </w:r>
      <w:r>
        <w:rPr/>
        <w:t>global</w:t>
      </w:r>
      <w:r>
        <w:rPr>
          <w:spacing w:val="1"/>
        </w:rPr>
        <w:t> </w:t>
      </w:r>
      <w:r>
        <w:rPr>
          <w:spacing w:val="-2"/>
        </w:rPr>
        <w:t>challenges</w:t>
      </w:r>
    </w:p>
    <w:p>
      <w:pPr>
        <w:spacing w:after="0" w:line="482" w:lineRule="auto"/>
        <w:sectPr>
          <w:pgSz w:w="11910" w:h="16850"/>
          <w:pgMar w:header="0" w:footer="1005" w:top="1380" w:bottom="1200" w:left="1340" w:right="1300"/>
        </w:sectPr>
      </w:pPr>
    </w:p>
    <w:p>
      <w:pPr>
        <w:pStyle w:val="BodyText"/>
        <w:spacing w:line="477" w:lineRule="auto" w:before="72"/>
        <w:ind w:right="133"/>
      </w:pPr>
      <w:r>
        <w:rPr/>
        <w:t>directly</w:t>
      </w:r>
      <w:r>
        <w:rPr>
          <w:spacing w:val="-3"/>
        </w:rPr>
        <w:t> </w:t>
      </w:r>
      <w:r>
        <w:rPr/>
        <w:t>or indirectly, such as access to</w:t>
      </w:r>
      <w:r>
        <w:rPr>
          <w:spacing w:val="-1"/>
        </w:rPr>
        <w:t> </w:t>
      </w:r>
      <w:r>
        <w:rPr/>
        <w:t>affordable</w:t>
      </w:r>
      <w:r>
        <w:rPr>
          <w:spacing w:val="-15"/>
        </w:rPr>
        <w:t> </w:t>
      </w:r>
      <w:r>
        <w:rPr/>
        <w:t>and safe</w:t>
      </w:r>
      <w:r>
        <w:rPr>
          <w:spacing w:val="-3"/>
        </w:rPr>
        <w:t> </w:t>
      </w:r>
      <w:r>
        <w:rPr/>
        <w:t>water</w:t>
      </w:r>
      <w:r>
        <w:rPr>
          <w:spacing w:val="-7"/>
        </w:rPr>
        <w:t> </w:t>
      </w:r>
      <w:r>
        <w:rPr/>
        <w:t>and sanitation (SDG 6) and promoting the</w:t>
      </w:r>
      <w:r>
        <w:rPr>
          <w:spacing w:val="-5"/>
        </w:rPr>
        <w:t> </w:t>
      </w:r>
      <w:r>
        <w:rPr/>
        <w:t>rule of law and equal access to justice (SDG 16). Some SDGs have even less representation in the available impact investment deals. For</w:t>
      </w:r>
      <w:r>
        <w:rPr/>
        <w:t> example,</w:t>
      </w:r>
      <w:r>
        <w:rPr/>
        <w:t> less than 10% of investment deals</w:t>
      </w:r>
      <w:r>
        <w:rPr>
          <w:spacing w:val="-9"/>
        </w:rPr>
        <w:t> </w:t>
      </w:r>
      <w:r>
        <w:rPr/>
        <w:t>are directly or</w:t>
      </w:r>
      <w:r>
        <w:rPr>
          <w:spacing w:val="-11"/>
        </w:rPr>
        <w:t> </w:t>
      </w:r>
      <w:r>
        <w:rPr/>
        <w:t>indirectly linked to global problems such as access to</w:t>
      </w:r>
      <w:r>
        <w:rPr>
          <w:spacing w:val="-6"/>
        </w:rPr>
        <w:t> </w:t>
      </w:r>
      <w:r>
        <w:rPr/>
        <w:t>quality education</w:t>
      </w:r>
      <w:r>
        <w:rPr>
          <w:spacing w:val="-15"/>
        </w:rPr>
        <w:t> </w:t>
      </w:r>
      <w:r>
        <w:rPr/>
        <w:t>(SDG</w:t>
      </w:r>
      <w:r>
        <w:rPr>
          <w:spacing w:val="-12"/>
        </w:rPr>
        <w:t> </w:t>
      </w:r>
      <w:r>
        <w:rPr/>
        <w:t>4),</w:t>
      </w:r>
      <w:r>
        <w:rPr>
          <w:spacing w:val="-7"/>
        </w:rPr>
        <w:t> </w:t>
      </w:r>
      <w:r>
        <w:rPr/>
        <w:t>developing</w:t>
      </w:r>
      <w:r>
        <w:rPr>
          <w:spacing w:val="-7"/>
        </w:rPr>
        <w:t> </w:t>
      </w:r>
      <w:r>
        <w:rPr/>
        <w:t>sustainable</w:t>
      </w:r>
      <w:r>
        <w:rPr>
          <w:spacing w:val="19"/>
        </w:rPr>
        <w:t> </w:t>
      </w:r>
      <w:r>
        <w:rPr/>
        <w:t>and</w:t>
      </w:r>
      <w:r>
        <w:rPr>
          <w:spacing w:val="-8"/>
        </w:rPr>
        <w:t> </w:t>
      </w:r>
      <w:r>
        <w:rPr/>
        <w:t>resilient</w:t>
      </w:r>
      <w:r>
        <w:rPr>
          <w:spacing w:val="27"/>
        </w:rPr>
        <w:t> </w:t>
      </w:r>
      <w:r>
        <w:rPr/>
        <w:t>infrastructure</w:t>
      </w:r>
      <w:r>
        <w:rPr>
          <w:spacing w:val="-8"/>
        </w:rPr>
        <w:t> </w:t>
      </w:r>
      <w:r>
        <w:rPr/>
        <w:t>to</w:t>
      </w:r>
      <w:r>
        <w:rPr>
          <w:spacing w:val="-15"/>
        </w:rPr>
        <w:t> </w:t>
      </w:r>
      <w:r>
        <w:rPr/>
        <w:t>support human well- being (SDG 9), access to safe and affordable housing and transportation (SDG 11), sound management of</w:t>
      </w:r>
      <w:r>
        <w:rPr>
          <w:spacing w:val="-12"/>
        </w:rPr>
        <w:t> </w:t>
      </w:r>
      <w:r>
        <w:rPr/>
        <w:t>all forms of</w:t>
      </w:r>
      <w:r>
        <w:rPr>
          <w:spacing w:val="-12"/>
        </w:rPr>
        <w:t> </w:t>
      </w:r>
      <w:r>
        <w:rPr/>
        <w:t>wastes</w:t>
      </w:r>
      <w:r>
        <w:rPr>
          <w:spacing w:val="-10"/>
        </w:rPr>
        <w:t> </w:t>
      </w:r>
      <w:r>
        <w:rPr/>
        <w:t>(SDG</w:t>
      </w:r>
      <w:r>
        <w:rPr>
          <w:spacing w:val="-1"/>
        </w:rPr>
        <w:t> </w:t>
      </w:r>
      <w:r>
        <w:rPr/>
        <w:t>12),</w:t>
      </w:r>
      <w:r>
        <w:rPr>
          <w:spacing w:val="-6"/>
        </w:rPr>
        <w:t> </w:t>
      </w:r>
      <w:r>
        <w:rPr/>
        <w:t>and</w:t>
      </w:r>
      <w:r>
        <w:rPr>
          <w:spacing w:val="-7"/>
        </w:rPr>
        <w:t> </w:t>
      </w:r>
      <w:r>
        <w:rPr/>
        <w:t>preservation of marine life and</w:t>
      </w:r>
      <w:r>
        <w:rPr>
          <w:spacing w:val="-7"/>
        </w:rPr>
        <w:t> </w:t>
      </w:r>
      <w:r>
        <w:rPr/>
        <w:t>ecosystems (SDG</w:t>
      </w:r>
      <w:r>
        <w:rPr>
          <w:spacing w:val="-15"/>
        </w:rPr>
        <w:t> </w:t>
      </w:r>
      <w:r>
        <w:rPr/>
        <w:t>14).</w:t>
      </w:r>
      <w:r>
        <w:rPr>
          <w:spacing w:val="-15"/>
        </w:rPr>
        <w:t> </w:t>
      </w:r>
      <w:r>
        <w:rPr/>
        <w:t>The</w:t>
      </w:r>
      <w:r>
        <w:rPr>
          <w:spacing w:val="-13"/>
        </w:rPr>
        <w:t> </w:t>
      </w:r>
      <w:r>
        <w:rPr/>
        <w:t>considerable lack</w:t>
      </w:r>
      <w:r>
        <w:rPr>
          <w:spacing w:val="-8"/>
        </w:rPr>
        <w:t> </w:t>
      </w:r>
      <w:r>
        <w:rPr/>
        <w:t>of</w:t>
      </w:r>
      <w:r>
        <w:rPr>
          <w:spacing w:val="-13"/>
        </w:rPr>
        <w:t> </w:t>
      </w:r>
      <w:r>
        <w:rPr/>
        <w:t>investment</w:t>
      </w:r>
      <w:r>
        <w:rPr>
          <w:spacing w:val="-1"/>
        </w:rPr>
        <w:t> </w:t>
      </w:r>
      <w:r>
        <w:rPr/>
        <w:t>deals</w:t>
      </w:r>
      <w:r>
        <w:rPr>
          <w:spacing w:val="-15"/>
        </w:rPr>
        <w:t> </w:t>
      </w:r>
      <w:r>
        <w:rPr/>
        <w:t>regarding</w:t>
      </w:r>
      <w:r>
        <w:rPr>
          <w:spacing w:val="-8"/>
        </w:rPr>
        <w:t> </w:t>
      </w:r>
      <w:r>
        <w:rPr/>
        <w:t>these</w:t>
      </w:r>
      <w:r>
        <w:rPr>
          <w:spacing w:val="-10"/>
        </w:rPr>
        <w:t> </w:t>
      </w:r>
      <w:r>
        <w:rPr/>
        <w:t>pressing global</w:t>
      </w:r>
      <w:r>
        <w:rPr>
          <w:spacing w:val="-14"/>
        </w:rPr>
        <w:t> </w:t>
      </w:r>
      <w:r>
        <w:rPr/>
        <w:t>problems can</w:t>
      </w:r>
      <w:r>
        <w:rPr>
          <w:spacing w:val="-15"/>
        </w:rPr>
        <w:t> </w:t>
      </w:r>
      <w:r>
        <w:rPr/>
        <w:t>pose</w:t>
      </w:r>
      <w:r>
        <w:rPr>
          <w:spacing w:val="-15"/>
        </w:rPr>
        <w:t> </w:t>
      </w:r>
      <w:r>
        <w:rPr/>
        <w:t>a significant barrier</w:t>
      </w:r>
      <w:r>
        <w:rPr>
          <w:spacing w:val="18"/>
        </w:rPr>
        <w:t> </w:t>
      </w:r>
      <w:r>
        <w:rPr/>
        <w:t>for</w:t>
      </w:r>
      <w:r>
        <w:rPr>
          <w:spacing w:val="-15"/>
        </w:rPr>
        <w:t> </w:t>
      </w:r>
      <w:r>
        <w:rPr/>
        <w:t>the</w:t>
      </w:r>
      <w:r>
        <w:rPr>
          <w:spacing w:val="-6"/>
        </w:rPr>
        <w:t> </w:t>
      </w:r>
      <w:r>
        <w:rPr/>
        <w:t>impact investing industry</w:t>
      </w:r>
      <w:r>
        <w:rPr>
          <w:spacing w:val="-15"/>
        </w:rPr>
        <w:t> </w:t>
      </w:r>
      <w:r>
        <w:rPr/>
        <w:t>in attracting</w:t>
      </w:r>
      <w:r>
        <w:rPr>
          <w:spacing w:val="-15"/>
        </w:rPr>
        <w:t> </w:t>
      </w:r>
      <w:r>
        <w:rPr/>
        <w:t>adequate</w:t>
      </w:r>
      <w:r>
        <w:rPr>
          <w:spacing w:val="-15"/>
        </w:rPr>
        <w:t> </w:t>
      </w:r>
      <w:r>
        <w:rPr/>
        <w:t>capital to tackle them effectively.</w:t>
      </w:r>
    </w:p>
    <w:p>
      <w:pPr>
        <w:pStyle w:val="BodyText"/>
        <w:spacing w:line="480" w:lineRule="auto" w:before="198"/>
        <w:ind w:right="126"/>
      </w:pPr>
      <w:r>
        <w:rPr/>
        <w:t>The above</w:t>
      </w:r>
      <w:r>
        <w:rPr>
          <w:spacing w:val="-7"/>
        </w:rPr>
        <w:t> </w:t>
      </w:r>
      <w:r>
        <w:rPr/>
        <w:t>discussion suggests</w:t>
      </w:r>
      <w:r>
        <w:rPr>
          <w:spacing w:val="-9"/>
        </w:rPr>
        <w:t> </w:t>
      </w:r>
      <w:r>
        <w:rPr/>
        <w:t>that</w:t>
      </w:r>
      <w:r>
        <w:rPr>
          <w:spacing w:val="-11"/>
        </w:rPr>
        <w:t> </w:t>
      </w:r>
      <w:r>
        <w:rPr/>
        <w:t>although impact investing has</w:t>
      </w:r>
      <w:r>
        <w:rPr>
          <w:spacing w:val="-9"/>
        </w:rPr>
        <w:t> </w:t>
      </w:r>
      <w:r>
        <w:rPr/>
        <w:t>great potential to</w:t>
      </w:r>
      <w:r>
        <w:rPr>
          <w:spacing w:val="-15"/>
        </w:rPr>
        <w:t> </w:t>
      </w:r>
      <w:r>
        <w:rPr/>
        <w:t>contribute to SDGs (Islam, 2022a; International Finance Corporation, 2019), it may not be equally effective</w:t>
      </w:r>
      <w:r>
        <w:rPr>
          <w:spacing w:val="-15"/>
        </w:rPr>
        <w:t> </w:t>
      </w:r>
      <w:r>
        <w:rPr/>
        <w:t>to</w:t>
      </w:r>
      <w:r>
        <w:rPr>
          <w:spacing w:val="-15"/>
        </w:rPr>
        <w:t> </w:t>
      </w:r>
      <w:r>
        <w:rPr/>
        <w:t>contribute</w:t>
      </w:r>
      <w:r>
        <w:rPr>
          <w:spacing w:val="-15"/>
        </w:rPr>
        <w:t> </w:t>
      </w:r>
      <w:r>
        <w:rPr/>
        <w:t>to</w:t>
      </w:r>
      <w:r>
        <w:rPr>
          <w:spacing w:val="-15"/>
        </w:rPr>
        <w:t> </w:t>
      </w:r>
      <w:r>
        <w:rPr/>
        <w:t>all</w:t>
      </w:r>
      <w:r>
        <w:rPr>
          <w:spacing w:val="-15"/>
        </w:rPr>
        <w:t> </w:t>
      </w:r>
      <w:r>
        <w:rPr/>
        <w:t>SDGs</w:t>
      </w:r>
      <w:r>
        <w:rPr>
          <w:spacing w:val="-15"/>
        </w:rPr>
        <w:t> </w:t>
      </w:r>
      <w:r>
        <w:rPr/>
        <w:t>due</w:t>
      </w:r>
      <w:r>
        <w:rPr>
          <w:spacing w:val="-15"/>
        </w:rPr>
        <w:t> </w:t>
      </w:r>
      <w:r>
        <w:rPr/>
        <w:t>to</w:t>
      </w:r>
      <w:r>
        <w:rPr>
          <w:spacing w:val="-15"/>
        </w:rPr>
        <w:t> </w:t>
      </w:r>
      <w:r>
        <w:rPr/>
        <w:t>a</w:t>
      </w:r>
      <w:r>
        <w:rPr>
          <w:spacing w:val="-15"/>
        </w:rPr>
        <w:t> </w:t>
      </w:r>
      <w:r>
        <w:rPr/>
        <w:t>significant</w:t>
      </w:r>
      <w:r>
        <w:rPr>
          <w:spacing w:val="-15"/>
        </w:rPr>
        <w:t> </w:t>
      </w:r>
      <w:r>
        <w:rPr/>
        <w:t>SDG-dealflow</w:t>
      </w:r>
      <w:r>
        <w:rPr>
          <w:spacing w:val="-15"/>
        </w:rPr>
        <w:t> </w:t>
      </w:r>
      <w:r>
        <w:rPr/>
        <w:t>gap</w:t>
      </w:r>
      <w:r>
        <w:rPr>
          <w:spacing w:val="-15"/>
        </w:rPr>
        <w:t> </w:t>
      </w:r>
      <w:r>
        <w:rPr/>
        <w:t>existing</w:t>
      </w:r>
      <w:r>
        <w:rPr>
          <w:spacing w:val="2"/>
        </w:rPr>
        <w:t> </w:t>
      </w:r>
      <w:r>
        <w:rPr/>
        <w:t>in</w:t>
      </w:r>
      <w:r>
        <w:rPr>
          <w:spacing w:val="4"/>
        </w:rPr>
        <w:t> </w:t>
      </w:r>
      <w:r>
        <w:rPr/>
        <w:t>the</w:t>
      </w:r>
      <w:r>
        <w:rPr>
          <w:spacing w:val="-15"/>
        </w:rPr>
        <w:t> </w:t>
      </w:r>
      <w:r>
        <w:rPr/>
        <w:t>impact investing market. One potential reason for this gap could be the lack of impact investment appetite in certain SDGs. Specifically, many impact investors may not perceive investment opportunities in certain SDGs (e.g., preservation of marine life and ecosystems – SDG 14, sound management of all forms of waste – SDG 12) as desirable, which might result in less availability of impact investment dealflow targeting those SDGs. To address this issue, government policymakers could attach appropriate incentives (e.g., deferral or reduction of capital gain tax) to investment opportunities targeting those SDGs. This might trigger an increased impact investment appetite in those SDGs, which in turn could increase relevant dealflow.</w:t>
      </w:r>
      <w:r>
        <w:rPr>
          <w:spacing w:val="-15"/>
        </w:rPr>
        <w:t> </w:t>
      </w:r>
      <w:r>
        <w:rPr/>
        <w:t>Another</w:t>
      </w:r>
      <w:r>
        <w:rPr>
          <w:spacing w:val="-15"/>
        </w:rPr>
        <w:t> </w:t>
      </w:r>
      <w:r>
        <w:rPr/>
        <w:t>potential</w:t>
      </w:r>
      <w:r>
        <w:rPr>
          <w:spacing w:val="-15"/>
        </w:rPr>
        <w:t> </w:t>
      </w:r>
      <w:r>
        <w:rPr/>
        <w:t>reason</w:t>
      </w:r>
      <w:r>
        <w:rPr>
          <w:spacing w:val="3"/>
        </w:rPr>
        <w:t> </w:t>
      </w:r>
      <w:r>
        <w:rPr/>
        <w:t>for</w:t>
      </w:r>
      <w:r>
        <w:rPr>
          <w:spacing w:val="-15"/>
        </w:rPr>
        <w:t> </w:t>
      </w:r>
      <w:r>
        <w:rPr/>
        <w:t>the</w:t>
      </w:r>
      <w:r>
        <w:rPr>
          <w:spacing w:val="-15"/>
        </w:rPr>
        <w:t> </w:t>
      </w:r>
      <w:r>
        <w:rPr/>
        <w:t>SDG-dealflow</w:t>
      </w:r>
      <w:r>
        <w:rPr>
          <w:spacing w:val="-7"/>
        </w:rPr>
        <w:t> </w:t>
      </w:r>
      <w:r>
        <w:rPr/>
        <w:t>gap</w:t>
      </w:r>
      <w:r>
        <w:rPr>
          <w:spacing w:val="-15"/>
        </w:rPr>
        <w:t> </w:t>
      </w:r>
      <w:r>
        <w:rPr/>
        <w:t>could be that</w:t>
      </w:r>
      <w:r>
        <w:rPr>
          <w:spacing w:val="-5"/>
        </w:rPr>
        <w:t> </w:t>
      </w:r>
      <w:r>
        <w:rPr/>
        <w:t>investment</w:t>
      </w:r>
      <w:r>
        <w:rPr>
          <w:spacing w:val="-5"/>
        </w:rPr>
        <w:t> </w:t>
      </w:r>
      <w:r>
        <w:rPr/>
        <w:t>deals</w:t>
      </w:r>
      <w:r>
        <w:rPr>
          <w:spacing w:val="-2"/>
        </w:rPr>
        <w:t> </w:t>
      </w:r>
      <w:r>
        <w:rPr/>
        <w:t>in certain</w:t>
      </w:r>
      <w:r>
        <w:rPr>
          <w:spacing w:val="-15"/>
        </w:rPr>
        <w:t> </w:t>
      </w:r>
      <w:r>
        <w:rPr/>
        <w:t>SDGs</w:t>
      </w:r>
      <w:r>
        <w:rPr>
          <w:spacing w:val="-15"/>
        </w:rPr>
        <w:t> </w:t>
      </w:r>
      <w:r>
        <w:rPr/>
        <w:t>(e.g.,</w:t>
      </w:r>
      <w:r>
        <w:rPr>
          <w:spacing w:val="-12"/>
        </w:rPr>
        <w:t> </w:t>
      </w:r>
      <w:r>
        <w:rPr/>
        <w:t>developing</w:t>
      </w:r>
      <w:r>
        <w:rPr>
          <w:spacing w:val="-9"/>
        </w:rPr>
        <w:t> </w:t>
      </w:r>
      <w:r>
        <w:rPr/>
        <w:t>sustainable and</w:t>
      </w:r>
      <w:r>
        <w:rPr>
          <w:spacing w:val="-10"/>
        </w:rPr>
        <w:t> </w:t>
      </w:r>
      <w:r>
        <w:rPr/>
        <w:t>resilient</w:t>
      </w:r>
      <w:r>
        <w:rPr>
          <w:spacing w:val="-2"/>
        </w:rPr>
        <w:t> </w:t>
      </w:r>
      <w:r>
        <w:rPr/>
        <w:t>infrastructure –</w:t>
      </w:r>
      <w:r>
        <w:rPr>
          <w:spacing w:val="-9"/>
        </w:rPr>
        <w:t> </w:t>
      </w:r>
      <w:r>
        <w:rPr/>
        <w:t>SDG</w:t>
      </w:r>
      <w:r>
        <w:rPr>
          <w:spacing w:val="-4"/>
        </w:rPr>
        <w:t> </w:t>
      </w:r>
      <w:r>
        <w:rPr/>
        <w:t>9)</w:t>
      </w:r>
      <w:r>
        <w:rPr>
          <w:spacing w:val="-13"/>
        </w:rPr>
        <w:t> </w:t>
      </w:r>
      <w:r>
        <w:rPr/>
        <w:t>require</w:t>
      </w:r>
      <w:r>
        <w:rPr>
          <w:spacing w:val="-11"/>
        </w:rPr>
        <w:t> </w:t>
      </w:r>
      <w:r>
        <w:rPr/>
        <w:t>a</w:t>
      </w:r>
      <w:r>
        <w:rPr>
          <w:spacing w:val="-11"/>
        </w:rPr>
        <w:t> </w:t>
      </w:r>
      <w:r>
        <w:rPr/>
        <w:t>large amount</w:t>
      </w:r>
      <w:r>
        <w:rPr>
          <w:spacing w:val="-15"/>
        </w:rPr>
        <w:t> </w:t>
      </w:r>
      <w:r>
        <w:rPr/>
        <w:t>of</w:t>
      </w:r>
      <w:r>
        <w:rPr>
          <w:spacing w:val="-15"/>
        </w:rPr>
        <w:t> </w:t>
      </w:r>
      <w:r>
        <w:rPr/>
        <w:t>capital</w:t>
      </w:r>
      <w:r>
        <w:rPr>
          <w:spacing w:val="-15"/>
        </w:rPr>
        <w:t> </w:t>
      </w:r>
      <w:r>
        <w:rPr/>
        <w:t>(e.g.,</w:t>
      </w:r>
      <w:r>
        <w:rPr>
          <w:spacing w:val="-10"/>
        </w:rPr>
        <w:t> </w:t>
      </w:r>
      <w:r>
        <w:rPr/>
        <w:t>over $500</w:t>
      </w:r>
      <w:r>
        <w:rPr>
          <w:spacing w:val="-15"/>
        </w:rPr>
        <w:t> </w:t>
      </w:r>
      <w:r>
        <w:rPr/>
        <w:t>million).</w:t>
      </w:r>
      <w:r>
        <w:rPr>
          <w:spacing w:val="31"/>
        </w:rPr>
        <w:t> </w:t>
      </w:r>
      <w:r>
        <w:rPr/>
        <w:t>However,</w:t>
      </w:r>
      <w:r>
        <w:rPr>
          <w:spacing w:val="-15"/>
        </w:rPr>
        <w:t> </w:t>
      </w:r>
      <w:r>
        <w:rPr/>
        <w:t>many</w:t>
      </w:r>
      <w:r>
        <w:rPr>
          <w:spacing w:val="-8"/>
        </w:rPr>
        <w:t> </w:t>
      </w:r>
      <w:r>
        <w:rPr/>
        <w:t>impact</w:t>
      </w:r>
      <w:r>
        <w:rPr>
          <w:spacing w:val="12"/>
        </w:rPr>
        <w:t> </w:t>
      </w:r>
      <w:r>
        <w:rPr/>
        <w:t>investors</w:t>
      </w:r>
      <w:r>
        <w:rPr>
          <w:spacing w:val="-11"/>
        </w:rPr>
        <w:t> </w:t>
      </w:r>
      <w:r>
        <w:rPr/>
        <w:t>may</w:t>
      </w:r>
      <w:r>
        <w:rPr>
          <w:spacing w:val="-8"/>
        </w:rPr>
        <w:t> </w:t>
      </w:r>
      <w:r>
        <w:rPr/>
        <w:t>not</w:t>
      </w:r>
      <w:r>
        <w:rPr>
          <w:spacing w:val="-1"/>
        </w:rPr>
        <w:t> </w:t>
      </w:r>
      <w:r>
        <w:rPr/>
        <w:t>have</w:t>
      </w:r>
      <w:r>
        <w:rPr>
          <w:spacing w:val="-15"/>
        </w:rPr>
        <w:t> </w:t>
      </w:r>
      <w:r>
        <w:rPr/>
        <w:t>the resources and</w:t>
      </w:r>
      <w:r>
        <w:rPr>
          <w:spacing w:val="-9"/>
        </w:rPr>
        <w:t> </w:t>
      </w:r>
      <w:r>
        <w:rPr/>
        <w:t>capability to</w:t>
      </w:r>
      <w:r>
        <w:rPr>
          <w:spacing w:val="-9"/>
        </w:rPr>
        <w:t> </w:t>
      </w:r>
      <w:r>
        <w:rPr/>
        <w:t>invest in</w:t>
      </w:r>
      <w:r>
        <w:rPr>
          <w:spacing w:val="-9"/>
        </w:rPr>
        <w:t> </w:t>
      </w:r>
      <w:r>
        <w:rPr/>
        <w:t>such “large deals”,</w:t>
      </w:r>
      <w:r>
        <w:rPr>
          <w:spacing w:val="-9"/>
        </w:rPr>
        <w:t> </w:t>
      </w:r>
      <w:r>
        <w:rPr/>
        <w:t>which might</w:t>
      </w:r>
      <w:r>
        <w:rPr>
          <w:spacing w:val="-2"/>
        </w:rPr>
        <w:t> </w:t>
      </w:r>
      <w:r>
        <w:rPr/>
        <w:t>result in less availability</w:t>
      </w:r>
    </w:p>
    <w:p>
      <w:pPr>
        <w:spacing w:after="0" w:line="480" w:lineRule="auto"/>
        <w:sectPr>
          <w:pgSz w:w="11910" w:h="16850"/>
          <w:pgMar w:header="0" w:footer="1005" w:top="1380" w:bottom="1200" w:left="1340" w:right="1300"/>
        </w:sectPr>
      </w:pPr>
    </w:p>
    <w:p>
      <w:pPr>
        <w:pStyle w:val="BodyText"/>
        <w:spacing w:line="477" w:lineRule="auto" w:before="72"/>
        <w:ind w:right="126"/>
      </w:pPr>
      <w:r>
        <w:rPr/>
        <w:t>of</w:t>
      </w:r>
      <w:r>
        <w:rPr>
          <w:spacing w:val="-15"/>
        </w:rPr>
        <w:t> </w:t>
      </w:r>
      <w:r>
        <w:rPr/>
        <w:t>impact</w:t>
      </w:r>
      <w:r>
        <w:rPr>
          <w:spacing w:val="-9"/>
        </w:rPr>
        <w:t> </w:t>
      </w:r>
      <w:r>
        <w:rPr/>
        <w:t>investment deals</w:t>
      </w:r>
      <w:r>
        <w:rPr>
          <w:spacing w:val="-8"/>
        </w:rPr>
        <w:t> </w:t>
      </w:r>
      <w:r>
        <w:rPr/>
        <w:t>targeting</w:t>
      </w:r>
      <w:r>
        <w:rPr>
          <w:spacing w:val="-15"/>
        </w:rPr>
        <w:t> </w:t>
      </w:r>
      <w:r>
        <w:rPr/>
        <w:t>those</w:t>
      </w:r>
      <w:r>
        <w:rPr>
          <w:spacing w:val="-6"/>
        </w:rPr>
        <w:t> </w:t>
      </w:r>
      <w:r>
        <w:rPr/>
        <w:t>SDGs.</w:t>
      </w:r>
      <w:r>
        <w:rPr>
          <w:spacing w:val="-15"/>
        </w:rPr>
        <w:t> </w:t>
      </w:r>
      <w:r>
        <w:rPr/>
        <w:t>This issue</w:t>
      </w:r>
      <w:r>
        <w:rPr>
          <w:spacing w:val="-6"/>
        </w:rPr>
        <w:t> </w:t>
      </w:r>
      <w:r>
        <w:rPr/>
        <w:t>could be</w:t>
      </w:r>
      <w:r>
        <w:rPr>
          <w:spacing w:val="-15"/>
        </w:rPr>
        <w:t> </w:t>
      </w:r>
      <w:r>
        <w:rPr/>
        <w:t>addressed</w:t>
      </w:r>
      <w:r>
        <w:rPr>
          <w:spacing w:val="-5"/>
        </w:rPr>
        <w:t> </w:t>
      </w:r>
      <w:r>
        <w:rPr/>
        <w:t>by</w:t>
      </w:r>
      <w:r>
        <w:rPr>
          <w:spacing w:val="-15"/>
        </w:rPr>
        <w:t> </w:t>
      </w:r>
      <w:r>
        <w:rPr/>
        <w:t>developing dedicated</w:t>
      </w:r>
      <w:r>
        <w:rPr>
          <w:spacing w:val="-15"/>
        </w:rPr>
        <w:t> </w:t>
      </w:r>
      <w:r>
        <w:rPr/>
        <w:t>“impact</w:t>
      </w:r>
      <w:r>
        <w:rPr>
          <w:spacing w:val="-15"/>
        </w:rPr>
        <w:t> </w:t>
      </w:r>
      <w:r>
        <w:rPr/>
        <w:t>investment</w:t>
      </w:r>
      <w:r>
        <w:rPr>
          <w:spacing w:val="-15"/>
        </w:rPr>
        <w:t> </w:t>
      </w:r>
      <w:r>
        <w:rPr/>
        <w:t>consortiums”,</w:t>
      </w:r>
      <w:r>
        <w:rPr>
          <w:spacing w:val="-15"/>
        </w:rPr>
        <w:t> </w:t>
      </w:r>
      <w:r>
        <w:rPr/>
        <w:t>where</w:t>
      </w:r>
      <w:r>
        <w:rPr>
          <w:spacing w:val="-15"/>
        </w:rPr>
        <w:t> </w:t>
      </w:r>
      <w:r>
        <w:rPr/>
        <w:t>several</w:t>
      </w:r>
      <w:r>
        <w:rPr>
          <w:spacing w:val="-15"/>
        </w:rPr>
        <w:t> </w:t>
      </w:r>
      <w:r>
        <w:rPr/>
        <w:t>small/medium/big</w:t>
      </w:r>
      <w:r>
        <w:rPr>
          <w:spacing w:val="16"/>
        </w:rPr>
        <w:t> </w:t>
      </w:r>
      <w:r>
        <w:rPr/>
        <w:t>impact</w:t>
      </w:r>
      <w:r>
        <w:rPr>
          <w:spacing w:val="-9"/>
        </w:rPr>
        <w:t> </w:t>
      </w:r>
      <w:r>
        <w:rPr/>
        <w:t>investors will pool their capital and expertise to invest in large deals targeting those SDGs.</w:t>
      </w:r>
    </w:p>
    <w:p>
      <w:pPr>
        <w:pStyle w:val="BodyText"/>
        <w:spacing w:line="480" w:lineRule="auto" w:before="169"/>
        <w:ind w:right="123"/>
      </w:pPr>
      <w:r>
        <w:rPr/>
        <w:t>The second critical insight that this study</w:t>
      </w:r>
      <w:r>
        <w:rPr>
          <w:spacing w:val="-15"/>
        </w:rPr>
        <w:t> </w:t>
      </w:r>
      <w:r>
        <w:rPr/>
        <w:t>offers is in the geographic concentration of impact investment deals and SDGs. This study shows that most investment deals that directly or indirectly</w:t>
      </w:r>
      <w:r>
        <w:rPr>
          <w:spacing w:val="-15"/>
        </w:rPr>
        <w:t> </w:t>
      </w:r>
      <w:r>
        <w:rPr/>
        <w:t>contribute</w:t>
      </w:r>
      <w:r>
        <w:rPr>
          <w:spacing w:val="-15"/>
        </w:rPr>
        <w:t> </w:t>
      </w:r>
      <w:r>
        <w:rPr/>
        <w:t>to</w:t>
      </w:r>
      <w:r>
        <w:rPr>
          <w:spacing w:val="-15"/>
        </w:rPr>
        <w:t> </w:t>
      </w:r>
      <w:r>
        <w:rPr/>
        <w:t>all</w:t>
      </w:r>
      <w:r>
        <w:rPr>
          <w:spacing w:val="-5"/>
        </w:rPr>
        <w:t> </w:t>
      </w:r>
      <w:r>
        <w:rPr/>
        <w:t>17</w:t>
      </w:r>
      <w:r>
        <w:rPr>
          <w:spacing w:val="-15"/>
        </w:rPr>
        <w:t> </w:t>
      </w:r>
      <w:r>
        <w:rPr/>
        <w:t>SDGs</w:t>
      </w:r>
      <w:r>
        <w:rPr>
          <w:spacing w:val="-15"/>
        </w:rPr>
        <w:t> </w:t>
      </w:r>
      <w:r>
        <w:rPr/>
        <w:t>are</w:t>
      </w:r>
      <w:r>
        <w:rPr>
          <w:spacing w:val="-3"/>
        </w:rPr>
        <w:t> </w:t>
      </w:r>
      <w:r>
        <w:rPr/>
        <w:t>highly</w:t>
      </w:r>
      <w:r>
        <w:rPr>
          <w:spacing w:val="-2"/>
        </w:rPr>
        <w:t> </w:t>
      </w:r>
      <w:r>
        <w:rPr/>
        <w:t>concentrated</w:t>
      </w:r>
      <w:r>
        <w:rPr>
          <w:spacing w:val="-15"/>
        </w:rPr>
        <w:t> </w:t>
      </w:r>
      <w:r>
        <w:rPr/>
        <w:t>in</w:t>
      </w:r>
      <w:r>
        <w:rPr>
          <w:spacing w:val="-2"/>
        </w:rPr>
        <w:t> </w:t>
      </w:r>
      <w:r>
        <w:rPr/>
        <w:t>two</w:t>
      </w:r>
      <w:r>
        <w:rPr>
          <w:spacing w:val="-15"/>
        </w:rPr>
        <w:t> </w:t>
      </w:r>
      <w:r>
        <w:rPr/>
        <w:t>regions</w:t>
      </w:r>
      <w:r>
        <w:rPr>
          <w:spacing w:val="8"/>
        </w:rPr>
        <w:t> </w:t>
      </w:r>
      <w:r>
        <w:rPr/>
        <w:t>–</w:t>
      </w:r>
      <w:r>
        <w:rPr>
          <w:spacing w:val="-2"/>
        </w:rPr>
        <w:t> </w:t>
      </w:r>
      <w:r>
        <w:rPr/>
        <w:t>US</w:t>
      </w:r>
      <w:r>
        <w:rPr>
          <w:spacing w:val="-15"/>
        </w:rPr>
        <w:t> </w:t>
      </w:r>
      <w:r>
        <w:rPr/>
        <w:t>&amp;</w:t>
      </w:r>
      <w:r>
        <w:rPr>
          <w:spacing w:val="-15"/>
        </w:rPr>
        <w:t> </w:t>
      </w:r>
      <w:r>
        <w:rPr/>
        <w:t>Canada</w:t>
      </w:r>
      <w:r>
        <w:rPr>
          <w:spacing w:val="-15"/>
        </w:rPr>
        <w:t> </w:t>
      </w:r>
      <w:r>
        <w:rPr/>
        <w:t>and SSA. This suggests two inferences. First, in terms of impact investment opportunities to contribute to different</w:t>
      </w:r>
      <w:r>
        <w:rPr>
          <w:spacing w:val="-7"/>
        </w:rPr>
        <w:t> </w:t>
      </w:r>
      <w:r>
        <w:rPr/>
        <w:t>SDGs, the</w:t>
      </w:r>
      <w:r>
        <w:rPr>
          <w:spacing w:val="-2"/>
        </w:rPr>
        <w:t> </w:t>
      </w:r>
      <w:r>
        <w:rPr/>
        <w:t>two most lucrative and investment-ready regions are US &amp; Canada</w:t>
      </w:r>
      <w:r>
        <w:rPr>
          <w:spacing w:val="-15"/>
        </w:rPr>
        <w:t> </w:t>
      </w:r>
      <w:r>
        <w:rPr/>
        <w:t>and SSA.</w:t>
      </w:r>
      <w:r>
        <w:rPr>
          <w:spacing w:val="-3"/>
        </w:rPr>
        <w:t> </w:t>
      </w:r>
      <w:r>
        <w:rPr/>
        <w:t>Second,</w:t>
      </w:r>
      <w:r>
        <w:rPr>
          <w:spacing w:val="-15"/>
        </w:rPr>
        <w:t> </w:t>
      </w:r>
      <w:r>
        <w:rPr/>
        <w:t>although</w:t>
      </w:r>
      <w:r>
        <w:rPr>
          <w:spacing w:val="-3"/>
        </w:rPr>
        <w:t> </w:t>
      </w:r>
      <w:r>
        <w:rPr/>
        <w:t>large numbers of investment opportunities exist targeting various</w:t>
      </w:r>
      <w:r>
        <w:rPr>
          <w:spacing w:val="-15"/>
        </w:rPr>
        <w:t> </w:t>
      </w:r>
      <w:r>
        <w:rPr/>
        <w:t>SDGs,</w:t>
      </w:r>
      <w:r>
        <w:rPr>
          <w:spacing w:val="-15"/>
        </w:rPr>
        <w:t> </w:t>
      </w:r>
      <w:r>
        <w:rPr/>
        <w:t>addressing</w:t>
      </w:r>
      <w:r>
        <w:rPr>
          <w:spacing w:val="-15"/>
        </w:rPr>
        <w:t> </w:t>
      </w:r>
      <w:r>
        <w:rPr/>
        <w:t>global</w:t>
      </w:r>
      <w:r>
        <w:rPr>
          <w:spacing w:val="-7"/>
        </w:rPr>
        <w:t> </w:t>
      </w:r>
      <w:r>
        <w:rPr/>
        <w:t>problems</w:t>
      </w:r>
      <w:r>
        <w:rPr>
          <w:spacing w:val="9"/>
        </w:rPr>
        <w:t> </w:t>
      </w:r>
      <w:r>
        <w:rPr/>
        <w:t>underlying</w:t>
      </w:r>
      <w:r>
        <w:rPr>
          <w:spacing w:val="-15"/>
        </w:rPr>
        <w:t> </w:t>
      </w:r>
      <w:r>
        <w:rPr/>
        <w:t>different</w:t>
      </w:r>
      <w:r>
        <w:rPr>
          <w:spacing w:val="-15"/>
        </w:rPr>
        <w:t> </w:t>
      </w:r>
      <w:r>
        <w:rPr/>
        <w:t>SDGs</w:t>
      </w:r>
      <w:r>
        <w:rPr>
          <w:spacing w:val="-15"/>
        </w:rPr>
        <w:t> </w:t>
      </w:r>
      <w:r>
        <w:rPr/>
        <w:t>would</w:t>
      </w:r>
      <w:r>
        <w:rPr>
          <w:spacing w:val="-15"/>
        </w:rPr>
        <w:t> </w:t>
      </w:r>
      <w:r>
        <w:rPr/>
        <w:t>be</w:t>
      </w:r>
      <w:r>
        <w:rPr>
          <w:spacing w:val="-4"/>
        </w:rPr>
        <w:t> </w:t>
      </w:r>
      <w:r>
        <w:rPr/>
        <w:t>predominately limited to two regions – US &amp; Canada and SSA.</w:t>
      </w:r>
    </w:p>
    <w:p>
      <w:pPr>
        <w:pStyle w:val="BodyText"/>
        <w:spacing w:line="480" w:lineRule="auto" w:before="163"/>
        <w:ind w:right="126"/>
      </w:pPr>
      <w:r>
        <w:rPr/>
        <w:t>The current study</w:t>
      </w:r>
      <w:r>
        <w:rPr>
          <w:spacing w:val="-3"/>
        </w:rPr>
        <w:t> </w:t>
      </w:r>
      <w:r>
        <w:rPr/>
        <w:t>also shows that US &amp; Canada</w:t>
      </w:r>
      <w:r>
        <w:rPr>
          <w:spacing w:val="-5"/>
        </w:rPr>
        <w:t> </w:t>
      </w:r>
      <w:r>
        <w:rPr/>
        <w:t>is the single most representative region of investment</w:t>
      </w:r>
      <w:r>
        <w:rPr>
          <w:spacing w:val="-6"/>
        </w:rPr>
        <w:t> </w:t>
      </w:r>
      <w:r>
        <w:rPr/>
        <w:t>deals</w:t>
      </w:r>
      <w:r>
        <w:rPr>
          <w:spacing w:val="-6"/>
        </w:rPr>
        <w:t> </w:t>
      </w:r>
      <w:r>
        <w:rPr/>
        <w:t>directly</w:t>
      </w:r>
      <w:r>
        <w:rPr>
          <w:spacing w:val="-3"/>
        </w:rPr>
        <w:t> </w:t>
      </w:r>
      <w:r>
        <w:rPr/>
        <w:t>or indirectly</w:t>
      </w:r>
      <w:r>
        <w:rPr>
          <w:spacing w:val="-3"/>
        </w:rPr>
        <w:t> </w:t>
      </w:r>
      <w:r>
        <w:rPr/>
        <w:t>contributing</w:t>
      </w:r>
      <w:r>
        <w:rPr>
          <w:spacing w:val="-3"/>
        </w:rPr>
        <w:t> </w:t>
      </w:r>
      <w:r>
        <w:rPr/>
        <w:t>to</w:t>
      </w:r>
      <w:r>
        <w:rPr>
          <w:spacing w:val="-3"/>
        </w:rPr>
        <w:t> </w:t>
      </w:r>
      <w:r>
        <w:rPr/>
        <w:t>several major</w:t>
      </w:r>
      <w:r>
        <w:rPr>
          <w:spacing w:val="21"/>
        </w:rPr>
        <w:t> </w:t>
      </w:r>
      <w:r>
        <w:rPr/>
        <w:t>SDGs</w:t>
      </w:r>
      <w:r>
        <w:rPr>
          <w:spacing w:val="-15"/>
        </w:rPr>
        <w:t> </w:t>
      </w:r>
      <w:r>
        <w:rPr/>
        <w:t>(e.g., SDGs</w:t>
      </w:r>
      <w:r>
        <w:rPr>
          <w:spacing w:val="-15"/>
        </w:rPr>
        <w:t> </w:t>
      </w:r>
      <w:r>
        <w:rPr/>
        <w:t>1,</w:t>
      </w:r>
      <w:r>
        <w:rPr>
          <w:spacing w:val="-3"/>
        </w:rPr>
        <w:t> </w:t>
      </w:r>
      <w:r>
        <w:rPr/>
        <w:t>2,</w:t>
      </w:r>
      <w:r>
        <w:rPr>
          <w:spacing w:val="-3"/>
        </w:rPr>
        <w:t> </w:t>
      </w:r>
      <w:r>
        <w:rPr/>
        <w:t>3, 4, 5,</w:t>
      </w:r>
      <w:r>
        <w:rPr>
          <w:spacing w:val="-3"/>
        </w:rPr>
        <w:t> </w:t>
      </w:r>
      <w:r>
        <w:rPr/>
        <w:t>7, 8). In</w:t>
      </w:r>
      <w:r>
        <w:rPr>
          <w:spacing w:val="-3"/>
        </w:rPr>
        <w:t> </w:t>
      </w:r>
      <w:r>
        <w:rPr/>
        <w:t>contrast,</w:t>
      </w:r>
      <w:r>
        <w:rPr>
          <w:spacing w:val="-3"/>
        </w:rPr>
        <w:t> </w:t>
      </w:r>
      <w:r>
        <w:rPr/>
        <w:t>several emerging regions such as Southeast Asia, the</w:t>
      </w:r>
      <w:r>
        <w:rPr>
          <w:spacing w:val="-5"/>
        </w:rPr>
        <w:t> </w:t>
      </w:r>
      <w:r>
        <w:rPr/>
        <w:t>Middle</w:t>
      </w:r>
      <w:r>
        <w:rPr>
          <w:spacing w:val="-5"/>
        </w:rPr>
        <w:t> </w:t>
      </w:r>
      <w:r>
        <w:rPr/>
        <w:t>East and North</w:t>
      </w:r>
      <w:r>
        <w:rPr>
          <w:spacing w:val="-4"/>
        </w:rPr>
        <w:t> </w:t>
      </w:r>
      <w:r>
        <w:rPr/>
        <w:t>Africa</w:t>
      </w:r>
      <w:r>
        <w:rPr>
          <w:spacing w:val="-6"/>
        </w:rPr>
        <w:t> </w:t>
      </w:r>
      <w:r>
        <w:rPr/>
        <w:t>(MENA), and</w:t>
      </w:r>
      <w:r>
        <w:rPr>
          <w:spacing w:val="-5"/>
        </w:rPr>
        <w:t> </w:t>
      </w:r>
      <w:r>
        <w:rPr/>
        <w:t>Latin America, the Caribbean, and Mexico (LAC) have a serious shortage</w:t>
      </w:r>
      <w:r>
        <w:rPr>
          <w:spacing w:val="-15"/>
        </w:rPr>
        <w:t> </w:t>
      </w:r>
      <w:r>
        <w:rPr/>
        <w:t>of</w:t>
      </w:r>
      <w:r>
        <w:rPr>
          <w:spacing w:val="-15"/>
        </w:rPr>
        <w:t> </w:t>
      </w:r>
      <w:r>
        <w:rPr/>
        <w:t>impact</w:t>
      </w:r>
      <w:r>
        <w:rPr>
          <w:spacing w:val="-15"/>
        </w:rPr>
        <w:t> </w:t>
      </w:r>
      <w:r>
        <w:rPr/>
        <w:t>investment</w:t>
      </w:r>
      <w:r>
        <w:rPr>
          <w:spacing w:val="-15"/>
        </w:rPr>
        <w:t> </w:t>
      </w:r>
      <w:r>
        <w:rPr/>
        <w:t>dealflow.</w:t>
      </w:r>
      <w:r>
        <w:rPr>
          <w:spacing w:val="-15"/>
        </w:rPr>
        <w:t> </w:t>
      </w:r>
      <w:r>
        <w:rPr/>
        <w:t>This</w:t>
      </w:r>
      <w:r>
        <w:rPr>
          <w:spacing w:val="-15"/>
        </w:rPr>
        <w:t> </w:t>
      </w:r>
      <w:r>
        <w:rPr/>
        <w:t>observation</w:t>
      </w:r>
      <w:r>
        <w:rPr>
          <w:spacing w:val="-15"/>
        </w:rPr>
        <w:t> </w:t>
      </w:r>
      <w:r>
        <w:rPr/>
        <w:t>is</w:t>
      </w:r>
      <w:r>
        <w:rPr>
          <w:spacing w:val="-15"/>
        </w:rPr>
        <w:t> </w:t>
      </w:r>
      <w:r>
        <w:rPr/>
        <w:t>problematic.</w:t>
      </w:r>
      <w:r>
        <w:rPr>
          <w:spacing w:val="-15"/>
        </w:rPr>
        <w:t> </w:t>
      </w:r>
      <w:r>
        <w:rPr/>
        <w:t>This</w:t>
      </w:r>
      <w:r>
        <w:rPr>
          <w:spacing w:val="-15"/>
        </w:rPr>
        <w:t> </w:t>
      </w:r>
      <w:r>
        <w:rPr/>
        <w:t>is</w:t>
      </w:r>
      <w:r>
        <w:rPr>
          <w:spacing w:val="-15"/>
        </w:rPr>
        <w:t> </w:t>
      </w:r>
      <w:r>
        <w:rPr/>
        <w:t>because,</w:t>
      </w:r>
      <w:r>
        <w:rPr>
          <w:spacing w:val="-15"/>
        </w:rPr>
        <w:t> </w:t>
      </w:r>
      <w:r>
        <w:rPr/>
        <w:t>given that the majority of the world’s population lives in emerging regions, investing in pressing problems</w:t>
      </w:r>
      <w:r>
        <w:rPr>
          <w:spacing w:val="19"/>
        </w:rPr>
        <w:t> </w:t>
      </w:r>
      <w:r>
        <w:rPr/>
        <w:t>(e.g.,</w:t>
      </w:r>
      <w:r>
        <w:rPr>
          <w:spacing w:val="-5"/>
        </w:rPr>
        <w:t> </w:t>
      </w:r>
      <w:r>
        <w:rPr/>
        <w:t>extreme poverty –</w:t>
      </w:r>
      <w:r>
        <w:rPr>
          <w:spacing w:val="-5"/>
        </w:rPr>
        <w:t> </w:t>
      </w:r>
      <w:r>
        <w:rPr/>
        <w:t>SDG</w:t>
      </w:r>
      <w:r>
        <w:rPr>
          <w:spacing w:val="-13"/>
        </w:rPr>
        <w:t> </w:t>
      </w:r>
      <w:r>
        <w:rPr/>
        <w:t>1,</w:t>
      </w:r>
      <w:r>
        <w:rPr>
          <w:spacing w:val="-5"/>
        </w:rPr>
        <w:t> </w:t>
      </w:r>
      <w:r>
        <w:rPr/>
        <w:t>hunger</w:t>
      </w:r>
      <w:r>
        <w:rPr>
          <w:spacing w:val="-11"/>
        </w:rPr>
        <w:t> </w:t>
      </w:r>
      <w:r>
        <w:rPr/>
        <w:t>elimination</w:t>
      </w:r>
      <w:r>
        <w:rPr>
          <w:spacing w:val="26"/>
        </w:rPr>
        <w:t> </w:t>
      </w:r>
      <w:r>
        <w:rPr/>
        <w:t>–</w:t>
      </w:r>
      <w:r>
        <w:rPr>
          <w:spacing w:val="-5"/>
        </w:rPr>
        <w:t> </w:t>
      </w:r>
      <w:r>
        <w:rPr/>
        <w:t>SDG</w:t>
      </w:r>
      <w:r>
        <w:rPr>
          <w:spacing w:val="-13"/>
        </w:rPr>
        <w:t> </w:t>
      </w:r>
      <w:r>
        <w:rPr/>
        <w:t>2,</w:t>
      </w:r>
      <w:r>
        <w:rPr>
          <w:spacing w:val="-5"/>
        </w:rPr>
        <w:t> </w:t>
      </w:r>
      <w:r>
        <w:rPr/>
        <w:t>inadequate</w:t>
      </w:r>
      <w:r>
        <w:rPr>
          <w:spacing w:val="-7"/>
        </w:rPr>
        <w:t> </w:t>
      </w:r>
      <w:r>
        <w:rPr/>
        <w:t>health</w:t>
      </w:r>
      <w:r>
        <w:rPr>
          <w:spacing w:val="-5"/>
        </w:rPr>
        <w:t> </w:t>
      </w:r>
      <w:r>
        <w:rPr/>
        <w:t>and well-being provision –</w:t>
      </w:r>
      <w:r>
        <w:rPr>
          <w:spacing w:val="-5"/>
        </w:rPr>
        <w:t> </w:t>
      </w:r>
      <w:r>
        <w:rPr/>
        <w:t>SDG 3) in</w:t>
      </w:r>
      <w:r>
        <w:rPr>
          <w:spacing w:val="-5"/>
        </w:rPr>
        <w:t> </w:t>
      </w:r>
      <w:r>
        <w:rPr/>
        <w:t>these regions will significantly contribute to</w:t>
      </w:r>
      <w:r>
        <w:rPr>
          <w:spacing w:val="-15"/>
        </w:rPr>
        <w:t> </w:t>
      </w:r>
      <w:r>
        <w:rPr/>
        <w:t>the</w:t>
      </w:r>
      <w:r>
        <w:rPr>
          <w:spacing w:val="-7"/>
        </w:rPr>
        <w:t> </w:t>
      </w:r>
      <w:r>
        <w:rPr/>
        <w:t>attainment of</w:t>
      </w:r>
      <w:r>
        <w:rPr>
          <w:spacing w:val="-15"/>
        </w:rPr>
        <w:t> </w:t>
      </w:r>
      <w:r>
        <w:rPr/>
        <w:t>several SDGs</w:t>
      </w:r>
      <w:r>
        <w:rPr>
          <w:spacing w:val="-15"/>
        </w:rPr>
        <w:t> </w:t>
      </w:r>
      <w:r>
        <w:rPr/>
        <w:t>(OECD,</w:t>
      </w:r>
      <w:r>
        <w:rPr>
          <w:spacing w:val="-15"/>
        </w:rPr>
        <w:t> </w:t>
      </w:r>
      <w:r>
        <w:rPr/>
        <w:t>2019).</w:t>
      </w:r>
      <w:r>
        <w:rPr>
          <w:spacing w:val="-2"/>
        </w:rPr>
        <w:t> </w:t>
      </w:r>
      <w:r>
        <w:rPr/>
        <w:t>Indeed,</w:t>
      </w:r>
      <w:r>
        <w:rPr>
          <w:spacing w:val="-15"/>
        </w:rPr>
        <w:t> </w:t>
      </w:r>
      <w:r>
        <w:rPr/>
        <w:t>the</w:t>
      </w:r>
      <w:r>
        <w:rPr>
          <w:spacing w:val="-15"/>
        </w:rPr>
        <w:t> </w:t>
      </w:r>
      <w:r>
        <w:rPr/>
        <w:t>most</w:t>
      </w:r>
      <w:r>
        <w:rPr>
          <w:spacing w:val="-9"/>
        </w:rPr>
        <w:t> </w:t>
      </w:r>
      <w:r>
        <w:rPr/>
        <w:t>significant financing</w:t>
      </w:r>
      <w:r>
        <w:rPr>
          <w:spacing w:val="-2"/>
        </w:rPr>
        <w:t> </w:t>
      </w:r>
      <w:r>
        <w:rPr/>
        <w:t>gap in</w:t>
      </w:r>
      <w:r>
        <w:rPr>
          <w:spacing w:val="-2"/>
        </w:rPr>
        <w:t> </w:t>
      </w:r>
      <w:r>
        <w:rPr/>
        <w:t>the</w:t>
      </w:r>
      <w:r>
        <w:rPr>
          <w:spacing w:val="-3"/>
        </w:rPr>
        <w:t> </w:t>
      </w:r>
      <w:r>
        <w:rPr/>
        <w:t>achievement of</w:t>
      </w:r>
      <w:r>
        <w:rPr>
          <w:spacing w:val="-15"/>
        </w:rPr>
        <w:t> </w:t>
      </w:r>
      <w:r>
        <w:rPr/>
        <w:t>the</w:t>
      </w:r>
      <w:r>
        <w:rPr>
          <w:spacing w:val="-15"/>
        </w:rPr>
        <w:t> </w:t>
      </w:r>
      <w:r>
        <w:rPr/>
        <w:t>SDGs</w:t>
      </w:r>
      <w:r>
        <w:rPr>
          <w:spacing w:val="-15"/>
        </w:rPr>
        <w:t> </w:t>
      </w:r>
      <w:r>
        <w:rPr/>
        <w:t>is</w:t>
      </w:r>
      <w:r>
        <w:rPr>
          <w:spacing w:val="-15"/>
        </w:rPr>
        <w:t> </w:t>
      </w:r>
      <w:r>
        <w:rPr/>
        <w:t>in</w:t>
      </w:r>
      <w:r>
        <w:rPr>
          <w:spacing w:val="-3"/>
        </w:rPr>
        <w:t> </w:t>
      </w:r>
      <w:r>
        <w:rPr/>
        <w:t>low-income countries</w:t>
      </w:r>
      <w:r>
        <w:rPr>
          <w:spacing w:val="-6"/>
        </w:rPr>
        <w:t> </w:t>
      </w:r>
      <w:r>
        <w:rPr/>
        <w:t>(Sachs</w:t>
      </w:r>
      <w:r>
        <w:rPr>
          <w:spacing w:val="-7"/>
        </w:rPr>
        <w:t> </w:t>
      </w:r>
      <w:r>
        <w:rPr>
          <w:i/>
        </w:rPr>
        <w:t>et al.</w:t>
      </w:r>
      <w:r>
        <w:rPr/>
        <w:t>,</w:t>
      </w:r>
      <w:r>
        <w:rPr>
          <w:spacing w:val="-5"/>
        </w:rPr>
        <w:t> </w:t>
      </w:r>
      <w:r>
        <w:rPr/>
        <w:t>2021;</w:t>
      </w:r>
      <w:r>
        <w:rPr>
          <w:spacing w:val="-12"/>
        </w:rPr>
        <w:t> </w:t>
      </w:r>
      <w:r>
        <w:rPr/>
        <w:t>International</w:t>
      </w:r>
      <w:r>
        <w:rPr>
          <w:spacing w:val="-15"/>
        </w:rPr>
        <w:t> </w:t>
      </w:r>
      <w:r>
        <w:rPr/>
        <w:t>Finance Corporation, 2019).</w:t>
      </w:r>
      <w:r>
        <w:rPr>
          <w:spacing w:val="-9"/>
        </w:rPr>
        <w:t> </w:t>
      </w:r>
      <w:r>
        <w:rPr/>
        <w:t>As</w:t>
      </w:r>
      <w:r>
        <w:rPr>
          <w:spacing w:val="-9"/>
        </w:rPr>
        <w:t> </w:t>
      </w:r>
      <w:r>
        <w:rPr/>
        <w:t>a</w:t>
      </w:r>
      <w:r>
        <w:rPr>
          <w:spacing w:val="-7"/>
        </w:rPr>
        <w:t> </w:t>
      </w:r>
      <w:r>
        <w:rPr/>
        <w:t>result, there</w:t>
      </w:r>
      <w:r>
        <w:rPr>
          <w:spacing w:val="-7"/>
        </w:rPr>
        <w:t> </w:t>
      </w:r>
      <w:r>
        <w:rPr/>
        <w:t>are</w:t>
      </w:r>
      <w:r>
        <w:rPr>
          <w:spacing w:val="-7"/>
        </w:rPr>
        <w:t> </w:t>
      </w:r>
      <w:r>
        <w:rPr/>
        <w:t>repeated</w:t>
      </w:r>
      <w:r>
        <w:rPr>
          <w:spacing w:val="-6"/>
        </w:rPr>
        <w:t> </w:t>
      </w:r>
      <w:r>
        <w:rPr/>
        <w:t>calls</w:t>
      </w:r>
      <w:r>
        <w:rPr>
          <w:spacing w:val="19"/>
        </w:rPr>
        <w:t> </w:t>
      </w:r>
      <w:r>
        <w:rPr/>
        <w:t>in</w:t>
      </w:r>
      <w:r>
        <w:rPr>
          <w:spacing w:val="-5"/>
        </w:rPr>
        <w:t> </w:t>
      </w:r>
      <w:r>
        <w:rPr/>
        <w:t>the</w:t>
      </w:r>
      <w:r>
        <w:rPr>
          <w:spacing w:val="-7"/>
        </w:rPr>
        <w:t> </w:t>
      </w:r>
      <w:r>
        <w:rPr/>
        <w:t>impact investing industry</w:t>
      </w:r>
      <w:r>
        <w:rPr>
          <w:spacing w:val="-15"/>
        </w:rPr>
        <w:t> </w:t>
      </w:r>
      <w:r>
        <w:rPr/>
        <w:t>for</w:t>
      </w:r>
      <w:r>
        <w:rPr>
          <w:spacing w:val="-10"/>
        </w:rPr>
        <w:t> </w:t>
      </w:r>
      <w:r>
        <w:rPr/>
        <w:t>allocating more capital</w:t>
      </w:r>
      <w:r>
        <w:rPr>
          <w:spacing w:val="-15"/>
        </w:rPr>
        <w:t> </w:t>
      </w:r>
      <w:r>
        <w:rPr/>
        <w:t>to</w:t>
      </w:r>
      <w:r>
        <w:rPr>
          <w:spacing w:val="-15"/>
        </w:rPr>
        <w:t> </w:t>
      </w:r>
      <w:r>
        <w:rPr/>
        <w:t>emerging</w:t>
      </w:r>
      <w:r>
        <w:rPr>
          <w:spacing w:val="-15"/>
        </w:rPr>
        <w:t> </w:t>
      </w:r>
      <w:r>
        <w:rPr/>
        <w:t>regions</w:t>
      </w:r>
      <w:r>
        <w:rPr>
          <w:spacing w:val="-5"/>
        </w:rPr>
        <w:t> </w:t>
      </w:r>
      <w:r>
        <w:rPr/>
        <w:t>(Mudaliar</w:t>
      </w:r>
      <w:r>
        <w:rPr>
          <w:spacing w:val="-9"/>
        </w:rPr>
        <w:t> </w:t>
      </w:r>
      <w:r>
        <w:rPr>
          <w:i/>
        </w:rPr>
        <w:t>et</w:t>
      </w:r>
      <w:r>
        <w:rPr>
          <w:i/>
          <w:spacing w:val="-12"/>
        </w:rPr>
        <w:t> </w:t>
      </w:r>
      <w:r>
        <w:rPr>
          <w:i/>
        </w:rPr>
        <w:t>al.</w:t>
      </w:r>
      <w:r>
        <w:rPr/>
        <w:t>,</w:t>
      </w:r>
      <w:r>
        <w:rPr>
          <w:spacing w:val="-6"/>
        </w:rPr>
        <w:t> </w:t>
      </w:r>
      <w:r>
        <w:rPr/>
        <w:t>2019;</w:t>
      </w:r>
      <w:r>
        <w:rPr>
          <w:spacing w:val="-12"/>
        </w:rPr>
        <w:t> </w:t>
      </w:r>
      <w:r>
        <w:rPr/>
        <w:t>United</w:t>
      </w:r>
      <w:r>
        <w:rPr>
          <w:spacing w:val="-15"/>
        </w:rPr>
        <w:t> </w:t>
      </w:r>
      <w:r>
        <w:rPr/>
        <w:t>Nations,</w:t>
      </w:r>
      <w:r>
        <w:rPr>
          <w:spacing w:val="-15"/>
        </w:rPr>
        <w:t> </w:t>
      </w:r>
      <w:r>
        <w:rPr/>
        <w:t>2020a).</w:t>
      </w:r>
      <w:r>
        <w:rPr>
          <w:spacing w:val="-15"/>
        </w:rPr>
        <w:t> </w:t>
      </w:r>
      <w:r>
        <w:rPr/>
        <w:t>However,</w:t>
      </w:r>
      <w:r>
        <w:rPr>
          <w:spacing w:val="-15"/>
        </w:rPr>
        <w:t> </w:t>
      </w:r>
      <w:r>
        <w:rPr/>
        <w:t>countries in many emerging regions (e.g., MENA,</w:t>
      </w:r>
      <w:r>
        <w:rPr>
          <w:spacing w:val="-3"/>
        </w:rPr>
        <w:t> </w:t>
      </w:r>
      <w:r>
        <w:rPr/>
        <w:t>LAC, Southeast Asia) may fail to attract adequate impact</w:t>
      </w:r>
      <w:r>
        <w:rPr>
          <w:spacing w:val="30"/>
        </w:rPr>
        <w:t> </w:t>
      </w:r>
      <w:r>
        <w:rPr/>
        <w:t>investments to address</w:t>
      </w:r>
      <w:r>
        <w:rPr>
          <w:spacing w:val="-8"/>
        </w:rPr>
        <w:t> </w:t>
      </w:r>
      <w:r>
        <w:rPr/>
        <w:t>their pressing</w:t>
      </w:r>
      <w:r>
        <w:rPr>
          <w:spacing w:val="37"/>
        </w:rPr>
        <w:t> </w:t>
      </w:r>
      <w:r>
        <w:rPr/>
        <w:t>social/environmental</w:t>
      </w:r>
      <w:r>
        <w:rPr>
          <w:spacing w:val="40"/>
        </w:rPr>
        <w:t> </w:t>
      </w:r>
      <w:r>
        <w:rPr/>
        <w:t>problems</w:t>
      </w:r>
      <w:r>
        <w:rPr>
          <w:spacing w:val="34"/>
        </w:rPr>
        <w:t> </w:t>
      </w:r>
      <w:r>
        <w:rPr/>
        <w:t>due</w:t>
      </w:r>
      <w:r>
        <w:rPr>
          <w:spacing w:val="-6"/>
        </w:rPr>
        <w:t> </w:t>
      </w:r>
      <w:r>
        <w:rPr/>
        <w:t>to the</w:t>
      </w:r>
      <w:r>
        <w:rPr>
          <w:spacing w:val="-6"/>
        </w:rPr>
        <w:t> </w:t>
      </w:r>
      <w:r>
        <w:rPr/>
        <w:t>sheer</w:t>
      </w:r>
    </w:p>
    <w:p>
      <w:pPr>
        <w:spacing w:after="0" w:line="480" w:lineRule="auto"/>
        <w:sectPr>
          <w:pgSz w:w="11910" w:h="16850"/>
          <w:pgMar w:header="0" w:footer="1005" w:top="1380" w:bottom="1200" w:left="1340" w:right="1300"/>
        </w:sectPr>
      </w:pPr>
    </w:p>
    <w:p>
      <w:pPr>
        <w:pStyle w:val="BodyText"/>
        <w:spacing w:line="477" w:lineRule="auto" w:before="72"/>
        <w:ind w:right="128"/>
      </w:pPr>
      <w:r>
        <w:rPr/>
        <w:t>lack of</w:t>
      </w:r>
      <w:r>
        <w:rPr>
          <w:spacing w:val="-8"/>
        </w:rPr>
        <w:t> </w:t>
      </w:r>
      <w:r>
        <w:rPr/>
        <w:t>dealflow.</w:t>
      </w:r>
      <w:r>
        <w:rPr>
          <w:spacing w:val="-15"/>
        </w:rPr>
        <w:t> </w:t>
      </w:r>
      <w:r>
        <w:rPr/>
        <w:t>It further</w:t>
      </w:r>
      <w:r>
        <w:rPr>
          <w:spacing w:val="-8"/>
        </w:rPr>
        <w:t> </w:t>
      </w:r>
      <w:r>
        <w:rPr/>
        <w:t>highlights</w:t>
      </w:r>
      <w:r>
        <w:rPr>
          <w:spacing w:val="-6"/>
        </w:rPr>
        <w:t> </w:t>
      </w:r>
      <w:r>
        <w:rPr/>
        <w:t>how the</w:t>
      </w:r>
      <w:r>
        <w:rPr>
          <w:spacing w:val="-4"/>
        </w:rPr>
        <w:t> </w:t>
      </w:r>
      <w:r>
        <w:rPr/>
        <w:t>demand-side</w:t>
      </w:r>
      <w:r>
        <w:rPr>
          <w:spacing w:val="-4"/>
        </w:rPr>
        <w:t> </w:t>
      </w:r>
      <w:r>
        <w:rPr/>
        <w:t>issues</w:t>
      </w:r>
      <w:r>
        <w:rPr>
          <w:spacing w:val="-6"/>
        </w:rPr>
        <w:t> </w:t>
      </w:r>
      <w:r>
        <w:rPr/>
        <w:t>(i.e.,</w:t>
      </w:r>
      <w:r>
        <w:rPr>
          <w:spacing w:val="-2"/>
        </w:rPr>
        <w:t> </w:t>
      </w:r>
      <w:r>
        <w:rPr/>
        <w:t>the</w:t>
      </w:r>
      <w:r>
        <w:rPr>
          <w:spacing w:val="-4"/>
        </w:rPr>
        <w:t> </w:t>
      </w:r>
      <w:r>
        <w:rPr/>
        <w:t>serious</w:t>
      </w:r>
      <w:r>
        <w:rPr>
          <w:spacing w:val="-6"/>
        </w:rPr>
        <w:t> </w:t>
      </w:r>
      <w:r>
        <w:rPr/>
        <w:t>shortage of dealflow)</w:t>
      </w:r>
      <w:r>
        <w:rPr/>
        <w:t> (Islam and Scott, 2022; Phillips and Johnson,</w:t>
      </w:r>
      <w:r>
        <w:rPr/>
        <w:t> 2021) could</w:t>
      </w:r>
      <w:r>
        <w:rPr/>
        <w:t> prevent</w:t>
      </w:r>
      <w:r>
        <w:rPr/>
        <w:t> the</w:t>
      </w:r>
      <w:r>
        <w:rPr/>
        <w:t> impact investing industry from investing in these low-income</w:t>
      </w:r>
      <w:r>
        <w:rPr/>
        <w:t> countries where the largest SDG investment</w:t>
      </w:r>
      <w:r>
        <w:rPr>
          <w:spacing w:val="-2"/>
        </w:rPr>
        <w:t> </w:t>
      </w:r>
      <w:r>
        <w:rPr/>
        <w:t>gap exists.</w:t>
      </w:r>
      <w:r>
        <w:rPr>
          <w:spacing w:val="-9"/>
        </w:rPr>
        <w:t> </w:t>
      </w:r>
      <w:r>
        <w:rPr/>
        <w:t>To address</w:t>
      </w:r>
      <w:r>
        <w:rPr>
          <w:spacing w:val="-12"/>
        </w:rPr>
        <w:t> </w:t>
      </w:r>
      <w:r>
        <w:rPr/>
        <w:t>this</w:t>
      </w:r>
      <w:r>
        <w:rPr>
          <w:spacing w:val="-12"/>
        </w:rPr>
        <w:t> </w:t>
      </w:r>
      <w:r>
        <w:rPr/>
        <w:t>issue, launching impact</w:t>
      </w:r>
      <w:r>
        <w:rPr>
          <w:spacing w:val="-2"/>
        </w:rPr>
        <w:t> </w:t>
      </w:r>
      <w:r>
        <w:rPr/>
        <w:t>investment readiness programs targeting</w:t>
      </w:r>
      <w:r>
        <w:rPr>
          <w:spacing w:val="-6"/>
        </w:rPr>
        <w:t> </w:t>
      </w:r>
      <w:r>
        <w:rPr/>
        <w:t>these</w:t>
      </w:r>
      <w:r>
        <w:rPr>
          <w:spacing w:val="-8"/>
        </w:rPr>
        <w:t> </w:t>
      </w:r>
      <w:r>
        <w:rPr/>
        <w:t>regions could be</w:t>
      </w:r>
      <w:r>
        <w:rPr>
          <w:spacing w:val="-8"/>
        </w:rPr>
        <w:t> </w:t>
      </w:r>
      <w:r>
        <w:rPr/>
        <w:t>helpful, which</w:t>
      </w:r>
      <w:r>
        <w:rPr>
          <w:spacing w:val="-6"/>
        </w:rPr>
        <w:t> </w:t>
      </w:r>
      <w:r>
        <w:rPr/>
        <w:t>could increase relevant dealflow</w:t>
      </w:r>
      <w:r>
        <w:rPr>
          <w:spacing w:val="-15"/>
        </w:rPr>
        <w:t> </w:t>
      </w:r>
      <w:r>
        <w:rPr/>
        <w:t>by providing capability building and other infrastructure-related support to the local impact investing </w:t>
      </w:r>
      <w:r>
        <w:rPr>
          <w:spacing w:val="-2"/>
        </w:rPr>
        <w:t>ecosystem.</w:t>
      </w:r>
    </w:p>
    <w:p>
      <w:pPr>
        <w:pStyle w:val="BodyText"/>
        <w:spacing w:line="480" w:lineRule="auto" w:before="179"/>
        <w:ind w:right="125"/>
      </w:pPr>
      <w:r>
        <w:rPr/>
        <w:t>Our</w:t>
      </w:r>
      <w:r>
        <w:rPr>
          <w:spacing w:val="-15"/>
        </w:rPr>
        <w:t> </w:t>
      </w:r>
      <w:r>
        <w:rPr/>
        <w:t>third</w:t>
      </w:r>
      <w:r>
        <w:rPr>
          <w:spacing w:val="-15"/>
        </w:rPr>
        <w:t> </w:t>
      </w:r>
      <w:r>
        <w:rPr/>
        <w:t>key</w:t>
      </w:r>
      <w:r>
        <w:rPr>
          <w:spacing w:val="-9"/>
        </w:rPr>
        <w:t> </w:t>
      </w:r>
      <w:r>
        <w:rPr/>
        <w:t>insight is to</w:t>
      </w:r>
      <w:r>
        <w:rPr>
          <w:spacing w:val="-15"/>
        </w:rPr>
        <w:t> </w:t>
      </w:r>
      <w:r>
        <w:rPr/>
        <w:t>highlight that</w:t>
      </w:r>
      <w:r>
        <w:rPr>
          <w:spacing w:val="-13"/>
        </w:rPr>
        <w:t> </w:t>
      </w:r>
      <w:r>
        <w:rPr/>
        <w:t>in the</w:t>
      </w:r>
      <w:r>
        <w:rPr>
          <w:spacing w:val="-15"/>
        </w:rPr>
        <w:t> </w:t>
      </w:r>
      <w:r>
        <w:rPr/>
        <w:t>absence of large numbers of impact investment deals </w:t>
      </w:r>
      <w:r>
        <w:rPr>
          <w:i/>
        </w:rPr>
        <w:t>directly </w:t>
      </w:r>
      <w:r>
        <w:rPr/>
        <w:t>targeting different SDGs, the impact investing market can still reasonably contribute</w:t>
      </w:r>
      <w:r>
        <w:rPr>
          <w:spacing w:val="-4"/>
        </w:rPr>
        <w:t> </w:t>
      </w:r>
      <w:r>
        <w:rPr/>
        <w:t>to some SDGs</w:t>
      </w:r>
      <w:r>
        <w:rPr>
          <w:spacing w:val="-1"/>
        </w:rPr>
        <w:t> </w:t>
      </w:r>
      <w:r>
        <w:rPr>
          <w:i/>
        </w:rPr>
        <w:t>indirectly</w:t>
      </w:r>
      <w:r>
        <w:rPr>
          <w:i/>
          <w:spacing w:val="40"/>
        </w:rPr>
        <w:t> </w:t>
      </w:r>
      <w:r>
        <w:rPr/>
        <w:t>but cannot do</w:t>
      </w:r>
      <w:r>
        <w:rPr>
          <w:spacing w:val="-2"/>
        </w:rPr>
        <w:t> </w:t>
      </w:r>
      <w:r>
        <w:rPr/>
        <w:t>the</w:t>
      </w:r>
      <w:r>
        <w:rPr>
          <w:spacing w:val="-4"/>
        </w:rPr>
        <w:t> </w:t>
      </w:r>
      <w:r>
        <w:rPr/>
        <w:t>same for some other</w:t>
      </w:r>
      <w:r>
        <w:rPr>
          <w:spacing w:val="-8"/>
        </w:rPr>
        <w:t> </w:t>
      </w:r>
      <w:r>
        <w:rPr/>
        <w:t>SDGs.</w:t>
      </w:r>
      <w:r>
        <w:rPr>
          <w:spacing w:val="-2"/>
        </w:rPr>
        <w:t> </w:t>
      </w:r>
      <w:r>
        <w:rPr/>
        <w:t>This study shows that many investment deals are indirectly linked to six SDGs</w:t>
      </w:r>
      <w:r>
        <w:rPr>
          <w:spacing w:val="-6"/>
        </w:rPr>
        <w:t> </w:t>
      </w:r>
      <w:r>
        <w:rPr/>
        <w:t>(SDGs 1, 2,</w:t>
      </w:r>
      <w:r>
        <w:rPr>
          <w:spacing w:val="-2"/>
        </w:rPr>
        <w:t> </w:t>
      </w:r>
      <w:r>
        <w:rPr/>
        <w:t>3, 5, 8, and 10). As a result, the impact investing market can still reasonably address, </w:t>
      </w:r>
      <w:r>
        <w:rPr>
          <w:i/>
        </w:rPr>
        <w:t>albeit indirectly</w:t>
      </w:r>
      <w:r>
        <w:rPr/>
        <w:t>, global problems such as poverty reduction (SDG 1), hunger elimination</w:t>
      </w:r>
      <w:r>
        <w:rPr>
          <w:spacing w:val="40"/>
        </w:rPr>
        <w:t> </w:t>
      </w:r>
      <w:r>
        <w:rPr/>
        <w:t>(SDG 2), access to quality healthcare (SDG 3), and gender</w:t>
      </w:r>
      <w:r>
        <w:rPr>
          <w:spacing w:val="-10"/>
        </w:rPr>
        <w:t> </w:t>
      </w:r>
      <w:r>
        <w:rPr/>
        <w:t>discrimination</w:t>
      </w:r>
      <w:r>
        <w:rPr>
          <w:spacing w:val="37"/>
        </w:rPr>
        <w:t> </w:t>
      </w:r>
      <w:r>
        <w:rPr/>
        <w:t>(SDG 5), among others, even if large numbers of investment deals may not </w:t>
      </w:r>
      <w:r>
        <w:rPr>
          <w:i/>
        </w:rPr>
        <w:t>directly</w:t>
      </w:r>
      <w:r>
        <w:rPr>
          <w:i/>
          <w:spacing w:val="40"/>
        </w:rPr>
        <w:t> </w:t>
      </w:r>
      <w:r>
        <w:rPr/>
        <w:t>target them.</w:t>
      </w:r>
    </w:p>
    <w:p>
      <w:pPr>
        <w:pStyle w:val="BodyText"/>
        <w:spacing w:line="480" w:lineRule="auto" w:before="164"/>
        <w:ind w:right="124"/>
      </w:pPr>
      <w:r>
        <w:rPr/>
        <w:t>In contrast, some other SDGs</w:t>
      </w:r>
      <w:r>
        <w:rPr>
          <w:spacing w:val="-5"/>
        </w:rPr>
        <w:t> </w:t>
      </w:r>
      <w:r>
        <w:rPr/>
        <w:t>(SDGs 4, 9, 11, and 17) are indirectly linked to only a small number of investment deals. That is, in the absence of large numbers of investment deals </w:t>
      </w:r>
      <w:r>
        <w:rPr>
          <w:i/>
        </w:rPr>
        <w:t>directly</w:t>
      </w:r>
      <w:r>
        <w:rPr>
          <w:i/>
          <w:spacing w:val="-15"/>
        </w:rPr>
        <w:t> </w:t>
      </w:r>
      <w:r>
        <w:rPr/>
        <w:t>addressing</w:t>
      </w:r>
      <w:r>
        <w:rPr>
          <w:spacing w:val="-9"/>
        </w:rPr>
        <w:t> </w:t>
      </w:r>
      <w:r>
        <w:rPr/>
        <w:t>these</w:t>
      </w:r>
      <w:r>
        <w:rPr>
          <w:spacing w:val="-15"/>
        </w:rPr>
        <w:t> </w:t>
      </w:r>
      <w:r>
        <w:rPr/>
        <w:t>SDGs,</w:t>
      </w:r>
      <w:r>
        <w:rPr>
          <w:spacing w:val="-15"/>
        </w:rPr>
        <w:t> </w:t>
      </w:r>
      <w:r>
        <w:rPr/>
        <w:t>the</w:t>
      </w:r>
      <w:r>
        <w:rPr>
          <w:spacing w:val="-15"/>
        </w:rPr>
        <w:t> </w:t>
      </w:r>
      <w:r>
        <w:rPr/>
        <w:t>impact investment market is</w:t>
      </w:r>
      <w:r>
        <w:rPr>
          <w:spacing w:val="-9"/>
        </w:rPr>
        <w:t> </w:t>
      </w:r>
      <w:r>
        <w:rPr/>
        <w:t>unlikely to</w:t>
      </w:r>
      <w:r>
        <w:rPr>
          <w:spacing w:val="-15"/>
        </w:rPr>
        <w:t> </w:t>
      </w:r>
      <w:r>
        <w:rPr/>
        <w:t>contribute</w:t>
      </w:r>
      <w:r>
        <w:rPr>
          <w:spacing w:val="-7"/>
        </w:rPr>
        <w:t> </w:t>
      </w:r>
      <w:r>
        <w:rPr/>
        <w:t>to</w:t>
      </w:r>
      <w:r>
        <w:rPr>
          <w:spacing w:val="-15"/>
        </w:rPr>
        <w:t> </w:t>
      </w:r>
      <w:r>
        <w:rPr/>
        <w:t>them effectively. This suggests that if the impact investing industry wishes to effectively address global problems such as access to quality education (SDG 4), availability of sustainable infrastructure</w:t>
      </w:r>
      <w:r>
        <w:rPr>
          <w:spacing w:val="-15"/>
        </w:rPr>
        <w:t> </w:t>
      </w:r>
      <w:r>
        <w:rPr/>
        <w:t>to</w:t>
      </w:r>
      <w:r>
        <w:rPr>
          <w:spacing w:val="-15"/>
        </w:rPr>
        <w:t> </w:t>
      </w:r>
      <w:r>
        <w:rPr/>
        <w:t>support</w:t>
      </w:r>
      <w:r>
        <w:rPr>
          <w:spacing w:val="-1"/>
        </w:rPr>
        <w:t> </w:t>
      </w:r>
      <w:r>
        <w:rPr/>
        <w:t>human</w:t>
      </w:r>
      <w:r>
        <w:rPr>
          <w:spacing w:val="-4"/>
        </w:rPr>
        <w:t> </w:t>
      </w:r>
      <w:r>
        <w:rPr/>
        <w:t>well-being</w:t>
      </w:r>
      <w:r>
        <w:rPr>
          <w:spacing w:val="10"/>
        </w:rPr>
        <w:t> </w:t>
      </w:r>
      <w:r>
        <w:rPr/>
        <w:t>(SDG</w:t>
      </w:r>
      <w:r>
        <w:rPr>
          <w:spacing w:val="-12"/>
        </w:rPr>
        <w:t> </w:t>
      </w:r>
      <w:r>
        <w:rPr/>
        <w:t>9),</w:t>
      </w:r>
      <w:r>
        <w:rPr>
          <w:spacing w:val="-4"/>
        </w:rPr>
        <w:t> </w:t>
      </w:r>
      <w:r>
        <w:rPr/>
        <w:t>and</w:t>
      </w:r>
      <w:r>
        <w:rPr>
          <w:spacing w:val="-5"/>
        </w:rPr>
        <w:t> </w:t>
      </w:r>
      <w:r>
        <w:rPr/>
        <w:t>access</w:t>
      </w:r>
      <w:r>
        <w:rPr>
          <w:spacing w:val="-7"/>
        </w:rPr>
        <w:t> </w:t>
      </w:r>
      <w:r>
        <w:rPr/>
        <w:t>to</w:t>
      </w:r>
      <w:r>
        <w:rPr>
          <w:spacing w:val="-15"/>
        </w:rPr>
        <w:t> </w:t>
      </w:r>
      <w:r>
        <w:rPr/>
        <w:t>safe</w:t>
      </w:r>
      <w:r>
        <w:rPr>
          <w:spacing w:val="-15"/>
        </w:rPr>
        <w:t> </w:t>
      </w:r>
      <w:r>
        <w:rPr/>
        <w:t>and</w:t>
      </w:r>
      <w:r>
        <w:rPr>
          <w:spacing w:val="-5"/>
        </w:rPr>
        <w:t> </w:t>
      </w:r>
      <w:r>
        <w:rPr/>
        <w:t>affordable</w:t>
      </w:r>
      <w:r>
        <w:rPr>
          <w:spacing w:val="-15"/>
        </w:rPr>
        <w:t> </w:t>
      </w:r>
      <w:r>
        <w:rPr/>
        <w:t>housing and</w:t>
      </w:r>
      <w:r>
        <w:rPr>
          <w:spacing w:val="-15"/>
        </w:rPr>
        <w:t> </w:t>
      </w:r>
      <w:r>
        <w:rPr/>
        <w:t>transportation</w:t>
      </w:r>
      <w:r>
        <w:rPr>
          <w:spacing w:val="-15"/>
        </w:rPr>
        <w:t> </w:t>
      </w:r>
      <w:r>
        <w:rPr/>
        <w:t>(SDG</w:t>
      </w:r>
      <w:r>
        <w:rPr>
          <w:spacing w:val="-15"/>
        </w:rPr>
        <w:t> </w:t>
      </w:r>
      <w:r>
        <w:rPr/>
        <w:t>11),</w:t>
      </w:r>
      <w:r>
        <w:rPr>
          <w:spacing w:val="-15"/>
        </w:rPr>
        <w:t> </w:t>
      </w:r>
      <w:r>
        <w:rPr/>
        <w:t>among</w:t>
      </w:r>
      <w:r>
        <w:rPr>
          <w:spacing w:val="-15"/>
        </w:rPr>
        <w:t> </w:t>
      </w:r>
      <w:r>
        <w:rPr/>
        <w:t>others,</w:t>
      </w:r>
      <w:r>
        <w:rPr>
          <w:spacing w:val="-15"/>
        </w:rPr>
        <w:t> </w:t>
      </w:r>
      <w:r>
        <w:rPr/>
        <w:t>there</w:t>
      </w:r>
      <w:r>
        <w:rPr>
          <w:spacing w:val="-15"/>
        </w:rPr>
        <w:t> </w:t>
      </w:r>
      <w:r>
        <w:rPr/>
        <w:t>need</w:t>
      </w:r>
      <w:r>
        <w:rPr>
          <w:spacing w:val="-11"/>
        </w:rPr>
        <w:t> </w:t>
      </w:r>
      <w:r>
        <w:rPr/>
        <w:t>to</w:t>
      </w:r>
      <w:r>
        <w:rPr>
          <w:spacing w:val="-15"/>
        </w:rPr>
        <w:t> </w:t>
      </w:r>
      <w:r>
        <w:rPr/>
        <w:t>be large</w:t>
      </w:r>
      <w:r>
        <w:rPr>
          <w:spacing w:val="-8"/>
        </w:rPr>
        <w:t> </w:t>
      </w:r>
      <w:r>
        <w:rPr/>
        <w:t>numbers of</w:t>
      </w:r>
      <w:r>
        <w:rPr>
          <w:spacing w:val="-11"/>
        </w:rPr>
        <w:t> </w:t>
      </w:r>
      <w:r>
        <w:rPr/>
        <w:t>investment</w:t>
      </w:r>
      <w:r>
        <w:rPr>
          <w:spacing w:val="-12"/>
        </w:rPr>
        <w:t> </w:t>
      </w:r>
      <w:r>
        <w:rPr/>
        <w:t>deals </w:t>
      </w:r>
      <w:r>
        <w:rPr>
          <w:i/>
        </w:rPr>
        <w:t>directly</w:t>
      </w:r>
      <w:r>
        <w:rPr>
          <w:i/>
          <w:spacing w:val="40"/>
        </w:rPr>
        <w:t> </w:t>
      </w:r>
      <w:r>
        <w:rPr/>
        <w:t>targeting them.</w:t>
      </w:r>
    </w:p>
    <w:p>
      <w:pPr>
        <w:spacing w:after="0" w:line="480" w:lineRule="auto"/>
        <w:sectPr>
          <w:pgSz w:w="11910" w:h="16850"/>
          <w:pgMar w:header="0" w:footer="1005" w:top="1380" w:bottom="1200" w:left="1340" w:right="1300"/>
        </w:sectPr>
      </w:pPr>
    </w:p>
    <w:p>
      <w:pPr>
        <w:pStyle w:val="BodyText"/>
        <w:spacing w:line="480" w:lineRule="auto" w:before="72"/>
        <w:ind w:right="122"/>
      </w:pPr>
      <w:r>
        <w:rPr/>
        <w:t>We believe that improvements in institutional arrangements in different</w:t>
      </w:r>
      <w:r>
        <w:rPr>
          <w:spacing w:val="-12"/>
        </w:rPr>
        <w:t> </w:t>
      </w:r>
      <w:r>
        <w:rPr/>
        <w:t>regions could play a significant role in addressing the imbalance in the SDG-dealflow-region nexus.</w:t>
      </w:r>
      <w:r>
        <w:rPr/>
        <w:t> To explain, there are</w:t>
      </w:r>
      <w:r>
        <w:rPr/>
        <w:t> institutional enablers whose absence could hamper impact investment activities in specific SDGs and regions (Islam, 2022a). These enablers are in the form of an adequate regulatory environment to allow the impact investment initiatives to function without hindrances, provision of tax reliefs, and guarantees and subsidies to make the initiatives economically viable. Besides</w:t>
      </w:r>
      <w:r>
        <w:rPr>
          <w:spacing w:val="-7"/>
        </w:rPr>
        <w:t> </w:t>
      </w:r>
      <w:r>
        <w:rPr/>
        <w:t>the government, other development agencies</w:t>
      </w:r>
      <w:r>
        <w:rPr>
          <w:spacing w:val="39"/>
        </w:rPr>
        <w:t> </w:t>
      </w:r>
      <w:r>
        <w:rPr/>
        <w:t>also need to</w:t>
      </w:r>
      <w:r>
        <w:rPr>
          <w:spacing w:val="-6"/>
        </w:rPr>
        <w:t> </w:t>
      </w:r>
      <w:r>
        <w:rPr/>
        <w:t>play their part in ensuring</w:t>
      </w:r>
      <w:r>
        <w:rPr/>
        <w:t> operational</w:t>
      </w:r>
      <w:r>
        <w:rPr/>
        <w:t> support and mitigating risks with co-financing and credit guarantees</w:t>
      </w:r>
      <w:r>
        <w:rPr>
          <w:spacing w:val="-10"/>
        </w:rPr>
        <w:t> </w:t>
      </w:r>
      <w:r>
        <w:rPr/>
        <w:t>(OECD</w:t>
      </w:r>
      <w:r>
        <w:rPr>
          <w:spacing w:val="-12"/>
        </w:rPr>
        <w:t> </w:t>
      </w:r>
      <w:r>
        <w:rPr/>
        <w:t>and</w:t>
      </w:r>
      <w:r>
        <w:rPr>
          <w:spacing w:val="-4"/>
        </w:rPr>
        <w:t> </w:t>
      </w:r>
      <w:r>
        <w:rPr/>
        <w:t>UNDP,</w:t>
      </w:r>
      <w:r>
        <w:rPr>
          <w:spacing w:val="-15"/>
        </w:rPr>
        <w:t> </w:t>
      </w:r>
      <w:r>
        <w:rPr/>
        <w:t>2021).</w:t>
      </w:r>
      <w:r>
        <w:rPr>
          <w:spacing w:val="-15"/>
        </w:rPr>
        <w:t> </w:t>
      </w:r>
      <w:r>
        <w:rPr/>
        <w:t>Promoting</w:t>
      </w:r>
      <w:r>
        <w:rPr>
          <w:spacing w:val="-4"/>
        </w:rPr>
        <w:t> </w:t>
      </w:r>
      <w:r>
        <w:rPr/>
        <w:t>the</w:t>
      </w:r>
      <w:r>
        <w:rPr>
          <w:spacing w:val="-6"/>
        </w:rPr>
        <w:t> </w:t>
      </w:r>
      <w:r>
        <w:rPr/>
        <w:t>idea</w:t>
      </w:r>
      <w:r>
        <w:rPr>
          <w:spacing w:val="-6"/>
        </w:rPr>
        <w:t> </w:t>
      </w:r>
      <w:r>
        <w:rPr/>
        <w:t>of impact investment,</w:t>
      </w:r>
      <w:r>
        <w:rPr>
          <w:spacing w:val="-3"/>
        </w:rPr>
        <w:t> </w:t>
      </w:r>
      <w:r>
        <w:rPr/>
        <w:t>especially</w:t>
      </w:r>
      <w:r>
        <w:rPr>
          <w:spacing w:val="-3"/>
        </w:rPr>
        <w:t> </w:t>
      </w:r>
      <w:r>
        <w:rPr/>
        <w:t>for SGDs</w:t>
      </w:r>
      <w:r>
        <w:rPr>
          <w:spacing w:val="-8"/>
        </w:rPr>
        <w:t> </w:t>
      </w:r>
      <w:r>
        <w:rPr/>
        <w:t>not being supported by</w:t>
      </w:r>
      <w:r>
        <w:rPr>
          <w:spacing w:val="-4"/>
        </w:rPr>
        <w:t> </w:t>
      </w:r>
      <w:r>
        <w:rPr/>
        <w:t>the</w:t>
      </w:r>
      <w:r>
        <w:rPr>
          <w:spacing w:val="-6"/>
        </w:rPr>
        <w:t> </w:t>
      </w:r>
      <w:r>
        <w:rPr/>
        <w:t>current initiatives, could also improve the</w:t>
      </w:r>
      <w:r>
        <w:rPr>
          <w:spacing w:val="-6"/>
        </w:rPr>
        <w:t> </w:t>
      </w:r>
      <w:r>
        <w:rPr/>
        <w:t>credibility of</w:t>
      </w:r>
      <w:r>
        <w:rPr>
          <w:spacing w:val="-10"/>
        </w:rPr>
        <w:t> </w:t>
      </w:r>
      <w:r>
        <w:rPr/>
        <w:t>the investment initiatives (Muir </w:t>
      </w:r>
      <w:r>
        <w:rPr>
          <w:i/>
        </w:rPr>
        <w:t>et al.</w:t>
      </w:r>
      <w:r>
        <w:rPr/>
        <w:t>, 2017), which in turn could engage impact investors in activities beyond those in which they are currently investing.</w:t>
      </w:r>
    </w:p>
    <w:p>
      <w:pPr>
        <w:pStyle w:val="BodyText"/>
        <w:spacing w:line="480" w:lineRule="auto" w:before="163"/>
        <w:ind w:right="123"/>
      </w:pPr>
      <w:r>
        <w:rPr/>
        <w:t>However,</w:t>
      </w:r>
      <w:r>
        <w:rPr>
          <w:spacing w:val="-3"/>
        </w:rPr>
        <w:t> </w:t>
      </w:r>
      <w:r>
        <w:rPr/>
        <w:t>it needs</w:t>
      </w:r>
      <w:r>
        <w:rPr>
          <w:spacing w:val="-7"/>
        </w:rPr>
        <w:t> </w:t>
      </w:r>
      <w:r>
        <w:rPr/>
        <w:t>to</w:t>
      </w:r>
      <w:r>
        <w:rPr>
          <w:spacing w:val="-3"/>
        </w:rPr>
        <w:t> </w:t>
      </w:r>
      <w:r>
        <w:rPr/>
        <w:t>be</w:t>
      </w:r>
      <w:r>
        <w:rPr>
          <w:spacing w:val="-5"/>
        </w:rPr>
        <w:t> </w:t>
      </w:r>
      <w:r>
        <w:rPr/>
        <w:t>noted</w:t>
      </w:r>
      <w:r>
        <w:rPr>
          <w:spacing w:val="-4"/>
        </w:rPr>
        <w:t> </w:t>
      </w:r>
      <w:r>
        <w:rPr/>
        <w:t>that excessive institutional or other</w:t>
      </w:r>
      <w:r>
        <w:rPr>
          <w:spacing w:val="-5"/>
        </w:rPr>
        <w:t> </w:t>
      </w:r>
      <w:r>
        <w:rPr/>
        <w:t>support could create moral hazards</w:t>
      </w:r>
      <w:r>
        <w:rPr>
          <w:spacing w:val="-11"/>
        </w:rPr>
        <w:t> </w:t>
      </w:r>
      <w:r>
        <w:rPr/>
        <w:t>that</w:t>
      </w:r>
      <w:r>
        <w:rPr>
          <w:spacing w:val="-9"/>
        </w:rPr>
        <w:t> </w:t>
      </w:r>
      <w:r>
        <w:rPr/>
        <w:t>could</w:t>
      </w:r>
      <w:r>
        <w:rPr>
          <w:spacing w:val="-3"/>
        </w:rPr>
        <w:t> </w:t>
      </w:r>
      <w:r>
        <w:rPr/>
        <w:t>tilt the</w:t>
      </w:r>
      <w:r>
        <w:rPr>
          <w:spacing w:val="-4"/>
        </w:rPr>
        <w:t> </w:t>
      </w:r>
      <w:r>
        <w:rPr/>
        <w:t>balance toward</w:t>
      </w:r>
      <w:r>
        <w:rPr>
          <w:spacing w:val="-3"/>
        </w:rPr>
        <w:t> </w:t>
      </w:r>
      <w:r>
        <w:rPr/>
        <w:t>financial</w:t>
      </w:r>
      <w:r>
        <w:rPr>
          <w:spacing w:val="-9"/>
        </w:rPr>
        <w:t> </w:t>
      </w:r>
      <w:r>
        <w:rPr/>
        <w:t>returns</w:t>
      </w:r>
      <w:r>
        <w:rPr>
          <w:spacing w:val="-6"/>
        </w:rPr>
        <w:t> </w:t>
      </w:r>
      <w:r>
        <w:rPr/>
        <w:t>at the</w:t>
      </w:r>
      <w:r>
        <w:rPr>
          <w:spacing w:val="-4"/>
        </w:rPr>
        <w:t> </w:t>
      </w:r>
      <w:r>
        <w:rPr/>
        <w:t>expense</w:t>
      </w:r>
      <w:r>
        <w:rPr>
          <w:spacing w:val="-4"/>
        </w:rPr>
        <w:t> </w:t>
      </w:r>
      <w:r>
        <w:rPr/>
        <w:t>of social benefits</w:t>
      </w:r>
      <w:r>
        <w:rPr>
          <w:spacing w:val="-15"/>
        </w:rPr>
        <w:t> </w:t>
      </w:r>
      <w:r>
        <w:rPr/>
        <w:t>for the beneficiaries (Muir </w:t>
      </w:r>
      <w:r>
        <w:rPr>
          <w:i/>
        </w:rPr>
        <w:t>et al.</w:t>
      </w:r>
      <w:r>
        <w:rPr/>
        <w:t>, 2017). Also, to note is the variety of contexts of the different regions of the world</w:t>
      </w:r>
      <w:r>
        <w:rPr/>
        <w:t> where impact investments are needed. Recent research has noted the importance of institutional differences among countries in having greater levels of SDG achievement</w:t>
      </w:r>
      <w:r>
        <w:rPr>
          <w:spacing w:val="-9"/>
        </w:rPr>
        <w:t> </w:t>
      </w:r>
      <w:r>
        <w:rPr/>
        <w:t>(Reverte,</w:t>
      </w:r>
      <w:r>
        <w:rPr>
          <w:spacing w:val="-8"/>
        </w:rPr>
        <w:t> </w:t>
      </w:r>
      <w:r>
        <w:rPr/>
        <w:t>2022).</w:t>
      </w:r>
      <w:r>
        <w:rPr>
          <w:spacing w:val="-9"/>
        </w:rPr>
        <w:t> </w:t>
      </w:r>
      <w:r>
        <w:rPr/>
        <w:t>The next</w:t>
      </w:r>
      <w:r>
        <w:rPr>
          <w:spacing w:val="-15"/>
        </w:rPr>
        <w:t> </w:t>
      </w:r>
      <w:r>
        <w:rPr/>
        <w:t>stage</w:t>
      </w:r>
      <w:r>
        <w:rPr>
          <w:spacing w:val="-15"/>
        </w:rPr>
        <w:t> </w:t>
      </w:r>
      <w:r>
        <w:rPr/>
        <w:t>of</w:t>
      </w:r>
      <w:r>
        <w:rPr>
          <w:spacing w:val="-14"/>
        </w:rPr>
        <w:t> </w:t>
      </w:r>
      <w:r>
        <w:rPr/>
        <w:t>research</w:t>
      </w:r>
      <w:r>
        <w:rPr>
          <w:spacing w:val="9"/>
        </w:rPr>
        <w:t> </w:t>
      </w:r>
      <w:r>
        <w:rPr/>
        <w:t>could</w:t>
      </w:r>
      <w:r>
        <w:rPr>
          <w:spacing w:val="-8"/>
        </w:rPr>
        <w:t> </w:t>
      </w:r>
      <w:r>
        <w:rPr/>
        <w:t>evaluate</w:t>
      </w:r>
      <w:r>
        <w:rPr>
          <w:spacing w:val="-10"/>
        </w:rPr>
        <w:t> </w:t>
      </w:r>
      <w:r>
        <w:rPr/>
        <w:t>how</w:t>
      </w:r>
      <w:r>
        <w:rPr>
          <w:spacing w:val="-15"/>
        </w:rPr>
        <w:t> </w:t>
      </w:r>
      <w:r>
        <w:rPr/>
        <w:t>these</w:t>
      </w:r>
      <w:r>
        <w:rPr>
          <w:spacing w:val="-10"/>
        </w:rPr>
        <w:t> </w:t>
      </w:r>
      <w:r>
        <w:rPr/>
        <w:t>institutional differences</w:t>
      </w:r>
      <w:r>
        <w:rPr>
          <w:spacing w:val="-2"/>
        </w:rPr>
        <w:t> </w:t>
      </w:r>
      <w:r>
        <w:rPr/>
        <w:t>affect</w:t>
      </w:r>
      <w:r>
        <w:rPr>
          <w:spacing w:val="-7"/>
        </w:rPr>
        <w:t> </w:t>
      </w:r>
      <w:r>
        <w:rPr/>
        <w:t>the</w:t>
      </w:r>
      <w:r>
        <w:rPr>
          <w:spacing w:val="-1"/>
        </w:rPr>
        <w:t> </w:t>
      </w:r>
      <w:r>
        <w:rPr/>
        <w:t>achievement</w:t>
      </w:r>
      <w:r>
        <w:rPr>
          <w:spacing w:val="38"/>
        </w:rPr>
        <w:t> </w:t>
      </w:r>
      <w:r>
        <w:rPr/>
        <w:t>of individual SDGs so that appropriate</w:t>
      </w:r>
      <w:r>
        <w:rPr>
          <w:spacing w:val="29"/>
        </w:rPr>
        <w:t> </w:t>
      </w:r>
      <w:r>
        <w:rPr/>
        <w:t>steps</w:t>
      </w:r>
      <w:r>
        <w:rPr>
          <w:spacing w:val="-4"/>
        </w:rPr>
        <w:t> </w:t>
      </w:r>
      <w:r>
        <w:rPr/>
        <w:t>can be taken to alleviate the SDG-dealflow-region imbalance.</w:t>
      </w:r>
    </w:p>
    <w:p>
      <w:pPr>
        <w:pStyle w:val="BodyText"/>
        <w:spacing w:before="8"/>
        <w:ind w:left="0"/>
        <w:jc w:val="left"/>
        <w:rPr>
          <w:sz w:val="20"/>
        </w:rPr>
      </w:pPr>
    </w:p>
    <w:p>
      <w:pPr>
        <w:pStyle w:val="Heading1"/>
        <w:numPr>
          <w:ilvl w:val="0"/>
          <w:numId w:val="1"/>
        </w:numPr>
        <w:tabs>
          <w:tab w:pos="342" w:val="left" w:leader="none"/>
        </w:tabs>
        <w:spacing w:line="240" w:lineRule="auto" w:before="0" w:after="0"/>
        <w:ind w:left="342" w:right="0" w:hanging="241"/>
        <w:jc w:val="both"/>
      </w:pPr>
      <w:r>
        <w:rPr>
          <w:spacing w:val="-2"/>
        </w:rPr>
        <w:t>Conclusion</w:t>
      </w:r>
    </w:p>
    <w:p>
      <w:pPr>
        <w:pStyle w:val="BodyText"/>
        <w:spacing w:before="7"/>
        <w:ind w:left="0"/>
        <w:jc w:val="left"/>
        <w:rPr>
          <w:b/>
          <w:sz w:val="23"/>
        </w:rPr>
      </w:pPr>
    </w:p>
    <w:p>
      <w:pPr>
        <w:pStyle w:val="BodyText"/>
        <w:spacing w:line="482" w:lineRule="auto"/>
        <w:ind w:right="125"/>
      </w:pPr>
      <w:r>
        <w:rPr/>
        <w:t>The</w:t>
      </w:r>
      <w:r>
        <w:rPr>
          <w:spacing w:val="-4"/>
        </w:rPr>
        <w:t> </w:t>
      </w:r>
      <w:r>
        <w:rPr/>
        <w:t>current study</w:t>
      </w:r>
      <w:r>
        <w:rPr>
          <w:spacing w:val="-15"/>
        </w:rPr>
        <w:t> </w:t>
      </w:r>
      <w:r>
        <w:rPr/>
        <w:t>has</w:t>
      </w:r>
      <w:r>
        <w:rPr>
          <w:spacing w:val="-10"/>
        </w:rPr>
        <w:t> </w:t>
      </w:r>
      <w:r>
        <w:rPr/>
        <w:t>investigated the</w:t>
      </w:r>
      <w:r>
        <w:rPr>
          <w:spacing w:val="-8"/>
        </w:rPr>
        <w:t> </w:t>
      </w:r>
      <w:r>
        <w:rPr/>
        <w:t>linkage between</w:t>
      </w:r>
      <w:r>
        <w:rPr>
          <w:spacing w:val="-15"/>
        </w:rPr>
        <w:t> </w:t>
      </w:r>
      <w:r>
        <w:rPr/>
        <w:t>available</w:t>
      </w:r>
      <w:r>
        <w:rPr>
          <w:spacing w:val="33"/>
        </w:rPr>
        <w:t> </w:t>
      </w:r>
      <w:r>
        <w:rPr/>
        <w:t>impact investment deals</w:t>
      </w:r>
      <w:r>
        <w:rPr>
          <w:spacing w:val="-10"/>
        </w:rPr>
        <w:t> </w:t>
      </w:r>
      <w:r>
        <w:rPr/>
        <w:t>and SDGs.</w:t>
      </w:r>
      <w:r>
        <w:rPr>
          <w:spacing w:val="-15"/>
        </w:rPr>
        <w:t> </w:t>
      </w:r>
      <w:r>
        <w:rPr/>
        <w:t>It</w:t>
      </w:r>
      <w:r>
        <w:rPr>
          <w:spacing w:val="-15"/>
        </w:rPr>
        <w:t> </w:t>
      </w:r>
      <w:r>
        <w:rPr/>
        <w:t>shows</w:t>
      </w:r>
      <w:r>
        <w:rPr>
          <w:spacing w:val="-15"/>
        </w:rPr>
        <w:t> </w:t>
      </w:r>
      <w:r>
        <w:rPr/>
        <w:t>that</w:t>
      </w:r>
      <w:r>
        <w:rPr>
          <w:spacing w:val="-15"/>
        </w:rPr>
        <w:t> </w:t>
      </w:r>
      <w:r>
        <w:rPr/>
        <w:t>most</w:t>
      </w:r>
      <w:r>
        <w:rPr>
          <w:spacing w:val="-15"/>
        </w:rPr>
        <w:t> </w:t>
      </w:r>
      <w:r>
        <w:rPr/>
        <w:t>investment</w:t>
      </w:r>
      <w:r>
        <w:rPr>
          <w:spacing w:val="-6"/>
        </w:rPr>
        <w:t> </w:t>
      </w:r>
      <w:r>
        <w:rPr/>
        <w:t>deals</w:t>
      </w:r>
      <w:r>
        <w:rPr>
          <w:spacing w:val="-15"/>
        </w:rPr>
        <w:t> </w:t>
      </w:r>
      <w:r>
        <w:rPr/>
        <w:t>are</w:t>
      </w:r>
      <w:r>
        <w:rPr>
          <w:spacing w:val="-3"/>
        </w:rPr>
        <w:t> </w:t>
      </w:r>
      <w:r>
        <w:rPr/>
        <w:t>directly</w:t>
      </w:r>
      <w:r>
        <w:rPr>
          <w:spacing w:val="-15"/>
        </w:rPr>
        <w:t> </w:t>
      </w:r>
      <w:r>
        <w:rPr/>
        <w:t>or</w:t>
      </w:r>
      <w:r>
        <w:rPr>
          <w:spacing w:val="-8"/>
        </w:rPr>
        <w:t> </w:t>
      </w:r>
      <w:r>
        <w:rPr/>
        <w:t>indirectly</w:t>
      </w:r>
      <w:r>
        <w:rPr>
          <w:spacing w:val="-2"/>
        </w:rPr>
        <w:t> </w:t>
      </w:r>
      <w:r>
        <w:rPr/>
        <w:t>linked</w:t>
      </w:r>
      <w:r>
        <w:rPr>
          <w:spacing w:val="-3"/>
        </w:rPr>
        <w:t> </w:t>
      </w:r>
      <w:r>
        <w:rPr/>
        <w:t>to</w:t>
      </w:r>
      <w:r>
        <w:rPr>
          <w:spacing w:val="-15"/>
        </w:rPr>
        <w:t> </w:t>
      </w:r>
      <w:r>
        <w:rPr/>
        <w:t>only</w:t>
      </w:r>
      <w:r>
        <w:rPr>
          <w:spacing w:val="-2"/>
        </w:rPr>
        <w:t> </w:t>
      </w:r>
      <w:r>
        <w:rPr/>
        <w:t>a</w:t>
      </w:r>
      <w:r>
        <w:rPr>
          <w:spacing w:val="-15"/>
        </w:rPr>
        <w:t> </w:t>
      </w:r>
      <w:r>
        <w:rPr/>
        <w:t>few</w:t>
      </w:r>
      <w:r>
        <w:rPr>
          <w:spacing w:val="-11"/>
        </w:rPr>
        <w:t> </w:t>
      </w:r>
      <w:r>
        <w:rPr/>
        <w:t>SDGs. This highlights a significant SDG-dealflow gap in the impact investing market. Also, most investment</w:t>
      </w:r>
      <w:r>
        <w:rPr>
          <w:spacing w:val="-2"/>
        </w:rPr>
        <w:t> </w:t>
      </w:r>
      <w:r>
        <w:rPr/>
        <w:t>deals</w:t>
      </w:r>
      <w:r>
        <w:rPr>
          <w:spacing w:val="-19"/>
        </w:rPr>
        <w:t> </w:t>
      </w:r>
      <w:r>
        <w:rPr/>
        <w:t>directly</w:t>
      </w:r>
      <w:r>
        <w:rPr>
          <w:spacing w:val="-16"/>
        </w:rPr>
        <w:t> </w:t>
      </w:r>
      <w:r>
        <w:rPr/>
        <w:t>or</w:t>
      </w:r>
      <w:r>
        <w:rPr>
          <w:spacing w:val="-8"/>
        </w:rPr>
        <w:t> </w:t>
      </w:r>
      <w:r>
        <w:rPr/>
        <w:t>indirectly</w:t>
      </w:r>
      <w:r>
        <w:rPr>
          <w:spacing w:val="-2"/>
        </w:rPr>
        <w:t> </w:t>
      </w:r>
      <w:r>
        <w:rPr/>
        <w:t>contributing</w:t>
      </w:r>
      <w:r>
        <w:rPr>
          <w:spacing w:val="-16"/>
        </w:rPr>
        <w:t> </w:t>
      </w:r>
      <w:r>
        <w:rPr/>
        <w:t>to</w:t>
      </w:r>
      <w:r>
        <w:rPr>
          <w:spacing w:val="-16"/>
        </w:rPr>
        <w:t> </w:t>
      </w:r>
      <w:r>
        <w:rPr/>
        <w:t>the</w:t>
      </w:r>
      <w:r>
        <w:rPr>
          <w:spacing w:val="-17"/>
        </w:rPr>
        <w:t> </w:t>
      </w:r>
      <w:r>
        <w:rPr/>
        <w:t>SDGs</w:t>
      </w:r>
      <w:r>
        <w:rPr>
          <w:spacing w:val="-34"/>
        </w:rPr>
        <w:t> </w:t>
      </w:r>
      <w:r>
        <w:rPr/>
        <w:t>are</w:t>
      </w:r>
      <w:r>
        <w:rPr>
          <w:spacing w:val="-3"/>
        </w:rPr>
        <w:t> </w:t>
      </w:r>
      <w:r>
        <w:rPr/>
        <w:t>highly</w:t>
      </w:r>
      <w:r>
        <w:rPr>
          <w:spacing w:val="12"/>
        </w:rPr>
        <w:t> </w:t>
      </w:r>
      <w:r>
        <w:rPr/>
        <w:t>concentrated</w:t>
      </w:r>
      <w:r>
        <w:rPr>
          <w:spacing w:val="-16"/>
        </w:rPr>
        <w:t> </w:t>
      </w:r>
      <w:r>
        <w:rPr/>
        <w:t>in</w:t>
      </w:r>
      <w:r>
        <w:rPr>
          <w:spacing w:val="-2"/>
        </w:rPr>
        <w:t> </w:t>
      </w:r>
      <w:r>
        <w:rPr>
          <w:spacing w:val="-4"/>
        </w:rPr>
        <w:t>only</w:t>
      </w:r>
    </w:p>
    <w:p>
      <w:pPr>
        <w:spacing w:after="0" w:line="482" w:lineRule="auto"/>
        <w:sectPr>
          <w:pgSz w:w="11910" w:h="16850"/>
          <w:pgMar w:header="0" w:footer="1005" w:top="1380" w:bottom="1200" w:left="1340" w:right="1300"/>
        </w:sectPr>
      </w:pPr>
    </w:p>
    <w:p>
      <w:pPr>
        <w:pStyle w:val="BodyText"/>
        <w:spacing w:line="475" w:lineRule="auto" w:before="72"/>
        <w:ind w:right="120"/>
      </w:pPr>
      <w:r>
        <w:rPr/>
        <w:t>two</w:t>
      </w:r>
      <w:r>
        <w:rPr>
          <w:spacing w:val="-15"/>
        </w:rPr>
        <w:t> </w:t>
      </w:r>
      <w:r>
        <w:rPr/>
        <w:t>regions.</w:t>
      </w:r>
      <w:r>
        <w:rPr>
          <w:spacing w:val="-15"/>
        </w:rPr>
        <w:t> </w:t>
      </w:r>
      <w:r>
        <w:rPr/>
        <w:t>This</w:t>
      </w:r>
      <w:r>
        <w:rPr>
          <w:spacing w:val="-8"/>
        </w:rPr>
        <w:t> </w:t>
      </w:r>
      <w:r>
        <w:rPr/>
        <w:t>suggests</w:t>
      </w:r>
      <w:r>
        <w:rPr>
          <w:spacing w:val="-11"/>
        </w:rPr>
        <w:t> </w:t>
      </w:r>
      <w:r>
        <w:rPr/>
        <w:t>a</w:t>
      </w:r>
      <w:r>
        <w:rPr>
          <w:spacing w:val="-9"/>
        </w:rPr>
        <w:t> </w:t>
      </w:r>
      <w:r>
        <w:rPr/>
        <w:t>significant imbalance in</w:t>
      </w:r>
      <w:r>
        <w:rPr>
          <w:spacing w:val="-7"/>
        </w:rPr>
        <w:t> </w:t>
      </w:r>
      <w:r>
        <w:rPr/>
        <w:t>the</w:t>
      </w:r>
      <w:r>
        <w:rPr>
          <w:spacing w:val="-15"/>
        </w:rPr>
        <w:t> </w:t>
      </w:r>
      <w:r>
        <w:rPr/>
        <w:t>SDG-dealflow-region</w:t>
      </w:r>
      <w:r>
        <w:rPr>
          <w:spacing w:val="-15"/>
        </w:rPr>
        <w:t> </w:t>
      </w:r>
      <w:r>
        <w:rPr/>
        <w:t>nexus.</w:t>
      </w:r>
      <w:r>
        <w:rPr>
          <w:spacing w:val="-8"/>
        </w:rPr>
        <w:t> </w:t>
      </w:r>
      <w:r>
        <w:rPr/>
        <w:t>Overall, we</w:t>
      </w:r>
      <w:r>
        <w:rPr>
          <w:spacing w:val="-10"/>
        </w:rPr>
        <w:t> </w:t>
      </w:r>
      <w:r>
        <w:rPr/>
        <w:t>recommend</w:t>
      </w:r>
      <w:r>
        <w:rPr>
          <w:spacing w:val="27"/>
        </w:rPr>
        <w:t> </w:t>
      </w:r>
      <w:r>
        <w:rPr/>
        <w:t>that</w:t>
      </w:r>
      <w:r>
        <w:rPr>
          <w:spacing w:val="-10"/>
        </w:rPr>
        <w:t> </w:t>
      </w:r>
      <w:r>
        <w:rPr/>
        <w:t>for</w:t>
      </w:r>
      <w:r>
        <w:rPr>
          <w:spacing w:val="-9"/>
        </w:rPr>
        <w:t> </w:t>
      </w:r>
      <w:r>
        <w:rPr/>
        <w:t>impact investing to</w:t>
      </w:r>
      <w:r>
        <w:rPr>
          <w:spacing w:val="-4"/>
        </w:rPr>
        <w:t> </w:t>
      </w:r>
      <w:r>
        <w:rPr/>
        <w:t>be equitably effective</w:t>
      </w:r>
      <w:r>
        <w:rPr>
          <w:spacing w:val="-15"/>
        </w:rPr>
        <w:t> </w:t>
      </w:r>
      <w:r>
        <w:rPr/>
        <w:t>in contributing</w:t>
      </w:r>
      <w:r>
        <w:rPr>
          <w:spacing w:val="-4"/>
        </w:rPr>
        <w:t> </w:t>
      </w:r>
      <w:r>
        <w:rPr/>
        <w:t>to</w:t>
      </w:r>
      <w:r>
        <w:rPr>
          <w:spacing w:val="-4"/>
        </w:rPr>
        <w:t> </w:t>
      </w:r>
      <w:r>
        <w:rPr/>
        <w:t>all SDGs, the reasons behind the imbalance in the SDG-dealflow-region</w:t>
      </w:r>
      <w:r>
        <w:rPr/>
        <w:t> nexus</w:t>
      </w:r>
      <w:r>
        <w:rPr/>
        <w:t> need</w:t>
      </w:r>
      <w:r>
        <w:rPr/>
        <w:t> to</w:t>
      </w:r>
      <w:r>
        <w:rPr/>
        <w:t> be</w:t>
      </w:r>
      <w:r>
        <w:rPr/>
        <w:t> better understood and addressed effectively. We offer some specific suggestions in this regard.</w:t>
      </w:r>
    </w:p>
    <w:p>
      <w:pPr>
        <w:pStyle w:val="BodyText"/>
        <w:spacing w:line="480" w:lineRule="auto" w:before="186"/>
        <w:ind w:right="126"/>
      </w:pPr>
      <w:r>
        <w:rPr/>
        <w:t>The current study has some limitations that offer several promising future research opportunities. First, due</w:t>
      </w:r>
      <w:r>
        <w:rPr>
          <w:spacing w:val="-5"/>
        </w:rPr>
        <w:t> </w:t>
      </w:r>
      <w:r>
        <w:rPr/>
        <w:t>to the unavailability of suitable alternative platforms, this study</w:t>
      </w:r>
      <w:r>
        <w:rPr>
          <w:spacing w:val="-3"/>
        </w:rPr>
        <w:t> </w:t>
      </w:r>
      <w:r>
        <w:rPr/>
        <w:t>has sourced</w:t>
      </w:r>
      <w:r>
        <w:rPr/>
        <w:t> impact</w:t>
      </w:r>
      <w:r>
        <w:rPr/>
        <w:t> investment deals from a single platform called Abaca. We acknowledge potential bias in sourcing</w:t>
      </w:r>
      <w:r>
        <w:rPr/>
        <w:t> data from</w:t>
      </w:r>
      <w:r>
        <w:rPr/>
        <w:t> a single platform. However, as noted earlier, because impact investing activities mainly occur in private markets, data availability is a major challenge in studying</w:t>
      </w:r>
      <w:r>
        <w:rPr>
          <w:spacing w:val="-15"/>
        </w:rPr>
        <w:t> </w:t>
      </w:r>
      <w:r>
        <w:rPr/>
        <w:t>issues around</w:t>
      </w:r>
      <w:r>
        <w:rPr>
          <w:spacing w:val="-7"/>
        </w:rPr>
        <w:t> </w:t>
      </w:r>
      <w:r>
        <w:rPr/>
        <w:t>impact investment deals.</w:t>
      </w:r>
      <w:r>
        <w:rPr>
          <w:spacing w:val="-6"/>
        </w:rPr>
        <w:t> </w:t>
      </w:r>
      <w:r>
        <w:rPr/>
        <w:t>It</w:t>
      </w:r>
      <w:r>
        <w:rPr>
          <w:spacing w:val="-12"/>
        </w:rPr>
        <w:t> </w:t>
      </w:r>
      <w:r>
        <w:rPr/>
        <w:t>appears that</w:t>
      </w:r>
      <w:r>
        <w:rPr>
          <w:spacing w:val="-12"/>
        </w:rPr>
        <w:t> </w:t>
      </w:r>
      <w:r>
        <w:rPr/>
        <w:t>Abaca</w:t>
      </w:r>
      <w:r>
        <w:rPr>
          <w:spacing w:val="-8"/>
        </w:rPr>
        <w:t> </w:t>
      </w:r>
      <w:r>
        <w:rPr/>
        <w:t>is the</w:t>
      </w:r>
      <w:r>
        <w:rPr>
          <w:spacing w:val="-8"/>
        </w:rPr>
        <w:t> </w:t>
      </w:r>
      <w:r>
        <w:rPr/>
        <w:t>only platform that</w:t>
      </w:r>
      <w:r>
        <w:rPr>
          <w:spacing w:val="-13"/>
        </w:rPr>
        <w:t> </w:t>
      </w:r>
      <w:r>
        <w:rPr/>
        <w:t>currently lists a large number of</w:t>
      </w:r>
      <w:r>
        <w:rPr>
          <w:spacing w:val="-12"/>
        </w:rPr>
        <w:t> </w:t>
      </w:r>
      <w:r>
        <w:rPr/>
        <w:t>available</w:t>
      </w:r>
      <w:r>
        <w:rPr>
          <w:spacing w:val="32"/>
        </w:rPr>
        <w:t> </w:t>
      </w:r>
      <w:r>
        <w:rPr/>
        <w:t>impact investment deals. It</w:t>
      </w:r>
      <w:r>
        <w:rPr>
          <w:spacing w:val="-13"/>
        </w:rPr>
        <w:t> </w:t>
      </w:r>
      <w:r>
        <w:rPr/>
        <w:t>should be noted that we validated the accuracy of data collected from Abaca by visiting the official website and/or social media pages of relevant investee companies underlying the investment deals.</w:t>
      </w:r>
      <w:r>
        <w:rPr>
          <w:spacing w:val="-15"/>
        </w:rPr>
        <w:t> </w:t>
      </w:r>
      <w:r>
        <w:rPr/>
        <w:t>Where</w:t>
      </w:r>
      <w:r>
        <w:rPr>
          <w:spacing w:val="-2"/>
        </w:rPr>
        <w:t> </w:t>
      </w:r>
      <w:r>
        <w:rPr/>
        <w:t>available,</w:t>
      </w:r>
      <w:r>
        <w:rPr>
          <w:spacing w:val="31"/>
        </w:rPr>
        <w:t> </w:t>
      </w:r>
      <w:r>
        <w:rPr/>
        <w:t>future</w:t>
      </w:r>
      <w:r>
        <w:rPr>
          <w:spacing w:val="-15"/>
        </w:rPr>
        <w:t> </w:t>
      </w:r>
      <w:r>
        <w:rPr/>
        <w:t>researchers</w:t>
      </w:r>
      <w:r>
        <w:rPr>
          <w:spacing w:val="29"/>
        </w:rPr>
        <w:t> </w:t>
      </w:r>
      <w:r>
        <w:rPr/>
        <w:t>could source relevant data</w:t>
      </w:r>
      <w:r>
        <w:rPr>
          <w:spacing w:val="-15"/>
        </w:rPr>
        <w:t> </w:t>
      </w:r>
      <w:r>
        <w:rPr/>
        <w:t>from</w:t>
      </w:r>
      <w:r>
        <w:rPr>
          <w:spacing w:val="-1"/>
        </w:rPr>
        <w:t> </w:t>
      </w:r>
      <w:r>
        <w:rPr/>
        <w:t>multiple platforms to further</w:t>
      </w:r>
      <w:r>
        <w:rPr>
          <w:spacing w:val="-5"/>
        </w:rPr>
        <w:t> </w:t>
      </w:r>
      <w:r>
        <w:rPr/>
        <w:t>analyze issues around impact investment deals. Second,</w:t>
      </w:r>
      <w:r>
        <w:rPr>
          <w:spacing w:val="-2"/>
        </w:rPr>
        <w:t> </w:t>
      </w:r>
      <w:r>
        <w:rPr/>
        <w:t>this study</w:t>
      </w:r>
      <w:r>
        <w:rPr>
          <w:spacing w:val="-15"/>
        </w:rPr>
        <w:t> </w:t>
      </w:r>
      <w:r>
        <w:rPr/>
        <w:t>has shown that very</w:t>
      </w:r>
      <w:r>
        <w:rPr>
          <w:spacing w:val="-5"/>
        </w:rPr>
        <w:t> </w:t>
      </w:r>
      <w:r>
        <w:rPr/>
        <w:t>limited investment</w:t>
      </w:r>
      <w:r>
        <w:rPr>
          <w:spacing w:val="-1"/>
        </w:rPr>
        <w:t> </w:t>
      </w:r>
      <w:r>
        <w:rPr/>
        <w:t>deals are available regarding SDGs</w:t>
      </w:r>
      <w:r>
        <w:rPr>
          <w:spacing w:val="-15"/>
        </w:rPr>
        <w:t> </w:t>
      </w:r>
      <w:r>
        <w:rPr/>
        <w:t>covering issues such</w:t>
      </w:r>
      <w:r>
        <w:rPr>
          <w:spacing w:val="-8"/>
        </w:rPr>
        <w:t> </w:t>
      </w:r>
      <w:r>
        <w:rPr/>
        <w:t>as access to quality</w:t>
      </w:r>
      <w:r>
        <w:rPr>
          <w:spacing w:val="-9"/>
        </w:rPr>
        <w:t> </w:t>
      </w:r>
      <w:r>
        <w:rPr/>
        <w:t>education,</w:t>
      </w:r>
      <w:r>
        <w:rPr>
          <w:spacing w:val="-5"/>
        </w:rPr>
        <w:t> </w:t>
      </w:r>
      <w:r>
        <w:rPr/>
        <w:t>infrastructure</w:t>
      </w:r>
      <w:r>
        <w:rPr>
          <w:spacing w:val="-7"/>
        </w:rPr>
        <w:t> </w:t>
      </w:r>
      <w:r>
        <w:rPr/>
        <w:t>development</w:t>
      </w:r>
      <w:r>
        <w:rPr>
          <w:spacing w:val="-11"/>
        </w:rPr>
        <w:t> </w:t>
      </w:r>
      <w:r>
        <w:rPr/>
        <w:t>to</w:t>
      </w:r>
      <w:r>
        <w:rPr>
          <w:spacing w:val="-5"/>
        </w:rPr>
        <w:t> </w:t>
      </w:r>
      <w:r>
        <w:rPr/>
        <w:t>support human</w:t>
      </w:r>
      <w:r>
        <w:rPr>
          <w:spacing w:val="-5"/>
        </w:rPr>
        <w:t> </w:t>
      </w:r>
      <w:r>
        <w:rPr/>
        <w:t>well-being,</w:t>
      </w:r>
      <w:r>
        <w:rPr>
          <w:spacing w:val="22"/>
        </w:rPr>
        <w:t> </w:t>
      </w:r>
      <w:r>
        <w:rPr/>
        <w:t>access to</w:t>
      </w:r>
      <w:r>
        <w:rPr>
          <w:spacing w:val="-15"/>
        </w:rPr>
        <w:t> </w:t>
      </w:r>
      <w:r>
        <w:rPr/>
        <w:t>safe</w:t>
      </w:r>
      <w:r>
        <w:rPr>
          <w:spacing w:val="-7"/>
        </w:rPr>
        <w:t> </w:t>
      </w:r>
      <w:r>
        <w:rPr/>
        <w:t>and affordable</w:t>
      </w:r>
      <w:r>
        <w:rPr>
          <w:spacing w:val="-15"/>
        </w:rPr>
        <w:t> </w:t>
      </w:r>
      <w:r>
        <w:rPr/>
        <w:t>housing and</w:t>
      </w:r>
      <w:r>
        <w:rPr>
          <w:spacing w:val="-6"/>
        </w:rPr>
        <w:t> </w:t>
      </w:r>
      <w:r>
        <w:rPr/>
        <w:t>transportation, preservation of</w:t>
      </w:r>
      <w:r>
        <w:rPr>
          <w:spacing w:val="-10"/>
        </w:rPr>
        <w:t> </w:t>
      </w:r>
      <w:r>
        <w:rPr/>
        <w:t>marine life and</w:t>
      </w:r>
      <w:r>
        <w:rPr>
          <w:spacing w:val="-6"/>
        </w:rPr>
        <w:t> </w:t>
      </w:r>
      <w:r>
        <w:rPr/>
        <w:t>ecosystems, etc.</w:t>
      </w:r>
      <w:r>
        <w:rPr>
          <w:spacing w:val="-5"/>
        </w:rPr>
        <w:t> </w:t>
      </w:r>
      <w:r>
        <w:rPr/>
        <w:t>Future research could investigate what types of programs would be most effective</w:t>
      </w:r>
      <w:r>
        <w:rPr>
          <w:spacing w:val="-7"/>
        </w:rPr>
        <w:t> </w:t>
      </w:r>
      <w:r>
        <w:rPr/>
        <w:t>in increasing the impact investment dealflow regarding these issues and how to implement those programs successfully.</w:t>
      </w:r>
      <w:r>
        <w:rPr/>
        <w:t> Third,</w:t>
      </w:r>
      <w:r>
        <w:rPr/>
        <w:t> this study does not measure</w:t>
      </w:r>
      <w:r>
        <w:rPr/>
        <w:t> the</w:t>
      </w:r>
      <w:r>
        <w:rPr/>
        <w:t> financial</w:t>
      </w:r>
      <w:r>
        <w:rPr/>
        <w:t> magnitude</w:t>
      </w:r>
      <w:r>
        <w:rPr/>
        <w:t> of</w:t>
      </w:r>
      <w:r>
        <w:rPr/>
        <w:t> the</w:t>
      </w:r>
      <w:r>
        <w:rPr/>
        <w:t> deals to ascertain the</w:t>
      </w:r>
      <w:r>
        <w:rPr>
          <w:spacing w:val="-7"/>
        </w:rPr>
        <w:t> </w:t>
      </w:r>
      <w:r>
        <w:rPr/>
        <w:t>distribution of financial resources</w:t>
      </w:r>
      <w:r>
        <w:rPr>
          <w:spacing w:val="33"/>
        </w:rPr>
        <w:t> </w:t>
      </w:r>
      <w:r>
        <w:rPr/>
        <w:t>across the SDGs.</w:t>
      </w:r>
      <w:r>
        <w:rPr>
          <w:spacing w:val="-5"/>
        </w:rPr>
        <w:t> </w:t>
      </w:r>
      <w:r>
        <w:rPr/>
        <w:t>As</w:t>
      </w:r>
      <w:r>
        <w:rPr>
          <w:spacing w:val="-9"/>
        </w:rPr>
        <w:t> </w:t>
      </w:r>
      <w:r>
        <w:rPr/>
        <w:t>mentioned earlier, these deals are arranged in private markets. Likewise, their financial capitals and financial transactions are not publicly disclosed. Once financial data are available, future studies can evaluate the</w:t>
      </w:r>
      <w:r>
        <w:rPr>
          <w:spacing w:val="-17"/>
        </w:rPr>
        <w:t> </w:t>
      </w:r>
      <w:r>
        <w:rPr/>
        <w:t>financial magnitude</w:t>
      </w:r>
      <w:r>
        <w:rPr>
          <w:spacing w:val="-5"/>
        </w:rPr>
        <w:t> </w:t>
      </w:r>
      <w:r>
        <w:rPr/>
        <w:t>of the</w:t>
      </w:r>
      <w:r>
        <w:rPr>
          <w:spacing w:val="-5"/>
        </w:rPr>
        <w:t> </w:t>
      </w:r>
      <w:r>
        <w:rPr/>
        <w:t>deals</w:t>
      </w:r>
      <w:r>
        <w:rPr>
          <w:spacing w:val="-7"/>
        </w:rPr>
        <w:t> </w:t>
      </w:r>
      <w:r>
        <w:rPr/>
        <w:t>and assess how the</w:t>
      </w:r>
      <w:r>
        <w:rPr>
          <w:spacing w:val="-5"/>
        </w:rPr>
        <w:t> </w:t>
      </w:r>
      <w:r>
        <w:rPr/>
        <w:t>financial resources</w:t>
      </w:r>
      <w:r>
        <w:rPr>
          <w:spacing w:val="21"/>
        </w:rPr>
        <w:t> </w:t>
      </w:r>
      <w:r>
        <w:rPr/>
        <w:t>are</w:t>
      </w:r>
      <w:r>
        <w:rPr>
          <w:spacing w:val="-5"/>
        </w:rPr>
        <w:t> </w:t>
      </w:r>
      <w:r>
        <w:rPr/>
        <w:t>being</w:t>
      </w:r>
    </w:p>
    <w:p>
      <w:pPr>
        <w:spacing w:after="0" w:line="480" w:lineRule="auto"/>
        <w:sectPr>
          <w:pgSz w:w="11910" w:h="16850"/>
          <w:pgMar w:header="0" w:footer="1005" w:top="1380" w:bottom="1200" w:left="1340" w:right="1300"/>
        </w:sectPr>
      </w:pPr>
    </w:p>
    <w:p>
      <w:pPr>
        <w:pStyle w:val="BodyText"/>
        <w:spacing w:line="477" w:lineRule="auto" w:before="72"/>
        <w:ind w:right="140"/>
      </w:pPr>
      <w:r>
        <w:rPr/>
        <w:t>injected</w:t>
      </w:r>
      <w:r>
        <w:rPr>
          <w:spacing w:val="-15"/>
        </w:rPr>
        <w:t> </w:t>
      </w:r>
      <w:r>
        <w:rPr/>
        <w:t>across</w:t>
      </w:r>
      <w:r>
        <w:rPr>
          <w:spacing w:val="-15"/>
        </w:rPr>
        <w:t> </w:t>
      </w:r>
      <w:r>
        <w:rPr/>
        <w:t>the</w:t>
      </w:r>
      <w:r>
        <w:rPr>
          <w:spacing w:val="-15"/>
        </w:rPr>
        <w:t> </w:t>
      </w:r>
      <w:r>
        <w:rPr/>
        <w:t>SDGs.</w:t>
      </w:r>
      <w:r>
        <w:rPr>
          <w:spacing w:val="-15"/>
        </w:rPr>
        <w:t> </w:t>
      </w:r>
      <w:r>
        <w:rPr/>
        <w:t>Finally,</w:t>
      </w:r>
      <w:r>
        <w:rPr>
          <w:spacing w:val="-14"/>
        </w:rPr>
        <w:t> </w:t>
      </w:r>
      <w:r>
        <w:rPr/>
        <w:t>while</w:t>
      </w:r>
      <w:r>
        <w:rPr>
          <w:spacing w:val="-12"/>
        </w:rPr>
        <w:t> </w:t>
      </w:r>
      <w:r>
        <w:rPr/>
        <w:t>impact</w:t>
      </w:r>
      <w:r>
        <w:rPr>
          <w:spacing w:val="-4"/>
        </w:rPr>
        <w:t> </w:t>
      </w:r>
      <w:r>
        <w:rPr/>
        <w:t>investee</w:t>
      </w:r>
      <w:r>
        <w:rPr>
          <w:spacing w:val="-13"/>
        </w:rPr>
        <w:t> </w:t>
      </w:r>
      <w:r>
        <w:rPr/>
        <w:t>organizations</w:t>
      </w:r>
      <w:r>
        <w:rPr>
          <w:spacing w:val="-2"/>
        </w:rPr>
        <w:t> </w:t>
      </w:r>
      <w:r>
        <w:rPr/>
        <w:t>(e.g.,</w:t>
      </w:r>
      <w:r>
        <w:rPr>
          <w:spacing w:val="-11"/>
        </w:rPr>
        <w:t> </w:t>
      </w:r>
      <w:r>
        <w:rPr/>
        <w:t>social</w:t>
      </w:r>
      <w:r>
        <w:rPr>
          <w:spacing w:val="-15"/>
        </w:rPr>
        <w:t> </w:t>
      </w:r>
      <w:r>
        <w:rPr/>
        <w:t>enterprises) aim</w:t>
      </w:r>
      <w:r>
        <w:rPr/>
        <w:t> to create a positive</w:t>
      </w:r>
      <w:r>
        <w:rPr/>
        <w:t> social impact (Islam, 2020a), they may at times create unintended consequences</w:t>
      </w:r>
      <w:r>
        <w:rPr>
          <w:spacing w:val="-15"/>
        </w:rPr>
        <w:t> </w:t>
      </w:r>
      <w:r>
        <w:rPr/>
        <w:t>on,</w:t>
      </w:r>
      <w:r>
        <w:rPr>
          <w:spacing w:val="-15"/>
        </w:rPr>
        <w:t> </w:t>
      </w:r>
      <w:r>
        <w:rPr/>
        <w:t>for</w:t>
      </w:r>
      <w:r>
        <w:rPr>
          <w:spacing w:val="-15"/>
        </w:rPr>
        <w:t> </w:t>
      </w:r>
      <w:r>
        <w:rPr/>
        <w:t>example,</w:t>
      </w:r>
      <w:r>
        <w:rPr>
          <w:spacing w:val="-15"/>
        </w:rPr>
        <w:t> </w:t>
      </w:r>
      <w:r>
        <w:rPr/>
        <w:t>beneficiary</w:t>
      </w:r>
      <w:r>
        <w:rPr>
          <w:spacing w:val="-15"/>
        </w:rPr>
        <w:t> </w:t>
      </w:r>
      <w:r>
        <w:rPr/>
        <w:t>lives</w:t>
      </w:r>
      <w:r>
        <w:rPr>
          <w:spacing w:val="-15"/>
        </w:rPr>
        <w:t> </w:t>
      </w:r>
      <w:r>
        <w:rPr/>
        <w:t>(see</w:t>
      </w:r>
      <w:r>
        <w:rPr>
          <w:spacing w:val="-15"/>
        </w:rPr>
        <w:t> </w:t>
      </w:r>
      <w:r>
        <w:rPr/>
        <w:t>Islam,</w:t>
      </w:r>
      <w:r>
        <w:rPr>
          <w:spacing w:val="-15"/>
        </w:rPr>
        <w:t> </w:t>
      </w:r>
      <w:r>
        <w:rPr/>
        <w:t>2020b,</w:t>
      </w:r>
      <w:r>
        <w:rPr>
          <w:spacing w:val="-15"/>
        </w:rPr>
        <w:t> </w:t>
      </w:r>
      <w:r>
        <w:rPr/>
        <w:t>2022c).</w:t>
      </w:r>
      <w:r>
        <w:rPr>
          <w:spacing w:val="-15"/>
        </w:rPr>
        <w:t> </w:t>
      </w:r>
      <w:r>
        <w:rPr/>
        <w:t>As</w:t>
      </w:r>
      <w:r>
        <w:rPr>
          <w:spacing w:val="-15"/>
        </w:rPr>
        <w:t> </w:t>
      </w:r>
      <w:r>
        <w:rPr/>
        <w:t>impact</w:t>
      </w:r>
      <w:r>
        <w:rPr>
          <w:spacing w:val="-15"/>
        </w:rPr>
        <w:t> </w:t>
      </w:r>
      <w:r>
        <w:rPr/>
        <w:t>investing primarily aims to invest in these companies, it may also have potential unintended consequences</w:t>
      </w:r>
      <w:r>
        <w:rPr>
          <w:spacing w:val="-13"/>
        </w:rPr>
        <w:t> </w:t>
      </w:r>
      <w:r>
        <w:rPr/>
        <w:t>on</w:t>
      </w:r>
      <w:r>
        <w:rPr>
          <w:spacing w:val="-16"/>
        </w:rPr>
        <w:t> </w:t>
      </w:r>
      <w:r>
        <w:rPr/>
        <w:t>SDG</w:t>
      </w:r>
      <w:r>
        <w:rPr>
          <w:spacing w:val="-15"/>
        </w:rPr>
        <w:t> </w:t>
      </w:r>
      <w:r>
        <w:rPr/>
        <w:t>attainment.</w:t>
      </w:r>
      <w:r>
        <w:rPr>
          <w:spacing w:val="-16"/>
        </w:rPr>
        <w:t> </w:t>
      </w:r>
      <w:r>
        <w:rPr/>
        <w:t>Future</w:t>
      </w:r>
      <w:r>
        <w:rPr>
          <w:spacing w:val="-17"/>
        </w:rPr>
        <w:t> </w:t>
      </w:r>
      <w:r>
        <w:rPr/>
        <w:t>research</w:t>
      </w:r>
      <w:r>
        <w:rPr>
          <w:spacing w:val="6"/>
        </w:rPr>
        <w:t> </w:t>
      </w:r>
      <w:r>
        <w:rPr/>
        <w:t>could</w:t>
      </w:r>
      <w:r>
        <w:rPr>
          <w:spacing w:val="-8"/>
        </w:rPr>
        <w:t> </w:t>
      </w:r>
      <w:r>
        <w:rPr/>
        <w:t>investigate</w:t>
      </w:r>
      <w:r>
        <w:rPr>
          <w:spacing w:val="-9"/>
        </w:rPr>
        <w:t> </w:t>
      </w:r>
      <w:r>
        <w:rPr/>
        <w:t>this</w:t>
      </w:r>
      <w:r>
        <w:rPr>
          <w:spacing w:val="-11"/>
        </w:rPr>
        <w:t> </w:t>
      </w:r>
      <w:r>
        <w:rPr/>
        <w:t>issue</w:t>
      </w:r>
      <w:r>
        <w:rPr>
          <w:spacing w:val="-8"/>
        </w:rPr>
        <w:t> </w:t>
      </w:r>
      <w:r>
        <w:rPr/>
        <w:t>in</w:t>
      </w:r>
      <w:r>
        <w:rPr>
          <w:spacing w:val="-7"/>
        </w:rPr>
        <w:t> </w:t>
      </w:r>
      <w:r>
        <w:rPr/>
        <w:t>greater</w:t>
      </w:r>
      <w:r>
        <w:rPr>
          <w:spacing w:val="-13"/>
        </w:rPr>
        <w:t> </w:t>
      </w:r>
      <w:r>
        <w:rPr>
          <w:spacing w:val="-2"/>
        </w:rPr>
        <w:t>detail.</w:t>
      </w:r>
    </w:p>
    <w:p>
      <w:pPr>
        <w:pStyle w:val="BodyText"/>
        <w:spacing w:line="477" w:lineRule="auto" w:before="182"/>
        <w:ind w:right="131"/>
      </w:pPr>
      <w:r>
        <w:rPr/>
        <w:t>Despite its limitations, an essential aspect of this study is that it has initiated the idea of evaluating the</w:t>
      </w:r>
      <w:r>
        <w:rPr>
          <w:spacing w:val="-8"/>
        </w:rPr>
        <w:t> </w:t>
      </w:r>
      <w:r>
        <w:rPr/>
        <w:t>nature</w:t>
      </w:r>
      <w:r>
        <w:rPr>
          <w:spacing w:val="-8"/>
        </w:rPr>
        <w:t> </w:t>
      </w:r>
      <w:r>
        <w:rPr/>
        <w:t>and consequences of the</w:t>
      </w:r>
      <w:r>
        <w:rPr>
          <w:spacing w:val="-8"/>
        </w:rPr>
        <w:t> </w:t>
      </w:r>
      <w:r>
        <w:rPr/>
        <w:t>impact investment initiatives being undertaken to</w:t>
      </w:r>
      <w:r>
        <w:rPr>
          <w:spacing w:val="-15"/>
        </w:rPr>
        <w:t> </w:t>
      </w:r>
      <w:r>
        <w:rPr/>
        <w:t>achieve</w:t>
      </w:r>
      <w:r>
        <w:rPr>
          <w:spacing w:val="-3"/>
        </w:rPr>
        <w:t> </w:t>
      </w:r>
      <w:r>
        <w:rPr/>
        <w:t>the</w:t>
      </w:r>
      <w:r>
        <w:rPr>
          <w:spacing w:val="-15"/>
        </w:rPr>
        <w:t> </w:t>
      </w:r>
      <w:r>
        <w:rPr/>
        <w:t>aims of</w:t>
      </w:r>
      <w:r>
        <w:rPr>
          <w:spacing w:val="-7"/>
        </w:rPr>
        <w:t> </w:t>
      </w:r>
      <w:r>
        <w:rPr/>
        <w:t>the</w:t>
      </w:r>
      <w:r>
        <w:rPr>
          <w:spacing w:val="-3"/>
        </w:rPr>
        <w:t> </w:t>
      </w:r>
      <w:r>
        <w:rPr/>
        <w:t>SGDs.</w:t>
      </w:r>
      <w:r>
        <w:rPr>
          <w:spacing w:val="-15"/>
        </w:rPr>
        <w:t> </w:t>
      </w:r>
      <w:r>
        <w:rPr/>
        <w:t>Thus,</w:t>
      </w:r>
      <w:r>
        <w:rPr>
          <w:spacing w:val="-1"/>
        </w:rPr>
        <w:t> </w:t>
      </w:r>
      <w:r>
        <w:rPr/>
        <w:t>the</w:t>
      </w:r>
      <w:r>
        <w:rPr>
          <w:spacing w:val="-3"/>
        </w:rPr>
        <w:t> </w:t>
      </w:r>
      <w:r>
        <w:rPr/>
        <w:t>current study</w:t>
      </w:r>
      <w:r>
        <w:rPr>
          <w:spacing w:val="-15"/>
        </w:rPr>
        <w:t> </w:t>
      </w:r>
      <w:r>
        <w:rPr/>
        <w:t>sets</w:t>
      </w:r>
      <w:r>
        <w:rPr>
          <w:spacing w:val="-15"/>
        </w:rPr>
        <w:t> </w:t>
      </w:r>
      <w:r>
        <w:rPr/>
        <w:t>the</w:t>
      </w:r>
      <w:r>
        <w:rPr>
          <w:spacing w:val="-15"/>
        </w:rPr>
        <w:t> </w:t>
      </w:r>
      <w:r>
        <w:rPr/>
        <w:t>basis and</w:t>
      </w:r>
      <w:r>
        <w:rPr>
          <w:spacing w:val="-2"/>
        </w:rPr>
        <w:t> </w:t>
      </w:r>
      <w:r>
        <w:rPr/>
        <w:t>provides</w:t>
      </w:r>
      <w:r>
        <w:rPr>
          <w:spacing w:val="-5"/>
        </w:rPr>
        <w:t> </w:t>
      </w:r>
      <w:r>
        <w:rPr/>
        <w:t>a</w:t>
      </w:r>
      <w:r>
        <w:rPr>
          <w:spacing w:val="-3"/>
        </w:rPr>
        <w:t> </w:t>
      </w:r>
      <w:r>
        <w:rPr/>
        <w:t>platform for</w:t>
      </w:r>
      <w:r>
        <w:rPr>
          <w:spacing w:val="-15"/>
        </w:rPr>
        <w:t> </w:t>
      </w:r>
      <w:r>
        <w:rPr/>
        <w:t>future</w:t>
      </w:r>
      <w:r>
        <w:rPr>
          <w:spacing w:val="-15"/>
        </w:rPr>
        <w:t> </w:t>
      </w:r>
      <w:r>
        <w:rPr/>
        <w:t>research on</w:t>
      </w:r>
      <w:r>
        <w:rPr>
          <w:spacing w:val="-7"/>
        </w:rPr>
        <w:t> </w:t>
      </w:r>
      <w:r>
        <w:rPr/>
        <w:t>evaluating</w:t>
      </w:r>
      <w:r>
        <w:rPr>
          <w:spacing w:val="-7"/>
        </w:rPr>
        <w:t> </w:t>
      </w:r>
      <w:r>
        <w:rPr/>
        <w:t>the</w:t>
      </w:r>
      <w:r>
        <w:rPr>
          <w:spacing w:val="-9"/>
        </w:rPr>
        <w:t> </w:t>
      </w:r>
      <w:r>
        <w:rPr/>
        <w:t>processes and</w:t>
      </w:r>
      <w:r>
        <w:rPr>
          <w:spacing w:val="-8"/>
        </w:rPr>
        <w:t> </w:t>
      </w:r>
      <w:r>
        <w:rPr/>
        <w:t>outcomes</w:t>
      </w:r>
      <w:r>
        <w:rPr>
          <w:spacing w:val="-10"/>
        </w:rPr>
        <w:t> </w:t>
      </w:r>
      <w:r>
        <w:rPr/>
        <w:t>of</w:t>
      </w:r>
      <w:r>
        <w:rPr>
          <w:spacing w:val="-12"/>
        </w:rPr>
        <w:t> </w:t>
      </w:r>
      <w:r>
        <w:rPr/>
        <w:t>impact investing</w:t>
      </w:r>
      <w:r>
        <w:rPr>
          <w:spacing w:val="-7"/>
        </w:rPr>
        <w:t> </w:t>
      </w:r>
      <w:r>
        <w:rPr/>
        <w:t>in relation to SDG attainment.</w:t>
      </w:r>
    </w:p>
    <w:p>
      <w:pPr>
        <w:spacing w:after="0" w:line="477" w:lineRule="auto"/>
        <w:sectPr>
          <w:pgSz w:w="11910" w:h="16850"/>
          <w:pgMar w:header="0" w:footer="1005" w:top="1380" w:bottom="1200" w:left="1340" w:right="1300"/>
        </w:sectPr>
      </w:pPr>
    </w:p>
    <w:p>
      <w:pPr>
        <w:pStyle w:val="Heading1"/>
        <w:spacing w:before="72"/>
        <w:ind w:left="101"/>
      </w:pPr>
      <w:r>
        <w:rPr>
          <w:spacing w:val="-2"/>
        </w:rPr>
        <w:t>References</w:t>
      </w:r>
    </w:p>
    <w:p>
      <w:pPr>
        <w:pStyle w:val="BodyText"/>
        <w:spacing w:before="3"/>
        <w:ind w:left="0"/>
        <w:jc w:val="left"/>
        <w:rPr>
          <w:b/>
        </w:rPr>
      </w:pPr>
    </w:p>
    <w:p>
      <w:pPr>
        <w:pStyle w:val="BodyText"/>
        <w:spacing w:line="482" w:lineRule="auto" w:before="1"/>
        <w:ind w:left="822" w:right="141" w:hanging="721"/>
      </w:pPr>
      <w:r>
        <w:rPr/>
        <w:t>Achleitner, A. K.,</w:t>
      </w:r>
      <w:r>
        <w:rPr>
          <w:spacing w:val="-3"/>
        </w:rPr>
        <w:t> </w:t>
      </w:r>
      <w:r>
        <w:rPr/>
        <w:t>E. Lutz, J. Mayer, and W. Spiess-Knafl, 2013, Disentangling gut feeling: Assessing the integrity of social entrepreneurs, </w:t>
      </w:r>
      <w:r>
        <w:rPr>
          <w:i/>
        </w:rPr>
        <w:t>Voluntas </w:t>
      </w:r>
      <w:r>
        <w:rPr/>
        <w:t>24, 93-124.</w:t>
      </w:r>
    </w:p>
    <w:p>
      <w:pPr>
        <w:pStyle w:val="BodyText"/>
        <w:spacing w:line="482" w:lineRule="auto"/>
        <w:ind w:left="822" w:right="120" w:hanging="721"/>
      </w:pPr>
      <w:r>
        <w:rPr/>
        <w:t>Apostolakis, G., G. van Dijk, R. J. Blomme, F. Kraanen,</w:t>
      </w:r>
      <w:r>
        <w:rPr/>
        <w:t> and</w:t>
      </w:r>
      <w:r>
        <w:rPr/>
        <w:t> A. P. Papadopoulos, 2018, Predicting pension beneficiaries’ behaviour when offered a socially responsible and impact investment portfolio, </w:t>
      </w:r>
      <w:r>
        <w:rPr>
          <w:i/>
        </w:rPr>
        <w:t>Journal of Sustainable Finance and Investment </w:t>
      </w:r>
      <w:r>
        <w:rPr/>
        <w:t>8, 213- </w:t>
      </w:r>
      <w:r>
        <w:rPr>
          <w:spacing w:val="-4"/>
        </w:rPr>
        <w:t>241.</w:t>
      </w:r>
    </w:p>
    <w:p>
      <w:pPr>
        <w:spacing w:line="477" w:lineRule="auto" w:before="0"/>
        <w:ind w:left="822" w:right="119" w:hanging="721"/>
        <w:jc w:val="both"/>
        <w:rPr>
          <w:sz w:val="24"/>
        </w:rPr>
      </w:pPr>
      <w:r>
        <w:rPr>
          <w:sz w:val="24"/>
        </w:rPr>
        <w:t>Apostolakis, G., G. van Dijk, F. Kraanen,</w:t>
      </w:r>
      <w:r>
        <w:rPr>
          <w:sz w:val="24"/>
        </w:rPr>
        <w:t> and</w:t>
      </w:r>
      <w:r>
        <w:rPr>
          <w:sz w:val="24"/>
        </w:rPr>
        <w:t> R.</w:t>
      </w:r>
      <w:r>
        <w:rPr>
          <w:sz w:val="24"/>
        </w:rPr>
        <w:t> J. Blomme, 2018, Examining socially responsible investment preferences:</w:t>
      </w:r>
      <w:r>
        <w:rPr>
          <w:spacing w:val="-5"/>
          <w:sz w:val="24"/>
        </w:rPr>
        <w:t> </w:t>
      </w:r>
      <w:r>
        <w:rPr>
          <w:sz w:val="24"/>
        </w:rPr>
        <w:t>A</w:t>
      </w:r>
      <w:r>
        <w:rPr>
          <w:spacing w:val="-7"/>
          <w:sz w:val="24"/>
        </w:rPr>
        <w:t> </w:t>
      </w:r>
      <w:r>
        <w:rPr>
          <w:sz w:val="24"/>
        </w:rPr>
        <w:t>discrete</w:t>
      </w:r>
      <w:r>
        <w:rPr>
          <w:spacing w:val="-13"/>
          <w:sz w:val="24"/>
        </w:rPr>
        <w:t> </w:t>
      </w:r>
      <w:r>
        <w:rPr>
          <w:sz w:val="24"/>
        </w:rPr>
        <w:t>choice</w:t>
      </w:r>
      <w:r>
        <w:rPr>
          <w:spacing w:val="-1"/>
          <w:sz w:val="24"/>
        </w:rPr>
        <w:t> </w:t>
      </w:r>
      <w:r>
        <w:rPr>
          <w:sz w:val="24"/>
        </w:rPr>
        <w:t>conjoint experiment, </w:t>
      </w:r>
      <w:r>
        <w:rPr>
          <w:i/>
          <w:sz w:val="24"/>
        </w:rPr>
        <w:t>Journal of</w:t>
      </w:r>
      <w:r>
        <w:rPr>
          <w:i/>
          <w:sz w:val="24"/>
        </w:rPr>
        <w:t> Behavioral and Experimental Finance </w:t>
      </w:r>
      <w:r>
        <w:rPr>
          <w:sz w:val="24"/>
        </w:rPr>
        <w:t>17, 83-96.</w:t>
      </w:r>
    </w:p>
    <w:p>
      <w:pPr>
        <w:pStyle w:val="BodyText"/>
      </w:pPr>
      <w:r>
        <w:rPr/>
        <w:t>Bannick,</w:t>
      </w:r>
      <w:r>
        <w:rPr>
          <w:spacing w:val="-3"/>
        </w:rPr>
        <w:t> </w:t>
      </w:r>
      <w:r>
        <w:rPr/>
        <w:t>M.,</w:t>
      </w:r>
      <w:r>
        <w:rPr>
          <w:spacing w:val="-2"/>
        </w:rPr>
        <w:t> </w:t>
      </w:r>
      <w:r>
        <w:rPr/>
        <w:t>P.</w:t>
      </w:r>
      <w:r>
        <w:rPr>
          <w:spacing w:val="-3"/>
        </w:rPr>
        <w:t> </w:t>
      </w:r>
      <w:r>
        <w:rPr/>
        <w:t>Goldman,</w:t>
      </w:r>
      <w:r>
        <w:rPr>
          <w:spacing w:val="-2"/>
        </w:rPr>
        <w:t> </w:t>
      </w:r>
      <w:r>
        <w:rPr/>
        <w:t>M.</w:t>
      </w:r>
      <w:r>
        <w:rPr>
          <w:spacing w:val="-3"/>
        </w:rPr>
        <w:t> </w:t>
      </w:r>
      <w:r>
        <w:rPr/>
        <w:t>Kubzansky,</w:t>
      </w:r>
      <w:r>
        <w:rPr>
          <w:spacing w:val="3"/>
        </w:rPr>
        <w:t> </w:t>
      </w:r>
      <w:r>
        <w:rPr/>
        <w:t>and</w:t>
      </w:r>
      <w:r>
        <w:rPr>
          <w:spacing w:val="-4"/>
        </w:rPr>
        <w:t> </w:t>
      </w:r>
      <w:r>
        <w:rPr/>
        <w:t>Y.</w:t>
      </w:r>
      <w:r>
        <w:rPr>
          <w:spacing w:val="-2"/>
        </w:rPr>
        <w:t> </w:t>
      </w:r>
      <w:r>
        <w:rPr/>
        <w:t>Saltuk,</w:t>
      </w:r>
      <w:r>
        <w:rPr>
          <w:spacing w:val="-2"/>
        </w:rPr>
        <w:t> </w:t>
      </w:r>
      <w:r>
        <w:rPr/>
        <w:t>2017,</w:t>
      </w:r>
      <w:r>
        <w:rPr>
          <w:spacing w:val="-3"/>
        </w:rPr>
        <w:t> </w:t>
      </w:r>
      <w:r>
        <w:rPr/>
        <w:t>Across</w:t>
      </w:r>
      <w:r>
        <w:rPr>
          <w:spacing w:val="-6"/>
        </w:rPr>
        <w:t> </w:t>
      </w:r>
      <w:r>
        <w:rPr/>
        <w:t>the</w:t>
      </w:r>
      <w:r>
        <w:rPr>
          <w:spacing w:val="-4"/>
        </w:rPr>
        <w:t> </w:t>
      </w:r>
      <w:r>
        <w:rPr/>
        <w:t>returns</w:t>
      </w:r>
      <w:r>
        <w:rPr>
          <w:spacing w:val="-7"/>
        </w:rPr>
        <w:t> </w:t>
      </w:r>
      <w:r>
        <w:rPr>
          <w:spacing w:val="-2"/>
        </w:rPr>
        <w:t>continuum,</w:t>
      </w:r>
    </w:p>
    <w:p>
      <w:pPr>
        <w:pStyle w:val="BodyText"/>
        <w:spacing w:before="8"/>
        <w:ind w:left="0"/>
        <w:jc w:val="left"/>
        <w:rPr>
          <w:sz w:val="23"/>
        </w:rPr>
      </w:pPr>
    </w:p>
    <w:p>
      <w:pPr>
        <w:spacing w:before="0"/>
        <w:ind w:left="822" w:right="0" w:firstLine="0"/>
        <w:jc w:val="left"/>
        <w:rPr>
          <w:sz w:val="24"/>
        </w:rPr>
      </w:pPr>
      <w:r>
        <w:rPr>
          <w:i/>
          <w:sz w:val="24"/>
        </w:rPr>
        <w:t>Stanford Social</w:t>
      </w:r>
      <w:r>
        <w:rPr>
          <w:i/>
          <w:spacing w:val="-4"/>
          <w:sz w:val="24"/>
        </w:rPr>
        <w:t> </w:t>
      </w:r>
      <w:r>
        <w:rPr>
          <w:i/>
          <w:sz w:val="24"/>
        </w:rPr>
        <w:t>Innovation</w:t>
      </w:r>
      <w:r>
        <w:rPr>
          <w:i/>
          <w:spacing w:val="12"/>
          <w:sz w:val="24"/>
        </w:rPr>
        <w:t> </w:t>
      </w:r>
      <w:r>
        <w:rPr>
          <w:i/>
          <w:sz w:val="24"/>
        </w:rPr>
        <w:t>Review</w:t>
      </w:r>
      <w:r>
        <w:rPr>
          <w:i/>
          <w:spacing w:val="-2"/>
          <w:sz w:val="24"/>
        </w:rPr>
        <w:t> </w:t>
      </w:r>
      <w:r>
        <w:rPr>
          <w:sz w:val="24"/>
        </w:rPr>
        <w:t>15,</w:t>
      </w:r>
      <w:r>
        <w:rPr>
          <w:spacing w:val="-11"/>
          <w:sz w:val="24"/>
        </w:rPr>
        <w:t> </w:t>
      </w:r>
      <w:r>
        <w:rPr>
          <w:sz w:val="24"/>
        </w:rPr>
        <w:t>42-</w:t>
      </w:r>
      <w:r>
        <w:rPr>
          <w:spacing w:val="-5"/>
          <w:sz w:val="24"/>
        </w:rPr>
        <w:t>48.</w:t>
      </w:r>
    </w:p>
    <w:p>
      <w:pPr>
        <w:pStyle w:val="BodyText"/>
        <w:spacing w:before="4"/>
        <w:ind w:left="0"/>
        <w:jc w:val="left"/>
      </w:pPr>
    </w:p>
    <w:p>
      <w:pPr>
        <w:spacing w:line="470" w:lineRule="auto" w:before="0"/>
        <w:ind w:left="822" w:right="128" w:hanging="721"/>
        <w:jc w:val="both"/>
        <w:rPr>
          <w:sz w:val="24"/>
        </w:rPr>
      </w:pPr>
      <w:r>
        <w:rPr>
          <w:sz w:val="24"/>
        </w:rPr>
        <w:t>Brammer, S., L. Branicki, and M. Linnenluecke, 2020, COVID-19, societalization and the future of business in society, </w:t>
      </w:r>
      <w:r>
        <w:rPr>
          <w:i/>
          <w:sz w:val="24"/>
        </w:rPr>
        <w:t>Academy of Management Perspectives</w:t>
      </w:r>
      <w:r>
        <w:rPr>
          <w:i/>
          <w:spacing w:val="40"/>
          <w:sz w:val="24"/>
        </w:rPr>
        <w:t> </w:t>
      </w:r>
      <w:r>
        <w:rPr>
          <w:sz w:val="24"/>
        </w:rPr>
        <w:t>34, 493-507.</w:t>
      </w:r>
    </w:p>
    <w:p>
      <w:pPr>
        <w:spacing w:line="482" w:lineRule="auto" w:before="14"/>
        <w:ind w:left="822" w:right="142" w:hanging="721"/>
        <w:jc w:val="both"/>
        <w:rPr>
          <w:sz w:val="24"/>
        </w:rPr>
      </w:pPr>
      <w:r>
        <w:rPr>
          <w:sz w:val="24"/>
        </w:rPr>
        <w:t>Brandstetter,</w:t>
      </w:r>
      <w:r>
        <w:rPr>
          <w:spacing w:val="-3"/>
          <w:sz w:val="24"/>
        </w:rPr>
        <w:t> </w:t>
      </w:r>
      <w:r>
        <w:rPr>
          <w:sz w:val="24"/>
        </w:rPr>
        <w:t>L., and O. M. Lehner, 2015, Opening the market for impact investments: The need for adapted portfolio tools, </w:t>
      </w:r>
      <w:r>
        <w:rPr>
          <w:i/>
          <w:sz w:val="24"/>
        </w:rPr>
        <w:t>Entrepreneurship Research Journal </w:t>
      </w:r>
      <w:r>
        <w:rPr>
          <w:sz w:val="24"/>
        </w:rPr>
        <w:t>5, 87-107.</w:t>
      </w:r>
    </w:p>
    <w:p>
      <w:pPr>
        <w:spacing w:line="482" w:lineRule="auto" w:before="2"/>
        <w:ind w:left="822" w:right="135" w:hanging="721"/>
        <w:jc w:val="both"/>
        <w:rPr>
          <w:sz w:val="24"/>
        </w:rPr>
      </w:pPr>
      <w:r>
        <w:rPr>
          <w:sz w:val="24"/>
        </w:rPr>
        <w:t>Brest,</w:t>
      </w:r>
      <w:r>
        <w:rPr>
          <w:spacing w:val="-7"/>
          <w:sz w:val="24"/>
        </w:rPr>
        <w:t> </w:t>
      </w:r>
      <w:r>
        <w:rPr>
          <w:sz w:val="24"/>
        </w:rPr>
        <w:t>P., and</w:t>
      </w:r>
      <w:r>
        <w:rPr>
          <w:spacing w:val="-7"/>
          <w:sz w:val="24"/>
        </w:rPr>
        <w:t> </w:t>
      </w:r>
      <w:r>
        <w:rPr>
          <w:sz w:val="24"/>
        </w:rPr>
        <w:t>K.</w:t>
      </w:r>
      <w:r>
        <w:rPr>
          <w:spacing w:val="-7"/>
          <w:sz w:val="24"/>
        </w:rPr>
        <w:t> </w:t>
      </w:r>
      <w:r>
        <w:rPr>
          <w:sz w:val="24"/>
        </w:rPr>
        <w:t>Born, 2013,</w:t>
      </w:r>
      <w:r>
        <w:rPr>
          <w:spacing w:val="-7"/>
          <w:sz w:val="24"/>
        </w:rPr>
        <w:t> </w:t>
      </w:r>
      <w:r>
        <w:rPr>
          <w:sz w:val="24"/>
        </w:rPr>
        <w:t>When can</w:t>
      </w:r>
      <w:r>
        <w:rPr>
          <w:spacing w:val="-7"/>
          <w:sz w:val="24"/>
        </w:rPr>
        <w:t> </w:t>
      </w:r>
      <w:r>
        <w:rPr>
          <w:sz w:val="24"/>
        </w:rPr>
        <w:t>impact investing create real impact?, </w:t>
      </w:r>
      <w:r>
        <w:rPr>
          <w:i/>
          <w:sz w:val="24"/>
        </w:rPr>
        <w:t>Stanford Social</w:t>
      </w:r>
      <w:r>
        <w:rPr>
          <w:i/>
          <w:sz w:val="24"/>
        </w:rPr>
        <w:t> Innovation Review </w:t>
      </w:r>
      <w:r>
        <w:rPr>
          <w:sz w:val="24"/>
        </w:rPr>
        <w:t>11, 22-31.</w:t>
      </w:r>
    </w:p>
    <w:p>
      <w:pPr>
        <w:pStyle w:val="BodyText"/>
        <w:spacing w:line="482" w:lineRule="auto"/>
        <w:ind w:left="822" w:right="150" w:hanging="721"/>
      </w:pPr>
      <w:r>
        <w:rPr/>
        <w:t>Ding,</w:t>
      </w:r>
      <w:r>
        <w:rPr>
          <w:spacing w:val="-15"/>
        </w:rPr>
        <w:t> </w:t>
      </w:r>
      <w:r>
        <w:rPr/>
        <w:t>A.,</w:t>
      </w:r>
      <w:r>
        <w:rPr>
          <w:spacing w:val="-15"/>
        </w:rPr>
        <w:t> </w:t>
      </w:r>
      <w:r>
        <w:rPr/>
        <w:t>D.</w:t>
      </w:r>
      <w:r>
        <w:rPr>
          <w:spacing w:val="-15"/>
        </w:rPr>
        <w:t> </w:t>
      </w:r>
      <w:r>
        <w:rPr/>
        <w:t>Daugaard,</w:t>
      </w:r>
      <w:r>
        <w:rPr>
          <w:spacing w:val="-15"/>
        </w:rPr>
        <w:t> </w:t>
      </w:r>
      <w:r>
        <w:rPr/>
        <w:t>and</w:t>
      </w:r>
      <w:r>
        <w:rPr>
          <w:spacing w:val="-15"/>
        </w:rPr>
        <w:t> </w:t>
      </w:r>
      <w:r>
        <w:rPr/>
        <w:t>M.</w:t>
      </w:r>
      <w:r>
        <w:rPr>
          <w:spacing w:val="-13"/>
        </w:rPr>
        <w:t> </w:t>
      </w:r>
      <w:r>
        <w:rPr/>
        <w:t>K.</w:t>
      </w:r>
      <w:r>
        <w:rPr>
          <w:spacing w:val="-15"/>
        </w:rPr>
        <w:t> </w:t>
      </w:r>
      <w:r>
        <w:rPr/>
        <w:t>Linnenluecke,</w:t>
      </w:r>
      <w:r>
        <w:rPr>
          <w:spacing w:val="-3"/>
        </w:rPr>
        <w:t> </w:t>
      </w:r>
      <w:r>
        <w:rPr/>
        <w:t>2020,</w:t>
      </w:r>
      <w:r>
        <w:rPr>
          <w:spacing w:val="-3"/>
        </w:rPr>
        <w:t> </w:t>
      </w:r>
      <w:r>
        <w:rPr/>
        <w:t>The</w:t>
      </w:r>
      <w:r>
        <w:rPr>
          <w:spacing w:val="-5"/>
        </w:rPr>
        <w:t> </w:t>
      </w:r>
      <w:r>
        <w:rPr/>
        <w:t>future</w:t>
      </w:r>
      <w:r>
        <w:rPr>
          <w:spacing w:val="-15"/>
        </w:rPr>
        <w:t> </w:t>
      </w:r>
      <w:r>
        <w:rPr/>
        <w:t>trajectory</w:t>
      </w:r>
      <w:r>
        <w:rPr>
          <w:spacing w:val="-15"/>
        </w:rPr>
        <w:t> </w:t>
      </w:r>
      <w:r>
        <w:rPr/>
        <w:t>for</w:t>
      </w:r>
      <w:r>
        <w:rPr>
          <w:spacing w:val="-9"/>
        </w:rPr>
        <w:t> </w:t>
      </w:r>
      <w:r>
        <w:rPr/>
        <w:t>environmental finance: Planetary boundaries and environmental, social and governance analysis, </w:t>
      </w:r>
      <w:r>
        <w:rPr>
          <w:i/>
        </w:rPr>
        <w:t>Accounting &amp; Finance </w:t>
      </w:r>
      <w:r>
        <w:rPr/>
        <w:t>60, 3-14.</w:t>
      </w:r>
    </w:p>
    <w:p>
      <w:pPr>
        <w:pStyle w:val="BodyText"/>
        <w:spacing w:line="482" w:lineRule="auto"/>
        <w:ind w:left="822" w:right="126" w:hanging="721"/>
      </w:pPr>
      <w:r>
        <w:rPr/>
        <w:t>Doumbia, D., and M. Lauridsen, 2019, Closing the SDG financing gap - Trends and data (International Finance Corporation, Washington).</w:t>
      </w:r>
    </w:p>
    <w:p>
      <w:pPr>
        <w:pStyle w:val="BodyText"/>
        <w:spacing w:line="482" w:lineRule="auto"/>
        <w:ind w:left="822" w:right="157" w:hanging="721"/>
      </w:pPr>
      <w:r>
        <w:rPr/>
        <w:t>Ebrahim,</w:t>
      </w:r>
      <w:r>
        <w:rPr>
          <w:spacing w:val="-15"/>
        </w:rPr>
        <w:t> </w:t>
      </w:r>
      <w:r>
        <w:rPr/>
        <w:t>A.,</w:t>
      </w:r>
      <w:r>
        <w:rPr>
          <w:spacing w:val="-15"/>
        </w:rPr>
        <w:t> </w:t>
      </w:r>
      <w:r>
        <w:rPr/>
        <w:t>and</w:t>
      </w:r>
      <w:r>
        <w:rPr>
          <w:spacing w:val="-15"/>
        </w:rPr>
        <w:t> </w:t>
      </w:r>
      <w:r>
        <w:rPr/>
        <w:t>V.</w:t>
      </w:r>
      <w:r>
        <w:rPr>
          <w:spacing w:val="-15"/>
        </w:rPr>
        <w:t> </w:t>
      </w:r>
      <w:r>
        <w:rPr/>
        <w:t>K.</w:t>
      </w:r>
      <w:r>
        <w:rPr>
          <w:spacing w:val="-15"/>
        </w:rPr>
        <w:t> </w:t>
      </w:r>
      <w:r>
        <w:rPr/>
        <w:t>Rangan,</w:t>
      </w:r>
      <w:r>
        <w:rPr>
          <w:spacing w:val="-15"/>
        </w:rPr>
        <w:t> </w:t>
      </w:r>
      <w:r>
        <w:rPr/>
        <w:t>2014,</w:t>
      </w:r>
      <w:r>
        <w:rPr>
          <w:spacing w:val="-13"/>
        </w:rPr>
        <w:t> </w:t>
      </w:r>
      <w:r>
        <w:rPr/>
        <w:t>What</w:t>
      </w:r>
      <w:r>
        <w:rPr>
          <w:spacing w:val="-12"/>
        </w:rPr>
        <w:t> </w:t>
      </w:r>
      <w:r>
        <w:rPr/>
        <w:t>impact?</w:t>
      </w:r>
      <w:r>
        <w:rPr>
          <w:spacing w:val="-8"/>
        </w:rPr>
        <w:t> </w:t>
      </w:r>
      <w:r>
        <w:rPr/>
        <w:t>A</w:t>
      </w:r>
      <w:r>
        <w:rPr>
          <w:spacing w:val="-14"/>
        </w:rPr>
        <w:t> </w:t>
      </w:r>
      <w:r>
        <w:rPr/>
        <w:t>framework</w:t>
      </w:r>
      <w:r>
        <w:rPr>
          <w:spacing w:val="-7"/>
        </w:rPr>
        <w:t> </w:t>
      </w:r>
      <w:r>
        <w:rPr/>
        <w:t>for</w:t>
      </w:r>
      <w:r>
        <w:rPr>
          <w:spacing w:val="-15"/>
        </w:rPr>
        <w:t> </w:t>
      </w:r>
      <w:r>
        <w:rPr/>
        <w:t>measuring</w:t>
      </w:r>
      <w:r>
        <w:rPr>
          <w:spacing w:val="6"/>
        </w:rPr>
        <w:t> </w:t>
      </w:r>
      <w:r>
        <w:rPr/>
        <w:t>the</w:t>
      </w:r>
      <w:r>
        <w:rPr>
          <w:spacing w:val="-15"/>
        </w:rPr>
        <w:t> </w:t>
      </w:r>
      <w:r>
        <w:rPr/>
        <w:t>scale</w:t>
      </w:r>
      <w:r>
        <w:rPr>
          <w:spacing w:val="6"/>
        </w:rPr>
        <w:t> </w:t>
      </w:r>
      <w:r>
        <w:rPr/>
        <w:t>and scope of social performance, </w:t>
      </w:r>
      <w:r>
        <w:rPr>
          <w:i/>
        </w:rPr>
        <w:t>California</w:t>
      </w:r>
      <w:r>
        <w:rPr>
          <w:i/>
          <w:spacing w:val="40"/>
        </w:rPr>
        <w:t> </w:t>
      </w:r>
      <w:r>
        <w:rPr>
          <w:i/>
        </w:rPr>
        <w:t>Management Review </w:t>
      </w:r>
      <w:r>
        <w:rPr/>
        <w:t>56, 118-141.</w:t>
      </w:r>
    </w:p>
    <w:p>
      <w:pPr>
        <w:spacing w:after="0" w:line="482" w:lineRule="auto"/>
        <w:sectPr>
          <w:pgSz w:w="11910" w:h="16850"/>
          <w:pgMar w:header="0" w:footer="1005" w:top="1380" w:bottom="1200" w:left="1340" w:right="1300"/>
        </w:sectPr>
      </w:pPr>
    </w:p>
    <w:p>
      <w:pPr>
        <w:pStyle w:val="BodyText"/>
        <w:spacing w:line="482" w:lineRule="auto" w:before="72"/>
        <w:ind w:left="822" w:right="153" w:hanging="721"/>
      </w:pPr>
      <w:r>
        <w:rPr/>
        <w:t>Glänzel,</w:t>
      </w:r>
      <w:r>
        <w:rPr>
          <w:spacing w:val="-15"/>
        </w:rPr>
        <w:t> </w:t>
      </w:r>
      <w:r>
        <w:rPr/>
        <w:t>G.,</w:t>
      </w:r>
      <w:r>
        <w:rPr>
          <w:spacing w:val="-15"/>
        </w:rPr>
        <w:t> </w:t>
      </w:r>
      <w:r>
        <w:rPr/>
        <w:t>and</w:t>
      </w:r>
      <w:r>
        <w:rPr>
          <w:spacing w:val="-15"/>
        </w:rPr>
        <w:t> </w:t>
      </w:r>
      <w:r>
        <w:rPr/>
        <w:t>T.</w:t>
      </w:r>
      <w:r>
        <w:rPr>
          <w:spacing w:val="-15"/>
        </w:rPr>
        <w:t> </w:t>
      </w:r>
      <w:r>
        <w:rPr/>
        <w:t>Scheuerle,</w:t>
      </w:r>
      <w:r>
        <w:rPr>
          <w:spacing w:val="-15"/>
        </w:rPr>
        <w:t> </w:t>
      </w:r>
      <w:r>
        <w:rPr/>
        <w:t>2016,</w:t>
      </w:r>
      <w:r>
        <w:rPr>
          <w:spacing w:val="-15"/>
        </w:rPr>
        <w:t> </w:t>
      </w:r>
      <w:r>
        <w:rPr/>
        <w:t>Social</w:t>
      </w:r>
      <w:r>
        <w:rPr>
          <w:spacing w:val="-15"/>
        </w:rPr>
        <w:t> </w:t>
      </w:r>
      <w:r>
        <w:rPr/>
        <w:t>impact</w:t>
      </w:r>
      <w:r>
        <w:rPr>
          <w:spacing w:val="-15"/>
        </w:rPr>
        <w:t> </w:t>
      </w:r>
      <w:r>
        <w:rPr/>
        <w:t>investing</w:t>
      </w:r>
      <w:r>
        <w:rPr>
          <w:spacing w:val="-15"/>
        </w:rPr>
        <w:t> </w:t>
      </w:r>
      <w:r>
        <w:rPr/>
        <w:t>in</w:t>
      </w:r>
      <w:r>
        <w:rPr>
          <w:spacing w:val="-15"/>
        </w:rPr>
        <w:t> </w:t>
      </w:r>
      <w:r>
        <w:rPr/>
        <w:t>Germany:</w:t>
      </w:r>
      <w:r>
        <w:rPr>
          <w:spacing w:val="-15"/>
        </w:rPr>
        <w:t> </w:t>
      </w:r>
      <w:r>
        <w:rPr/>
        <w:t>Current</w:t>
      </w:r>
      <w:r>
        <w:rPr>
          <w:spacing w:val="-15"/>
        </w:rPr>
        <w:t> </w:t>
      </w:r>
      <w:r>
        <w:rPr/>
        <w:t>impediments from investors’ and social entrepreneurs’ perspectives, </w:t>
      </w:r>
      <w:r>
        <w:rPr>
          <w:i/>
        </w:rPr>
        <w:t>Voluntas </w:t>
      </w:r>
      <w:r>
        <w:rPr/>
        <w:t>27, 1638-1668.</w:t>
      </w:r>
    </w:p>
    <w:p>
      <w:pPr>
        <w:pStyle w:val="BodyText"/>
        <w:spacing w:line="470" w:lineRule="auto" w:before="2"/>
        <w:ind w:left="822" w:right="139" w:hanging="721"/>
      </w:pPr>
      <w:r>
        <w:rPr/>
        <w:t>Hazenberg, R., F. Seddon, and S. Denny, 2015, Intermediary perceptions of investment readiness in the UK social investment market, </w:t>
      </w:r>
      <w:r>
        <w:rPr>
          <w:i/>
        </w:rPr>
        <w:t>Voluntas </w:t>
      </w:r>
      <w:r>
        <w:rPr/>
        <w:t>26, 846-871.</w:t>
      </w:r>
    </w:p>
    <w:p>
      <w:pPr>
        <w:pStyle w:val="BodyText"/>
        <w:spacing w:line="482" w:lineRule="auto" w:before="14"/>
        <w:ind w:left="822" w:right="120" w:hanging="721"/>
      </w:pPr>
      <w:r>
        <w:rPr/>
        <w:t>Höchstädter,</w:t>
      </w:r>
      <w:r>
        <w:rPr>
          <w:spacing w:val="-15"/>
        </w:rPr>
        <w:t> </w:t>
      </w:r>
      <w:r>
        <w:rPr/>
        <w:t>A.</w:t>
      </w:r>
      <w:r>
        <w:rPr>
          <w:spacing w:val="-4"/>
        </w:rPr>
        <w:t> </w:t>
      </w:r>
      <w:r>
        <w:rPr/>
        <w:t>K.,</w:t>
      </w:r>
      <w:r>
        <w:rPr>
          <w:spacing w:val="-2"/>
        </w:rPr>
        <w:t> </w:t>
      </w:r>
      <w:r>
        <w:rPr/>
        <w:t>and B. Scheck, 2015, What’s in a name: An analysis of impact investing understandings</w:t>
      </w:r>
      <w:r>
        <w:rPr>
          <w:spacing w:val="-9"/>
        </w:rPr>
        <w:t> </w:t>
      </w:r>
      <w:r>
        <w:rPr/>
        <w:t>by academics and practitioners,</w:t>
      </w:r>
      <w:r>
        <w:rPr>
          <w:spacing w:val="40"/>
        </w:rPr>
        <w:t> </w:t>
      </w:r>
      <w:r>
        <w:rPr>
          <w:i/>
        </w:rPr>
        <w:t>Journal of Business Ethics </w:t>
      </w:r>
      <w:r>
        <w:rPr/>
        <w:t>132, 449- </w:t>
      </w:r>
      <w:r>
        <w:rPr>
          <w:spacing w:val="-4"/>
        </w:rPr>
        <w:t>475.</w:t>
      </w:r>
    </w:p>
    <w:p>
      <w:pPr>
        <w:pStyle w:val="BodyText"/>
        <w:spacing w:line="470" w:lineRule="auto" w:before="2"/>
        <w:ind w:left="822" w:right="157" w:hanging="721"/>
      </w:pPr>
      <w:r>
        <w:rPr/>
        <w:t>International</w:t>
      </w:r>
      <w:r>
        <w:rPr>
          <w:spacing w:val="-1"/>
        </w:rPr>
        <w:t> </w:t>
      </w:r>
      <w:r>
        <w:rPr/>
        <w:t>Finance Corporation, 2019, Creating impact: The promise of impact investing (World Bank Group, Washington).</w:t>
      </w:r>
    </w:p>
    <w:p>
      <w:pPr>
        <w:spacing w:line="482" w:lineRule="auto" w:before="14"/>
        <w:ind w:left="822" w:right="151" w:hanging="721"/>
        <w:jc w:val="both"/>
        <w:rPr>
          <w:sz w:val="24"/>
        </w:rPr>
      </w:pPr>
      <w:r>
        <w:rPr>
          <w:sz w:val="24"/>
        </w:rPr>
        <w:t>Islam, S. M., 2020a, Towards an integrative definition of scaling social impact in social enterprises, </w:t>
      </w:r>
      <w:r>
        <w:rPr>
          <w:i/>
          <w:sz w:val="24"/>
        </w:rPr>
        <w:t>Journal of Business Venturing Insights </w:t>
      </w:r>
      <w:r>
        <w:rPr>
          <w:sz w:val="24"/>
        </w:rPr>
        <w:t>13, e00164.</w:t>
      </w:r>
    </w:p>
    <w:p>
      <w:pPr>
        <w:pStyle w:val="BodyText"/>
        <w:spacing w:line="477" w:lineRule="auto" w:before="2"/>
        <w:ind w:left="822" w:right="140" w:hanging="721"/>
      </w:pPr>
      <w:r>
        <w:rPr/>
        <w:t>Islam, S. M., 2020b, Unintended consequences of scaling social impact through ecosystem growth strategy in social enterprise and social entrepreneurship, </w:t>
      </w:r>
      <w:r>
        <w:rPr>
          <w:i/>
        </w:rPr>
        <w:t>Journal of Business</w:t>
      </w:r>
      <w:r>
        <w:rPr>
          <w:i/>
        </w:rPr>
        <w:t> Venturing Insights</w:t>
      </w:r>
      <w:r>
        <w:rPr>
          <w:i/>
          <w:spacing w:val="40"/>
        </w:rPr>
        <w:t> </w:t>
      </w:r>
      <w:r>
        <w:rPr/>
        <w:t>13, e00159.</w:t>
      </w:r>
    </w:p>
    <w:p>
      <w:pPr>
        <w:pStyle w:val="BodyText"/>
        <w:spacing w:line="482" w:lineRule="auto" w:before="4"/>
        <w:ind w:left="822" w:right="155" w:hanging="721"/>
      </w:pPr>
      <w:r>
        <w:rPr/>
        <w:t>Islam, S.</w:t>
      </w:r>
      <w:r>
        <w:rPr>
          <w:spacing w:val="-8"/>
        </w:rPr>
        <w:t> </w:t>
      </w:r>
      <w:r>
        <w:rPr/>
        <w:t>M., 2022a, Impact</w:t>
      </w:r>
      <w:r>
        <w:rPr>
          <w:spacing w:val="-15"/>
        </w:rPr>
        <w:t> </w:t>
      </w:r>
      <w:r>
        <w:rPr/>
        <w:t>investing in social sector</w:t>
      </w:r>
      <w:r>
        <w:rPr>
          <w:spacing w:val="-1"/>
        </w:rPr>
        <w:t> </w:t>
      </w:r>
      <w:r>
        <w:rPr/>
        <w:t>organisations: A</w:t>
      </w:r>
      <w:r>
        <w:rPr>
          <w:spacing w:val="-4"/>
        </w:rPr>
        <w:t> </w:t>
      </w:r>
      <w:r>
        <w:rPr/>
        <w:t>systematic review and research agenda, </w:t>
      </w:r>
      <w:r>
        <w:rPr>
          <w:i/>
        </w:rPr>
        <w:t>Accounting &amp; Finance </w:t>
      </w:r>
      <w:r>
        <w:rPr/>
        <w:t>62, 709-737.</w:t>
      </w:r>
    </w:p>
    <w:p>
      <w:pPr>
        <w:pStyle w:val="BodyText"/>
        <w:spacing w:line="477" w:lineRule="auto" w:before="1"/>
        <w:ind w:left="822" w:right="120" w:hanging="721"/>
      </w:pPr>
      <w:r>
        <w:rPr/>
        <w:t>Islam, S. M., 2022b, Impact risk management in impact investing: How impact investing organizations adopt control mechanisms to manage their impact risk, </w:t>
      </w:r>
      <w:r>
        <w:rPr>
          <w:i/>
        </w:rPr>
        <w:t>Journal of</w:t>
      </w:r>
      <w:r>
        <w:rPr>
          <w:i/>
        </w:rPr>
        <w:t> Management Accounting Research</w:t>
      </w:r>
      <w:r>
        <w:rPr/>
        <w:t>, (in press).</w:t>
      </w:r>
      <w:r>
        <w:rPr/>
        <w:t> </w:t>
      </w:r>
      <w:hyperlink r:id="rId9">
        <w:r>
          <w:rPr/>
          <w:t>https://doi.org/10.2308/JMAR-2021-</w:t>
        </w:r>
      </w:hyperlink>
      <w:r>
        <w:rPr/>
        <w:t> </w:t>
      </w:r>
      <w:hyperlink r:id="rId9">
        <w:r>
          <w:rPr>
            <w:spacing w:val="-4"/>
          </w:rPr>
          <w:t>041</w:t>
        </w:r>
      </w:hyperlink>
    </w:p>
    <w:p>
      <w:pPr>
        <w:spacing w:line="482" w:lineRule="auto" w:before="11"/>
        <w:ind w:left="822" w:right="161" w:hanging="721"/>
        <w:jc w:val="both"/>
        <w:rPr>
          <w:sz w:val="24"/>
        </w:rPr>
      </w:pPr>
      <w:r>
        <w:rPr>
          <w:sz w:val="24"/>
        </w:rPr>
        <w:t>Islam,</w:t>
      </w:r>
      <w:r>
        <w:rPr>
          <w:spacing w:val="-15"/>
          <w:sz w:val="24"/>
        </w:rPr>
        <w:t> </w:t>
      </w:r>
      <w:r>
        <w:rPr>
          <w:sz w:val="24"/>
        </w:rPr>
        <w:t>S.</w:t>
      </w:r>
      <w:r>
        <w:rPr>
          <w:spacing w:val="-12"/>
          <w:sz w:val="24"/>
        </w:rPr>
        <w:t> </w:t>
      </w:r>
      <w:r>
        <w:rPr>
          <w:sz w:val="24"/>
        </w:rPr>
        <w:t>M.,</w:t>
      </w:r>
      <w:r>
        <w:rPr>
          <w:spacing w:val="-11"/>
          <w:sz w:val="24"/>
        </w:rPr>
        <w:t> </w:t>
      </w:r>
      <w:r>
        <w:rPr>
          <w:sz w:val="24"/>
        </w:rPr>
        <w:t>2022c,</w:t>
      </w:r>
      <w:r>
        <w:rPr>
          <w:spacing w:val="-12"/>
          <w:sz w:val="24"/>
        </w:rPr>
        <w:t> </w:t>
      </w:r>
      <w:r>
        <w:rPr>
          <w:sz w:val="24"/>
        </w:rPr>
        <w:t>Social</w:t>
      </w:r>
      <w:r>
        <w:rPr>
          <w:spacing w:val="-5"/>
          <w:sz w:val="24"/>
        </w:rPr>
        <w:t> </w:t>
      </w:r>
      <w:r>
        <w:rPr>
          <w:sz w:val="24"/>
        </w:rPr>
        <w:t>impact</w:t>
      </w:r>
      <w:r>
        <w:rPr>
          <w:spacing w:val="-5"/>
          <w:sz w:val="24"/>
        </w:rPr>
        <w:t> </w:t>
      </w:r>
      <w:r>
        <w:rPr>
          <w:sz w:val="24"/>
        </w:rPr>
        <w:t>scaling</w:t>
      </w:r>
      <w:r>
        <w:rPr>
          <w:spacing w:val="-1"/>
          <w:sz w:val="24"/>
        </w:rPr>
        <w:t> </w:t>
      </w:r>
      <w:r>
        <w:rPr>
          <w:sz w:val="24"/>
        </w:rPr>
        <w:t>strategies</w:t>
      </w:r>
      <w:r>
        <w:rPr>
          <w:spacing w:val="-15"/>
          <w:sz w:val="24"/>
        </w:rPr>
        <w:t> </w:t>
      </w:r>
      <w:r>
        <w:rPr>
          <w:sz w:val="24"/>
        </w:rPr>
        <w:t>in</w:t>
      </w:r>
      <w:r>
        <w:rPr>
          <w:spacing w:val="-12"/>
          <w:sz w:val="24"/>
        </w:rPr>
        <w:t> </w:t>
      </w:r>
      <w:r>
        <w:rPr>
          <w:sz w:val="24"/>
        </w:rPr>
        <w:t>social</w:t>
      </w:r>
      <w:r>
        <w:rPr>
          <w:spacing w:val="-5"/>
          <w:sz w:val="24"/>
        </w:rPr>
        <w:t> </w:t>
      </w:r>
      <w:r>
        <w:rPr>
          <w:sz w:val="24"/>
        </w:rPr>
        <w:t>enterprises: A</w:t>
      </w:r>
      <w:r>
        <w:rPr>
          <w:spacing w:val="-15"/>
          <w:sz w:val="24"/>
        </w:rPr>
        <w:t> </w:t>
      </w:r>
      <w:r>
        <w:rPr>
          <w:sz w:val="24"/>
        </w:rPr>
        <w:t>systematic</w:t>
      </w:r>
      <w:r>
        <w:rPr>
          <w:spacing w:val="-14"/>
          <w:sz w:val="24"/>
        </w:rPr>
        <w:t> </w:t>
      </w:r>
      <w:r>
        <w:rPr>
          <w:sz w:val="24"/>
        </w:rPr>
        <w:t>review and research agenda, </w:t>
      </w:r>
      <w:r>
        <w:rPr>
          <w:i/>
          <w:sz w:val="24"/>
        </w:rPr>
        <w:t>Australian Journal of Management </w:t>
      </w:r>
      <w:r>
        <w:rPr>
          <w:sz w:val="24"/>
        </w:rPr>
        <w:t>47, 298-321.</w:t>
      </w:r>
    </w:p>
    <w:p>
      <w:pPr>
        <w:pStyle w:val="BodyText"/>
        <w:spacing w:line="477" w:lineRule="auto" w:before="1"/>
        <w:ind w:left="822" w:right="120" w:hanging="721"/>
      </w:pPr>
      <w:r>
        <w:rPr/>
        <w:t>Islam, S. M., and A.</w:t>
      </w:r>
      <w:r>
        <w:rPr>
          <w:spacing w:val="-3"/>
        </w:rPr>
        <w:t> </w:t>
      </w:r>
      <w:r>
        <w:rPr/>
        <w:t>Habib, 2022, How impact investing firms are responding</w:t>
      </w:r>
      <w:r>
        <w:rPr>
          <w:spacing w:val="-3"/>
        </w:rPr>
        <w:t> </w:t>
      </w:r>
      <w:r>
        <w:rPr/>
        <w:t>to sustain and grow social economy enterprises in light of the COVID-19 pandemic,</w:t>
      </w:r>
      <w:r>
        <w:rPr/>
        <w:t> </w:t>
      </w:r>
      <w:r>
        <w:rPr>
          <w:i/>
        </w:rPr>
        <w:t>Journal</w:t>
      </w:r>
      <w:r>
        <w:rPr>
          <w:i/>
        </w:rPr>
        <w:t> of</w:t>
      </w:r>
      <w:r>
        <w:rPr>
          <w:i/>
        </w:rPr>
        <w:t> Business Venturing Insights</w:t>
      </w:r>
      <w:r>
        <w:rPr>
          <w:i/>
          <w:spacing w:val="40"/>
        </w:rPr>
        <w:t> </w:t>
      </w:r>
      <w:r>
        <w:rPr/>
        <w:t>18, e00347.</w:t>
      </w:r>
    </w:p>
    <w:p>
      <w:pPr>
        <w:spacing w:after="0" w:line="477" w:lineRule="auto"/>
        <w:sectPr>
          <w:pgSz w:w="11910" w:h="16850"/>
          <w:pgMar w:header="0" w:footer="1005" w:top="1380" w:bottom="1200" w:left="1340" w:right="1300"/>
        </w:sectPr>
      </w:pPr>
    </w:p>
    <w:p>
      <w:pPr>
        <w:pStyle w:val="BodyText"/>
        <w:spacing w:line="482" w:lineRule="auto" w:before="72"/>
        <w:ind w:left="822" w:right="128" w:hanging="721"/>
      </w:pPr>
      <w:r>
        <w:rPr/>
        <w:t>Islam, S. M., and T. Scott,</w:t>
      </w:r>
      <w:r>
        <w:rPr>
          <w:spacing w:val="-4"/>
        </w:rPr>
        <w:t> </w:t>
      </w:r>
      <w:r>
        <w:rPr/>
        <w:t>2022, Current demand and supply of impact investments across different geographic regions, sectors, and stages of business: Match or mismatch?, </w:t>
      </w:r>
      <w:r>
        <w:rPr>
          <w:i/>
        </w:rPr>
        <w:t>Australian</w:t>
      </w:r>
      <w:r>
        <w:rPr>
          <w:i/>
          <w:spacing w:val="40"/>
        </w:rPr>
        <w:t> </w:t>
      </w:r>
      <w:r>
        <w:rPr>
          <w:i/>
        </w:rPr>
        <w:t>Journal of Management </w:t>
      </w:r>
      <w:r>
        <w:rPr/>
        <w:t>47, 686-704.</w:t>
      </w:r>
    </w:p>
    <w:p>
      <w:pPr>
        <w:spacing w:line="482" w:lineRule="auto" w:before="0"/>
        <w:ind w:left="822" w:right="125" w:hanging="721"/>
        <w:jc w:val="both"/>
        <w:rPr>
          <w:sz w:val="24"/>
        </w:rPr>
      </w:pPr>
      <w:r>
        <w:rPr>
          <w:sz w:val="24"/>
        </w:rPr>
        <w:t>King, J., 2017, Using economic methods evaluatively, </w:t>
      </w:r>
      <w:r>
        <w:rPr>
          <w:i/>
          <w:sz w:val="24"/>
        </w:rPr>
        <w:t>American Journal of Evaluation </w:t>
      </w:r>
      <w:r>
        <w:rPr>
          <w:sz w:val="24"/>
        </w:rPr>
        <w:t>38, </w:t>
      </w:r>
      <w:r>
        <w:rPr>
          <w:spacing w:val="-2"/>
          <w:sz w:val="24"/>
        </w:rPr>
        <w:t>101-113.</w:t>
      </w:r>
    </w:p>
    <w:p>
      <w:pPr>
        <w:pStyle w:val="BodyText"/>
        <w:spacing w:line="482" w:lineRule="auto"/>
        <w:ind w:left="822" w:right="137" w:hanging="721"/>
      </w:pPr>
      <w:r>
        <w:rPr/>
        <w:t>Lall, S. A., 2019, From</w:t>
      </w:r>
      <w:r>
        <w:rPr/>
        <w:t> legitimacy</w:t>
      </w:r>
      <w:r>
        <w:rPr/>
        <w:t> to learning:</w:t>
      </w:r>
      <w:r>
        <w:rPr/>
        <w:t> How impact measurement</w:t>
      </w:r>
      <w:r>
        <w:rPr/>
        <w:t> perceptions and practices</w:t>
      </w:r>
      <w:r>
        <w:rPr>
          <w:spacing w:val="-15"/>
        </w:rPr>
        <w:t> </w:t>
      </w:r>
      <w:r>
        <w:rPr/>
        <w:t>evolve</w:t>
      </w:r>
      <w:r>
        <w:rPr>
          <w:spacing w:val="-15"/>
        </w:rPr>
        <w:t> </w:t>
      </w:r>
      <w:r>
        <w:rPr/>
        <w:t>in</w:t>
      </w:r>
      <w:r>
        <w:rPr>
          <w:spacing w:val="-15"/>
        </w:rPr>
        <w:t> </w:t>
      </w:r>
      <w:r>
        <w:rPr/>
        <w:t>social</w:t>
      </w:r>
      <w:r>
        <w:rPr>
          <w:spacing w:val="-15"/>
        </w:rPr>
        <w:t> </w:t>
      </w:r>
      <w:r>
        <w:rPr/>
        <w:t>enterprise–social</w:t>
      </w:r>
      <w:r>
        <w:rPr>
          <w:spacing w:val="-15"/>
        </w:rPr>
        <w:t> </w:t>
      </w:r>
      <w:r>
        <w:rPr/>
        <w:t>finance</w:t>
      </w:r>
      <w:r>
        <w:rPr>
          <w:spacing w:val="-15"/>
        </w:rPr>
        <w:t> </w:t>
      </w:r>
      <w:r>
        <w:rPr/>
        <w:t>organization</w:t>
      </w:r>
      <w:r>
        <w:rPr>
          <w:spacing w:val="-15"/>
        </w:rPr>
        <w:t> </w:t>
      </w:r>
      <w:r>
        <w:rPr/>
        <w:t>relationships,</w:t>
      </w:r>
      <w:r>
        <w:rPr>
          <w:spacing w:val="-15"/>
        </w:rPr>
        <w:t> </w:t>
      </w:r>
      <w:r>
        <w:rPr>
          <w:i/>
        </w:rPr>
        <w:t>Voluntas</w:t>
      </w:r>
      <w:r>
        <w:rPr>
          <w:i/>
        </w:rPr>
        <w:t> </w:t>
      </w:r>
      <w:r>
        <w:rPr/>
        <w:t>30, 562-577.</w:t>
      </w:r>
    </w:p>
    <w:p>
      <w:pPr>
        <w:pStyle w:val="BodyText"/>
        <w:spacing w:line="482" w:lineRule="auto"/>
        <w:ind w:left="822" w:right="120" w:hanging="721"/>
      </w:pPr>
      <w:r>
        <w:rPr/>
        <w:t>López-Arceiz, F. J., A. J. Bellostas, and P. Rivera-Torres, 2017, Social investment in Spain: How do solidarity mutual funds</w:t>
      </w:r>
      <w:r>
        <w:rPr>
          <w:spacing w:val="-2"/>
        </w:rPr>
        <w:t> </w:t>
      </w:r>
      <w:r>
        <w:rPr/>
        <w:t>decide the allocation of solidarity funding between social</w:t>
      </w:r>
      <w:r>
        <w:rPr>
          <w:spacing w:val="-4"/>
        </w:rPr>
        <w:t> </w:t>
      </w:r>
      <w:r>
        <w:rPr/>
        <w:t>economy organizations?, </w:t>
      </w:r>
      <w:r>
        <w:rPr>
          <w:i/>
        </w:rPr>
        <w:t>Annals</w:t>
      </w:r>
      <w:r>
        <w:rPr>
          <w:i/>
          <w:spacing w:val="-1"/>
        </w:rPr>
        <w:t> </w:t>
      </w:r>
      <w:r>
        <w:rPr>
          <w:i/>
        </w:rPr>
        <w:t>of</w:t>
      </w:r>
      <w:r>
        <w:rPr>
          <w:i/>
          <w:spacing w:val="-15"/>
        </w:rPr>
        <w:t> </w:t>
      </w:r>
      <w:r>
        <w:rPr>
          <w:i/>
        </w:rPr>
        <w:t>Public and</w:t>
      </w:r>
      <w:r>
        <w:rPr>
          <w:i/>
          <w:spacing w:val="-10"/>
        </w:rPr>
        <w:t> </w:t>
      </w:r>
      <w:r>
        <w:rPr>
          <w:i/>
        </w:rPr>
        <w:t>Cooperative Economics</w:t>
      </w:r>
      <w:r>
        <w:rPr>
          <w:i/>
          <w:spacing w:val="-6"/>
        </w:rPr>
        <w:t> </w:t>
      </w:r>
      <w:r>
        <w:rPr/>
        <w:t>88,</w:t>
      </w:r>
      <w:r>
        <w:rPr>
          <w:spacing w:val="-10"/>
        </w:rPr>
        <w:t> </w:t>
      </w:r>
      <w:r>
        <w:rPr/>
        <w:t>519- </w:t>
      </w:r>
      <w:r>
        <w:rPr>
          <w:spacing w:val="-4"/>
        </w:rPr>
        <w:t>542.</w:t>
      </w:r>
    </w:p>
    <w:p>
      <w:pPr>
        <w:spacing w:line="470" w:lineRule="auto" w:before="0"/>
        <w:ind w:left="822" w:right="149" w:hanging="721"/>
        <w:jc w:val="both"/>
        <w:rPr>
          <w:sz w:val="24"/>
        </w:rPr>
      </w:pPr>
      <w:r>
        <w:rPr>
          <w:sz w:val="24"/>
        </w:rPr>
        <w:t>Mayer, J.,</w:t>
      </w:r>
      <w:r>
        <w:rPr>
          <w:spacing w:val="-6"/>
          <w:sz w:val="24"/>
        </w:rPr>
        <w:t> </w:t>
      </w:r>
      <w:r>
        <w:rPr>
          <w:sz w:val="24"/>
        </w:rPr>
        <w:t>and B.</w:t>
      </w:r>
      <w:r>
        <w:rPr>
          <w:spacing w:val="-6"/>
          <w:sz w:val="24"/>
        </w:rPr>
        <w:t> </w:t>
      </w:r>
      <w:r>
        <w:rPr>
          <w:sz w:val="24"/>
        </w:rPr>
        <w:t>Scheck,</w:t>
      </w:r>
      <w:r>
        <w:rPr>
          <w:spacing w:val="-6"/>
          <w:sz w:val="24"/>
        </w:rPr>
        <w:t> </w:t>
      </w:r>
      <w:r>
        <w:rPr>
          <w:sz w:val="24"/>
        </w:rPr>
        <w:t>2018,</w:t>
      </w:r>
      <w:r>
        <w:rPr>
          <w:spacing w:val="-6"/>
          <w:sz w:val="24"/>
        </w:rPr>
        <w:t> </w:t>
      </w:r>
      <w:r>
        <w:rPr>
          <w:sz w:val="24"/>
        </w:rPr>
        <w:t>Social investing: What matters</w:t>
      </w:r>
      <w:r>
        <w:rPr>
          <w:spacing w:val="-9"/>
          <w:sz w:val="24"/>
        </w:rPr>
        <w:t> </w:t>
      </w:r>
      <w:r>
        <w:rPr>
          <w:sz w:val="24"/>
        </w:rPr>
        <w:t>from</w:t>
      </w:r>
      <w:r>
        <w:rPr>
          <w:spacing w:val="-12"/>
          <w:sz w:val="24"/>
        </w:rPr>
        <w:t> </w:t>
      </w:r>
      <w:r>
        <w:rPr>
          <w:sz w:val="24"/>
        </w:rPr>
        <w:t>the</w:t>
      </w:r>
      <w:r>
        <w:rPr>
          <w:spacing w:val="-8"/>
          <w:sz w:val="24"/>
        </w:rPr>
        <w:t> </w:t>
      </w:r>
      <w:r>
        <w:rPr>
          <w:sz w:val="24"/>
        </w:rPr>
        <w:t>perspective of social enterprises?, </w:t>
      </w:r>
      <w:r>
        <w:rPr>
          <w:i/>
          <w:sz w:val="24"/>
        </w:rPr>
        <w:t>Nonprofit and Voluntary Sector Quarterly </w:t>
      </w:r>
      <w:r>
        <w:rPr>
          <w:sz w:val="24"/>
        </w:rPr>
        <w:t>47, 493-513.</w:t>
      </w:r>
    </w:p>
    <w:p>
      <w:pPr>
        <w:pStyle w:val="BodyText"/>
        <w:spacing w:line="482" w:lineRule="auto"/>
        <w:ind w:left="822" w:right="140" w:hanging="721"/>
      </w:pPr>
      <w:r>
        <w:rPr/>
        <w:t>Mersland, R., S. A. Nyarko, and A. B. Sirisena, 2020, A hybrid approach to international market selection: The case of impact investing organizations, </w:t>
      </w:r>
      <w:r>
        <w:rPr>
          <w:i/>
        </w:rPr>
        <w:t>International Business</w:t>
      </w:r>
      <w:r>
        <w:rPr>
          <w:i/>
        </w:rPr>
        <w:t> Review </w:t>
      </w:r>
      <w:r>
        <w:rPr/>
        <w:t>29, 1-12.</w:t>
      </w:r>
    </w:p>
    <w:p>
      <w:pPr>
        <w:pStyle w:val="BodyText"/>
        <w:spacing w:line="470" w:lineRule="auto"/>
        <w:ind w:left="822" w:right="129" w:hanging="721"/>
      </w:pPr>
      <w:r>
        <w:rPr/>
        <w:t>Mudaliar, A.,</w:t>
      </w:r>
      <w:r>
        <w:rPr>
          <w:spacing w:val="-2"/>
        </w:rPr>
        <w:t> </w:t>
      </w:r>
      <w:r>
        <w:rPr/>
        <w:t>R.</w:t>
      </w:r>
      <w:r>
        <w:rPr>
          <w:spacing w:val="-2"/>
        </w:rPr>
        <w:t> </w:t>
      </w:r>
      <w:r>
        <w:rPr/>
        <w:t>Bass, H. Dithrich, and N. Nova, 2019, Annual impact investor survey 2019 (Global Impact Investing Network, New York).</w:t>
      </w:r>
    </w:p>
    <w:p>
      <w:pPr>
        <w:pStyle w:val="BodyText"/>
        <w:spacing w:line="482" w:lineRule="auto" w:before="10"/>
        <w:ind w:left="822" w:right="138" w:hanging="721"/>
      </w:pPr>
      <w:r>
        <w:rPr/>
        <w:t>Muir, K.,</w:t>
      </w:r>
      <w:r>
        <w:rPr>
          <w:spacing w:val="-4"/>
        </w:rPr>
        <w:t> </w:t>
      </w:r>
      <w:r>
        <w:rPr/>
        <w:t>M.</w:t>
      </w:r>
      <w:r>
        <w:rPr>
          <w:spacing w:val="-4"/>
        </w:rPr>
        <w:t> </w:t>
      </w:r>
      <w:r>
        <w:rPr/>
        <w:t>Moran, F.</w:t>
      </w:r>
      <w:r>
        <w:rPr>
          <w:spacing w:val="-4"/>
        </w:rPr>
        <w:t> </w:t>
      </w:r>
      <w:r>
        <w:rPr/>
        <w:t>Michaux,</w:t>
      </w:r>
      <w:r>
        <w:rPr>
          <w:spacing w:val="-4"/>
        </w:rPr>
        <w:t> </w:t>
      </w:r>
      <w:r>
        <w:rPr/>
        <w:t>S.</w:t>
      </w:r>
      <w:r>
        <w:rPr>
          <w:spacing w:val="-4"/>
        </w:rPr>
        <w:t> </w:t>
      </w:r>
      <w:r>
        <w:rPr/>
        <w:t>Findlay,</w:t>
      </w:r>
      <w:r>
        <w:rPr>
          <w:spacing w:val="-4"/>
        </w:rPr>
        <w:t> </w:t>
      </w:r>
      <w:r>
        <w:rPr/>
        <w:t>A.</w:t>
      </w:r>
      <w:r>
        <w:rPr>
          <w:spacing w:val="-4"/>
        </w:rPr>
        <w:t> </w:t>
      </w:r>
      <w:r>
        <w:rPr/>
        <w:t>Meltzer, C.</w:t>
      </w:r>
      <w:r>
        <w:rPr>
          <w:spacing w:val="-15"/>
        </w:rPr>
        <w:t> </w:t>
      </w:r>
      <w:r>
        <w:rPr/>
        <w:t>Mason, I.</w:t>
      </w:r>
      <w:r>
        <w:rPr>
          <w:spacing w:val="-15"/>
        </w:rPr>
        <w:t> </w:t>
      </w:r>
      <w:r>
        <w:rPr/>
        <w:t>Ramia, and</w:t>
      </w:r>
      <w:r>
        <w:rPr>
          <w:spacing w:val="-5"/>
        </w:rPr>
        <w:t> </w:t>
      </w:r>
      <w:r>
        <w:rPr/>
        <w:t>R.</w:t>
      </w:r>
      <w:r>
        <w:rPr>
          <w:spacing w:val="-4"/>
        </w:rPr>
        <w:t> </w:t>
      </w:r>
      <w:r>
        <w:rPr/>
        <w:t>Heaney, 2017,</w:t>
      </w:r>
      <w:r>
        <w:rPr>
          <w:spacing w:val="-15"/>
        </w:rPr>
        <w:t> </w:t>
      </w:r>
      <w:r>
        <w:rPr/>
        <w:t>The</w:t>
      </w:r>
      <w:r>
        <w:rPr>
          <w:spacing w:val="-15"/>
        </w:rPr>
        <w:t> </w:t>
      </w:r>
      <w:r>
        <w:rPr/>
        <w:t>opportunities,</w:t>
      </w:r>
      <w:r>
        <w:rPr>
          <w:spacing w:val="-7"/>
        </w:rPr>
        <w:t> </w:t>
      </w:r>
      <w:r>
        <w:rPr/>
        <w:t>risks</w:t>
      </w:r>
      <w:r>
        <w:rPr>
          <w:spacing w:val="-2"/>
        </w:rPr>
        <w:t> </w:t>
      </w:r>
      <w:r>
        <w:rPr/>
        <w:t>and</w:t>
      </w:r>
      <w:r>
        <w:rPr>
          <w:spacing w:val="-12"/>
        </w:rPr>
        <w:t> </w:t>
      </w:r>
      <w:r>
        <w:rPr/>
        <w:t>possibilities</w:t>
      </w:r>
      <w:r>
        <w:rPr>
          <w:spacing w:val="10"/>
        </w:rPr>
        <w:t> </w:t>
      </w:r>
      <w:r>
        <w:rPr/>
        <w:t>of</w:t>
      </w:r>
      <w:r>
        <w:rPr>
          <w:spacing w:val="-15"/>
        </w:rPr>
        <w:t> </w:t>
      </w:r>
      <w:r>
        <w:rPr/>
        <w:t>social</w:t>
      </w:r>
      <w:r>
        <w:rPr>
          <w:spacing w:val="-5"/>
        </w:rPr>
        <w:t> </w:t>
      </w:r>
      <w:r>
        <w:rPr/>
        <w:t>impact</w:t>
      </w:r>
      <w:r>
        <w:rPr>
          <w:spacing w:val="-5"/>
        </w:rPr>
        <w:t> </w:t>
      </w:r>
      <w:r>
        <w:rPr/>
        <w:t>investment</w:t>
      </w:r>
      <w:r>
        <w:rPr>
          <w:spacing w:val="-5"/>
        </w:rPr>
        <w:t> </w:t>
      </w:r>
      <w:r>
        <w:rPr/>
        <w:t>for</w:t>
      </w:r>
      <w:r>
        <w:rPr>
          <w:spacing w:val="-15"/>
        </w:rPr>
        <w:t> </w:t>
      </w:r>
      <w:r>
        <w:rPr/>
        <w:t>housing and homelessness (Australian Housing and Urban</w:t>
      </w:r>
      <w:r>
        <w:rPr/>
        <w:t> Research Institute Limited, </w:t>
      </w:r>
      <w:r>
        <w:rPr>
          <w:spacing w:val="-2"/>
        </w:rPr>
        <w:t>Melbourne).</w:t>
      </w:r>
    </w:p>
    <w:p>
      <w:pPr>
        <w:pStyle w:val="BodyText"/>
        <w:spacing w:line="482" w:lineRule="auto"/>
        <w:ind w:left="822" w:right="140" w:hanging="721"/>
      </w:pPr>
      <w:r>
        <w:rPr/>
        <w:t>Nilsson, M., D. Griggs,</w:t>
      </w:r>
      <w:r>
        <w:rPr/>
        <w:t> and</w:t>
      </w:r>
      <w:r>
        <w:rPr/>
        <w:t> M. Visbeck, 2016, Policy: Map the interactions between Sustainable Development Goals, </w:t>
      </w:r>
      <w:r>
        <w:rPr>
          <w:i/>
        </w:rPr>
        <w:t>Nature </w:t>
      </w:r>
      <w:r>
        <w:rPr/>
        <w:t>534, 320-322.</w:t>
      </w:r>
    </w:p>
    <w:p>
      <w:pPr>
        <w:spacing w:after="0" w:line="482" w:lineRule="auto"/>
        <w:sectPr>
          <w:pgSz w:w="11910" w:h="16850"/>
          <w:pgMar w:header="0" w:footer="1005" w:top="1380" w:bottom="1200" w:left="1340" w:right="1300"/>
        </w:sectPr>
      </w:pPr>
    </w:p>
    <w:p>
      <w:pPr>
        <w:pStyle w:val="BodyText"/>
        <w:spacing w:line="482" w:lineRule="auto" w:before="72"/>
        <w:ind w:left="822" w:right="131" w:hanging="721"/>
      </w:pPr>
      <w:r>
        <w:rPr/>
        <w:t>O’Donohoe, N., C. Leijonhufvud, Y. Saltuk, A. Bugg-Levine, and M. Brandenburg, 2010, Impact investments: An emerging asset class (J.P. Morgan, New York, NY).</w:t>
      </w:r>
    </w:p>
    <w:p>
      <w:pPr>
        <w:pStyle w:val="BodyText"/>
        <w:spacing w:line="470" w:lineRule="auto" w:before="2"/>
        <w:ind w:left="822" w:right="156" w:hanging="721"/>
      </w:pPr>
      <w:r>
        <w:rPr/>
        <w:t>OECD, 2019, Social impact investment 2019: The impact imperative for sustainable development (OECD, Paris).</w:t>
      </w:r>
    </w:p>
    <w:p>
      <w:pPr>
        <w:pStyle w:val="BodyText"/>
        <w:spacing w:line="482" w:lineRule="auto" w:before="14"/>
        <w:ind w:left="822" w:right="134" w:hanging="721"/>
      </w:pPr>
      <w:r>
        <w:rPr/>
        <w:t>OECD, and UNDP, 2021, OECD/UNDP Scoping note for the G20 Development Working Group (OECD and UNDP, Paris).</w:t>
      </w:r>
    </w:p>
    <w:p>
      <w:pPr>
        <w:spacing w:line="482" w:lineRule="auto" w:before="1"/>
        <w:ind w:left="822" w:right="157" w:hanging="721"/>
        <w:jc w:val="both"/>
        <w:rPr>
          <w:sz w:val="24"/>
        </w:rPr>
      </w:pPr>
      <w:r>
        <w:rPr>
          <w:sz w:val="24"/>
        </w:rPr>
        <w:t>Ormiston, J., 2019, Blending practice worlds: Impact assessment as a transdisciplinary practice, </w:t>
      </w:r>
      <w:r>
        <w:rPr>
          <w:i/>
          <w:sz w:val="24"/>
        </w:rPr>
        <w:t>Business Ethics: A European Review </w:t>
      </w:r>
      <w:r>
        <w:rPr>
          <w:sz w:val="24"/>
        </w:rPr>
        <w:t>28, 423-440.</w:t>
      </w:r>
    </w:p>
    <w:p>
      <w:pPr>
        <w:pStyle w:val="BodyText"/>
        <w:spacing w:line="482" w:lineRule="auto"/>
        <w:ind w:left="822" w:right="138" w:hanging="721"/>
      </w:pPr>
      <w:r>
        <w:rPr/>
        <w:t>Pham-Truffert, M., F.</w:t>
      </w:r>
      <w:r>
        <w:rPr>
          <w:spacing w:val="-3"/>
        </w:rPr>
        <w:t> </w:t>
      </w:r>
      <w:r>
        <w:rPr/>
        <w:t>Metz,</w:t>
      </w:r>
      <w:r>
        <w:rPr>
          <w:spacing w:val="-3"/>
        </w:rPr>
        <w:t> </w:t>
      </w:r>
      <w:r>
        <w:rPr/>
        <w:t>M. Fischer, H.</w:t>
      </w:r>
      <w:r>
        <w:rPr>
          <w:spacing w:val="-3"/>
        </w:rPr>
        <w:t> </w:t>
      </w:r>
      <w:r>
        <w:rPr/>
        <w:t>Rueff,</w:t>
      </w:r>
      <w:r>
        <w:rPr>
          <w:spacing w:val="-15"/>
        </w:rPr>
        <w:t> </w:t>
      </w:r>
      <w:r>
        <w:rPr/>
        <w:t>and</w:t>
      </w:r>
      <w:r>
        <w:rPr>
          <w:spacing w:val="-4"/>
        </w:rPr>
        <w:t> </w:t>
      </w:r>
      <w:r>
        <w:rPr/>
        <w:t>P.</w:t>
      </w:r>
      <w:r>
        <w:rPr>
          <w:spacing w:val="-3"/>
        </w:rPr>
        <w:t> </w:t>
      </w:r>
      <w:r>
        <w:rPr/>
        <w:t>Messerli,</w:t>
      </w:r>
      <w:r>
        <w:rPr>
          <w:spacing w:val="39"/>
        </w:rPr>
        <w:t> </w:t>
      </w:r>
      <w:r>
        <w:rPr/>
        <w:t>2020,</w:t>
      </w:r>
      <w:r>
        <w:rPr>
          <w:spacing w:val="-3"/>
        </w:rPr>
        <w:t> </w:t>
      </w:r>
      <w:r>
        <w:rPr/>
        <w:t>Interactions</w:t>
      </w:r>
      <w:r>
        <w:rPr>
          <w:spacing w:val="-7"/>
        </w:rPr>
        <w:t> </w:t>
      </w:r>
      <w:r>
        <w:rPr/>
        <w:t>among Sustainable Development Goals: Knowledge</w:t>
      </w:r>
      <w:r>
        <w:rPr>
          <w:spacing w:val="-7"/>
        </w:rPr>
        <w:t> </w:t>
      </w:r>
      <w:r>
        <w:rPr/>
        <w:t>for identifying multipliers and virtuous cycles, </w:t>
      </w:r>
      <w:r>
        <w:rPr>
          <w:i/>
        </w:rPr>
        <w:t>Sustainable</w:t>
      </w:r>
      <w:r>
        <w:rPr>
          <w:i/>
          <w:spacing w:val="40"/>
        </w:rPr>
        <w:t> </w:t>
      </w:r>
      <w:r>
        <w:rPr>
          <w:i/>
        </w:rPr>
        <w:t>Development </w:t>
      </w:r>
      <w:r>
        <w:rPr/>
        <w:t>28, 1236-1250.</w:t>
      </w:r>
    </w:p>
    <w:p>
      <w:pPr>
        <w:pStyle w:val="BodyText"/>
        <w:spacing w:line="482" w:lineRule="auto"/>
        <w:ind w:left="822" w:right="152" w:hanging="721"/>
      </w:pPr>
      <w:r>
        <w:rPr/>
        <w:t>Phillips, S. D., and B. Johnson, 2021, Inching to impact: The</w:t>
      </w:r>
      <w:r>
        <w:rPr/>
        <w:t> demand side of social impact investing, </w:t>
      </w:r>
      <w:r>
        <w:rPr>
          <w:i/>
        </w:rPr>
        <w:t>Journal of Business Ethics </w:t>
      </w:r>
      <w:r>
        <w:rPr/>
        <w:t>168, 615-629.</w:t>
      </w:r>
    </w:p>
    <w:p>
      <w:pPr>
        <w:pStyle w:val="BodyText"/>
        <w:spacing w:line="482" w:lineRule="auto"/>
        <w:ind w:left="822" w:right="151" w:hanging="721"/>
      </w:pPr>
      <w:r>
        <w:rPr/>
        <w:t>Pineiro, A.,</w:t>
      </w:r>
      <w:r>
        <w:rPr>
          <w:spacing w:val="-5"/>
        </w:rPr>
        <w:t> </w:t>
      </w:r>
      <w:r>
        <w:rPr/>
        <w:t>H. Dithrich, and A. Dhar, 2018, Financing the Sustainable Development Goals: Impact investing in action (Global Impact Investing Network, New York).</w:t>
      </w:r>
    </w:p>
    <w:p>
      <w:pPr>
        <w:pStyle w:val="BodyText"/>
        <w:spacing w:line="482" w:lineRule="auto"/>
        <w:ind w:left="822" w:right="148" w:hanging="721"/>
      </w:pPr>
      <w:r>
        <w:rPr/>
        <w:t>Pradhan, P., L. Costa, D. Rybski, W. Lucht, and J. P. Kropp, 2017, A Systematic Study of Sustainable Development Goal (SDG) Interactions, </w:t>
      </w:r>
      <w:r>
        <w:rPr>
          <w:i/>
        </w:rPr>
        <w:t>Earth's Future </w:t>
      </w:r>
      <w:r>
        <w:rPr/>
        <w:t>5, 1169-1179.</w:t>
      </w:r>
    </w:p>
    <w:p>
      <w:pPr>
        <w:spacing w:line="477" w:lineRule="auto" w:before="0"/>
        <w:ind w:left="822" w:right="119" w:hanging="721"/>
        <w:jc w:val="both"/>
        <w:rPr>
          <w:sz w:val="24"/>
        </w:rPr>
      </w:pPr>
      <w:r>
        <w:rPr>
          <w:sz w:val="24"/>
        </w:rPr>
        <w:t>Reeder,</w:t>
      </w:r>
      <w:r>
        <w:rPr>
          <w:spacing w:val="-15"/>
          <w:sz w:val="24"/>
        </w:rPr>
        <w:t> </w:t>
      </w:r>
      <w:r>
        <w:rPr>
          <w:sz w:val="24"/>
        </w:rPr>
        <w:t>N.,</w:t>
      </w:r>
      <w:r>
        <w:rPr>
          <w:spacing w:val="-15"/>
          <w:sz w:val="24"/>
        </w:rPr>
        <w:t> </w:t>
      </w:r>
      <w:r>
        <w:rPr>
          <w:sz w:val="24"/>
        </w:rPr>
        <w:t>A.</w:t>
      </w:r>
      <w:r>
        <w:rPr>
          <w:spacing w:val="-15"/>
          <w:sz w:val="24"/>
        </w:rPr>
        <w:t> </w:t>
      </w:r>
      <w:r>
        <w:rPr>
          <w:sz w:val="24"/>
        </w:rPr>
        <w:t>Colantonio,</w:t>
      </w:r>
      <w:r>
        <w:rPr>
          <w:spacing w:val="-15"/>
          <w:sz w:val="24"/>
        </w:rPr>
        <w:t> </w:t>
      </w:r>
      <w:r>
        <w:rPr>
          <w:sz w:val="24"/>
        </w:rPr>
        <w:t>J.</w:t>
      </w:r>
      <w:r>
        <w:rPr>
          <w:spacing w:val="-15"/>
          <w:sz w:val="24"/>
        </w:rPr>
        <w:t> </w:t>
      </w:r>
      <w:r>
        <w:rPr>
          <w:sz w:val="24"/>
        </w:rPr>
        <w:t>Loder,</w:t>
      </w:r>
      <w:r>
        <w:rPr>
          <w:spacing w:val="-15"/>
          <w:sz w:val="24"/>
        </w:rPr>
        <w:t> </w:t>
      </w:r>
      <w:r>
        <w:rPr>
          <w:sz w:val="24"/>
        </w:rPr>
        <w:t>and</w:t>
      </w:r>
      <w:r>
        <w:rPr>
          <w:spacing w:val="-15"/>
          <w:sz w:val="24"/>
        </w:rPr>
        <w:t> </w:t>
      </w:r>
      <w:r>
        <w:rPr>
          <w:sz w:val="24"/>
        </w:rPr>
        <w:t>G.</w:t>
      </w:r>
      <w:r>
        <w:rPr>
          <w:spacing w:val="-15"/>
          <w:sz w:val="24"/>
        </w:rPr>
        <w:t> </w:t>
      </w:r>
      <w:r>
        <w:rPr>
          <w:sz w:val="24"/>
        </w:rPr>
        <w:t>Jones,</w:t>
      </w:r>
      <w:r>
        <w:rPr>
          <w:spacing w:val="-15"/>
          <w:sz w:val="24"/>
        </w:rPr>
        <w:t> </w:t>
      </w:r>
      <w:r>
        <w:rPr>
          <w:sz w:val="24"/>
        </w:rPr>
        <w:t>2015,</w:t>
      </w:r>
      <w:r>
        <w:rPr>
          <w:spacing w:val="-15"/>
          <w:sz w:val="24"/>
        </w:rPr>
        <w:t> </w:t>
      </w:r>
      <w:r>
        <w:rPr>
          <w:sz w:val="24"/>
        </w:rPr>
        <w:t>Measuring</w:t>
      </w:r>
      <w:r>
        <w:rPr>
          <w:spacing w:val="-15"/>
          <w:sz w:val="24"/>
        </w:rPr>
        <w:t> </w:t>
      </w:r>
      <w:r>
        <w:rPr>
          <w:sz w:val="24"/>
        </w:rPr>
        <w:t>impact</w:t>
      </w:r>
      <w:r>
        <w:rPr>
          <w:spacing w:val="-12"/>
          <w:sz w:val="24"/>
        </w:rPr>
        <w:t> </w:t>
      </w:r>
      <w:r>
        <w:rPr>
          <w:sz w:val="24"/>
        </w:rPr>
        <w:t>in</w:t>
      </w:r>
      <w:r>
        <w:rPr>
          <w:spacing w:val="-15"/>
          <w:sz w:val="24"/>
        </w:rPr>
        <w:t> </w:t>
      </w:r>
      <w:r>
        <w:rPr>
          <w:sz w:val="24"/>
        </w:rPr>
        <w:t>impact</w:t>
      </w:r>
      <w:r>
        <w:rPr>
          <w:spacing w:val="3"/>
          <w:sz w:val="24"/>
        </w:rPr>
        <w:t> </w:t>
      </w:r>
      <w:r>
        <w:rPr>
          <w:sz w:val="24"/>
        </w:rPr>
        <w:t>investing: An analysis of the predominant strength</w:t>
      </w:r>
      <w:r>
        <w:rPr>
          <w:spacing w:val="-4"/>
          <w:sz w:val="24"/>
        </w:rPr>
        <w:t> </w:t>
      </w:r>
      <w:r>
        <w:rPr>
          <w:sz w:val="24"/>
        </w:rPr>
        <w:t>that is also its greatest weakness, </w:t>
      </w:r>
      <w:r>
        <w:rPr>
          <w:i/>
          <w:sz w:val="24"/>
        </w:rPr>
        <w:t>Journal of</w:t>
      </w:r>
      <w:r>
        <w:rPr>
          <w:i/>
          <w:sz w:val="24"/>
        </w:rPr>
        <w:t> Sustainable</w:t>
      </w:r>
      <w:r>
        <w:rPr>
          <w:i/>
          <w:spacing w:val="40"/>
          <w:sz w:val="24"/>
        </w:rPr>
        <w:t> </w:t>
      </w:r>
      <w:r>
        <w:rPr>
          <w:i/>
          <w:sz w:val="24"/>
        </w:rPr>
        <w:t>Finance and Investment</w:t>
      </w:r>
      <w:r>
        <w:rPr>
          <w:i/>
          <w:spacing w:val="40"/>
          <w:sz w:val="24"/>
        </w:rPr>
        <w:t> </w:t>
      </w:r>
      <w:r>
        <w:rPr>
          <w:sz w:val="24"/>
        </w:rPr>
        <w:t>5, 136-154.</w:t>
      </w:r>
    </w:p>
    <w:p>
      <w:pPr>
        <w:pStyle w:val="BodyText"/>
        <w:spacing w:line="482" w:lineRule="auto"/>
        <w:ind w:left="822" w:right="120" w:hanging="721"/>
      </w:pPr>
      <w:r>
        <w:rPr/>
        <w:t>Reverte, C., 2022, The importance of institutional differences among countries in SDGs achievement: A cross‐country empirical study, </w:t>
      </w:r>
      <w:r>
        <w:rPr>
          <w:i/>
        </w:rPr>
        <w:t>Sustainable Development </w:t>
      </w:r>
      <w:r>
        <w:rPr/>
        <w:t>30, 1882- </w:t>
      </w:r>
      <w:r>
        <w:rPr>
          <w:spacing w:val="-2"/>
        </w:rPr>
        <w:t>1899.</w:t>
      </w:r>
    </w:p>
    <w:p>
      <w:pPr>
        <w:pStyle w:val="BodyText"/>
        <w:spacing w:line="482" w:lineRule="auto"/>
        <w:ind w:left="822" w:right="150" w:hanging="721"/>
      </w:pPr>
      <w:r>
        <w:rPr/>
        <w:t>Sachs,</w:t>
      </w:r>
      <w:r>
        <w:rPr>
          <w:spacing w:val="-15"/>
        </w:rPr>
        <w:t> </w:t>
      </w:r>
      <w:r>
        <w:rPr/>
        <w:t>J.</w:t>
      </w:r>
      <w:r>
        <w:rPr>
          <w:spacing w:val="-10"/>
        </w:rPr>
        <w:t> </w:t>
      </w:r>
      <w:r>
        <w:rPr/>
        <w:t>D.,</w:t>
      </w:r>
      <w:r>
        <w:rPr>
          <w:spacing w:val="-6"/>
        </w:rPr>
        <w:t> </w:t>
      </w:r>
      <w:r>
        <w:rPr/>
        <w:t>C.</w:t>
      </w:r>
      <w:r>
        <w:rPr>
          <w:spacing w:val="-15"/>
        </w:rPr>
        <w:t> </w:t>
      </w:r>
      <w:r>
        <w:rPr/>
        <w:t>Kroll, G.</w:t>
      </w:r>
      <w:r>
        <w:rPr>
          <w:spacing w:val="-6"/>
        </w:rPr>
        <w:t> </w:t>
      </w:r>
      <w:r>
        <w:rPr/>
        <w:t>Lafortune,</w:t>
      </w:r>
      <w:r>
        <w:rPr>
          <w:spacing w:val="-15"/>
        </w:rPr>
        <w:t> </w:t>
      </w:r>
      <w:r>
        <w:rPr/>
        <w:t>G.</w:t>
      </w:r>
      <w:r>
        <w:rPr>
          <w:spacing w:val="-15"/>
        </w:rPr>
        <w:t> </w:t>
      </w:r>
      <w:r>
        <w:rPr/>
        <w:t>Fuller, and</w:t>
      </w:r>
      <w:r>
        <w:rPr>
          <w:spacing w:val="-7"/>
        </w:rPr>
        <w:t> </w:t>
      </w:r>
      <w:r>
        <w:rPr/>
        <w:t>F.</w:t>
      </w:r>
      <w:r>
        <w:rPr>
          <w:spacing w:val="-6"/>
        </w:rPr>
        <w:t> </w:t>
      </w:r>
      <w:r>
        <w:rPr/>
        <w:t>Woelm, 2021,</w:t>
      </w:r>
      <w:r>
        <w:rPr>
          <w:spacing w:val="-6"/>
        </w:rPr>
        <w:t> </w:t>
      </w:r>
      <w:r>
        <w:rPr/>
        <w:t>Sustainable Development Report 2021 (Cambridge University Press, Cambridge, UK).</w:t>
      </w:r>
    </w:p>
    <w:p>
      <w:pPr>
        <w:spacing w:after="0" w:line="482" w:lineRule="auto"/>
        <w:sectPr>
          <w:pgSz w:w="11910" w:h="16850"/>
          <w:pgMar w:header="0" w:footer="1005" w:top="1380" w:bottom="1200" w:left="1340" w:right="1300"/>
        </w:sectPr>
      </w:pPr>
    </w:p>
    <w:p>
      <w:pPr>
        <w:pStyle w:val="BodyText"/>
        <w:spacing w:line="482" w:lineRule="auto" w:before="72"/>
        <w:ind w:left="822" w:right="136" w:hanging="721"/>
      </w:pPr>
      <w:r>
        <w:rPr/>
        <w:t>Schrötgens, J., and S. Boenigk, 2017, Social impact investment behavior in the nonprofit sector: First insights from</w:t>
      </w:r>
      <w:r>
        <w:rPr>
          <w:spacing w:val="-2"/>
        </w:rPr>
        <w:t> </w:t>
      </w:r>
      <w:r>
        <w:rPr/>
        <w:t>an online survey experiment, </w:t>
      </w:r>
      <w:r>
        <w:rPr>
          <w:i/>
        </w:rPr>
        <w:t>Voluntas </w:t>
      </w:r>
      <w:r>
        <w:rPr/>
        <w:t>28, 2658-2682.</w:t>
      </w:r>
    </w:p>
    <w:p>
      <w:pPr>
        <w:pStyle w:val="BodyText"/>
        <w:spacing w:line="477" w:lineRule="auto" w:before="2"/>
        <w:ind w:left="822" w:right="136" w:hanging="721"/>
      </w:pPr>
      <w:r>
        <w:rPr/>
        <w:t>Smith, B.</w:t>
      </w:r>
      <w:r>
        <w:rPr>
          <w:spacing w:val="-4"/>
        </w:rPr>
        <w:t> </w:t>
      </w:r>
      <w:r>
        <w:rPr/>
        <w:t>R., A.</w:t>
      </w:r>
      <w:r>
        <w:rPr>
          <w:spacing w:val="-4"/>
        </w:rPr>
        <w:t> </w:t>
      </w:r>
      <w:r>
        <w:rPr/>
        <w:t>Lawson,</w:t>
      </w:r>
      <w:r>
        <w:rPr>
          <w:spacing w:val="-4"/>
        </w:rPr>
        <w:t> </w:t>
      </w:r>
      <w:r>
        <w:rPr/>
        <w:t>J. Jones, T. Holcomb, and A. Minnich, 2022, Trying to</w:t>
      </w:r>
      <w:r>
        <w:rPr>
          <w:spacing w:val="-4"/>
        </w:rPr>
        <w:t> </w:t>
      </w:r>
      <w:r>
        <w:rPr/>
        <w:t>Serve Two Masters is Easy, Compared to</w:t>
      </w:r>
      <w:r>
        <w:rPr>
          <w:spacing w:val="-6"/>
        </w:rPr>
        <w:t> </w:t>
      </w:r>
      <w:r>
        <w:rPr/>
        <w:t>Three: Identity</w:t>
      </w:r>
      <w:r>
        <w:rPr>
          <w:spacing w:val="-15"/>
        </w:rPr>
        <w:t> </w:t>
      </w:r>
      <w:r>
        <w:rPr/>
        <w:t>Multiplicity Work by Christian Impact Investors, </w:t>
      </w:r>
      <w:r>
        <w:rPr>
          <w:i/>
        </w:rPr>
        <w:t>Journal of Business Ethics</w:t>
      </w:r>
      <w:r>
        <w:rPr/>
        <w:t>. https://doi.org/10.1007/s10551-022-05156-4</w:t>
      </w:r>
    </w:p>
    <w:p>
      <w:pPr>
        <w:pStyle w:val="BodyText"/>
        <w:spacing w:line="482" w:lineRule="auto" w:before="4"/>
        <w:ind w:left="822" w:right="133" w:hanging="721"/>
      </w:pPr>
      <w:r>
        <w:rPr/>
        <w:t>Sobir, R., 2018, Micro-, Small and Medium-sized Enterprises (MSMEs)</w:t>
      </w:r>
      <w:r>
        <w:rPr/>
        <w:t> and</w:t>
      </w:r>
      <w:r>
        <w:rPr/>
        <w:t> their</w:t>
      </w:r>
      <w:r>
        <w:rPr/>
        <w:t> role</w:t>
      </w:r>
      <w:r>
        <w:rPr/>
        <w:t> in achieving the Sustainable Development Goals (United Nations, New York).</w:t>
      </w:r>
    </w:p>
    <w:p>
      <w:pPr>
        <w:pStyle w:val="BodyText"/>
        <w:spacing w:line="470" w:lineRule="auto" w:before="1"/>
        <w:ind w:left="822" w:right="141" w:hanging="721"/>
      </w:pPr>
      <w:r>
        <w:rPr/>
        <w:t>Suehrer,</w:t>
      </w:r>
      <w:r>
        <w:rPr>
          <w:spacing w:val="-15"/>
        </w:rPr>
        <w:t> </w:t>
      </w:r>
      <w:r>
        <w:rPr/>
        <w:t>J.,</w:t>
      </w:r>
      <w:r>
        <w:rPr>
          <w:spacing w:val="-15"/>
        </w:rPr>
        <w:t> </w:t>
      </w:r>
      <w:r>
        <w:rPr/>
        <w:t>2019,</w:t>
      </w:r>
      <w:r>
        <w:rPr>
          <w:spacing w:val="-15"/>
        </w:rPr>
        <w:t> </w:t>
      </w:r>
      <w:r>
        <w:rPr/>
        <w:t>The</w:t>
      </w:r>
      <w:r>
        <w:rPr>
          <w:spacing w:val="-15"/>
        </w:rPr>
        <w:t> </w:t>
      </w:r>
      <w:r>
        <w:rPr/>
        <w:t>future</w:t>
      </w:r>
      <w:r>
        <w:rPr>
          <w:spacing w:val="-15"/>
        </w:rPr>
        <w:t> </w:t>
      </w:r>
      <w:r>
        <w:rPr/>
        <w:t>of</w:t>
      </w:r>
      <w:r>
        <w:rPr>
          <w:spacing w:val="-15"/>
        </w:rPr>
        <w:t> </w:t>
      </w:r>
      <w:r>
        <w:rPr/>
        <w:t>FDI:</w:t>
      </w:r>
      <w:r>
        <w:rPr>
          <w:spacing w:val="-15"/>
        </w:rPr>
        <w:t> </w:t>
      </w:r>
      <w:r>
        <w:rPr/>
        <w:t>achieving</w:t>
      </w:r>
      <w:r>
        <w:rPr>
          <w:spacing w:val="-15"/>
        </w:rPr>
        <w:t> </w:t>
      </w:r>
      <w:r>
        <w:rPr/>
        <w:t>the</w:t>
      </w:r>
      <w:r>
        <w:rPr>
          <w:spacing w:val="-15"/>
        </w:rPr>
        <w:t> </w:t>
      </w:r>
      <w:r>
        <w:rPr/>
        <w:t>sustainable</w:t>
      </w:r>
      <w:r>
        <w:rPr>
          <w:spacing w:val="-15"/>
        </w:rPr>
        <w:t> </w:t>
      </w:r>
      <w:r>
        <w:rPr/>
        <w:t>development</w:t>
      </w:r>
      <w:r>
        <w:rPr>
          <w:spacing w:val="-15"/>
        </w:rPr>
        <w:t> </w:t>
      </w:r>
      <w:r>
        <w:rPr/>
        <w:t>goals</w:t>
      </w:r>
      <w:r>
        <w:rPr>
          <w:spacing w:val="-15"/>
        </w:rPr>
        <w:t> </w:t>
      </w:r>
      <w:r>
        <w:rPr/>
        <w:t>2030</w:t>
      </w:r>
      <w:r>
        <w:rPr>
          <w:spacing w:val="-15"/>
        </w:rPr>
        <w:t> </w:t>
      </w:r>
      <w:r>
        <w:rPr/>
        <w:t>through impact investment, </w:t>
      </w:r>
      <w:r>
        <w:rPr>
          <w:i/>
        </w:rPr>
        <w:t>Global Policy </w:t>
      </w:r>
      <w:r>
        <w:rPr/>
        <w:t>10, 413-415.</w:t>
      </w:r>
    </w:p>
    <w:p>
      <w:pPr>
        <w:pStyle w:val="BodyText"/>
        <w:spacing w:line="482" w:lineRule="auto" w:before="14"/>
        <w:ind w:left="822" w:right="141" w:hanging="721"/>
      </w:pPr>
      <w:r>
        <w:rPr/>
        <w:t>Thirion,</w:t>
      </w:r>
      <w:r>
        <w:rPr>
          <w:spacing w:val="36"/>
        </w:rPr>
        <w:t> </w:t>
      </w:r>
      <w:r>
        <w:rPr/>
        <w:t>I.,</w:t>
      </w:r>
      <w:r>
        <w:rPr>
          <w:spacing w:val="-3"/>
        </w:rPr>
        <w:t> </w:t>
      </w:r>
      <w:r>
        <w:rPr/>
        <w:t>P.</w:t>
      </w:r>
      <w:r>
        <w:rPr>
          <w:spacing w:val="-3"/>
        </w:rPr>
        <w:t> </w:t>
      </w:r>
      <w:r>
        <w:rPr/>
        <w:t>Reichert, V.</w:t>
      </w:r>
      <w:r>
        <w:rPr>
          <w:spacing w:val="-3"/>
        </w:rPr>
        <w:t> </w:t>
      </w:r>
      <w:r>
        <w:rPr/>
        <w:t>Xhauflair, and</w:t>
      </w:r>
      <w:r>
        <w:rPr>
          <w:spacing w:val="-4"/>
        </w:rPr>
        <w:t> </w:t>
      </w:r>
      <w:r>
        <w:rPr/>
        <w:t>J. De Jonck, 2022,</w:t>
      </w:r>
      <w:r>
        <w:rPr>
          <w:spacing w:val="-3"/>
        </w:rPr>
        <w:t> </w:t>
      </w:r>
      <w:r>
        <w:rPr/>
        <w:t>From Fiduciary Duty</w:t>
      </w:r>
      <w:r>
        <w:rPr>
          <w:spacing w:val="-15"/>
        </w:rPr>
        <w:t> </w:t>
      </w:r>
      <w:r>
        <w:rPr/>
        <w:t>to Impact Fidelity: Managerial Compensation in Impact Investing, </w:t>
      </w:r>
      <w:r>
        <w:rPr>
          <w:i/>
        </w:rPr>
        <w:t>Journal of Business Ethics</w:t>
      </w:r>
      <w:r>
        <w:rPr/>
        <w:t>. </w:t>
      </w:r>
      <w:r>
        <w:rPr>
          <w:spacing w:val="-2"/>
        </w:rPr>
        <w:t>https://doi.org/10.1007/s10551-022-05155-5</w:t>
      </w:r>
    </w:p>
    <w:p>
      <w:pPr>
        <w:pStyle w:val="BodyText"/>
        <w:spacing w:line="470" w:lineRule="auto" w:before="3"/>
        <w:ind w:left="822" w:right="147" w:hanging="721"/>
      </w:pPr>
      <w:r>
        <w:rPr/>
        <w:t>United Nations, 2015, Transforming</w:t>
      </w:r>
      <w:r>
        <w:rPr/>
        <w:t> our</w:t>
      </w:r>
      <w:r>
        <w:rPr/>
        <w:t> World:</w:t>
      </w:r>
      <w:r>
        <w:rPr/>
        <w:t> The</w:t>
      </w:r>
      <w:r>
        <w:rPr/>
        <w:t> 2030</w:t>
      </w:r>
      <w:r>
        <w:rPr/>
        <w:t> Agenda for Sustainable Development (United Nations, New York).</w:t>
      </w:r>
    </w:p>
    <w:p>
      <w:pPr>
        <w:pStyle w:val="BodyText"/>
        <w:spacing w:line="482" w:lineRule="auto" w:before="14"/>
        <w:ind w:left="822" w:right="126" w:hanging="721"/>
      </w:pPr>
      <w:r>
        <w:rPr/>
        <w:t>United Nations, 2019a, Global Sustainable Development Report 2019: The Future is Now – Science for Achieving Sustainable Development (United Nations, New York).</w:t>
      </w:r>
    </w:p>
    <w:p>
      <w:pPr>
        <w:pStyle w:val="BodyText"/>
        <w:spacing w:line="482" w:lineRule="auto" w:before="1"/>
        <w:ind w:left="822" w:right="132" w:hanging="721"/>
      </w:pPr>
      <w:r>
        <w:rPr/>
        <w:t>United</w:t>
      </w:r>
      <w:r>
        <w:rPr>
          <w:spacing w:val="-3"/>
        </w:rPr>
        <w:t> </w:t>
      </w:r>
      <w:r>
        <w:rPr/>
        <w:t>Nations,</w:t>
      </w:r>
      <w:r>
        <w:rPr>
          <w:spacing w:val="-2"/>
        </w:rPr>
        <w:t> </w:t>
      </w:r>
      <w:r>
        <w:rPr/>
        <w:t>2019b,</w:t>
      </w:r>
      <w:r>
        <w:rPr>
          <w:spacing w:val="-2"/>
        </w:rPr>
        <w:t> </w:t>
      </w:r>
      <w:r>
        <w:rPr/>
        <w:t>United</w:t>
      </w:r>
      <w:r>
        <w:rPr>
          <w:spacing w:val="-3"/>
        </w:rPr>
        <w:t> </w:t>
      </w:r>
      <w:r>
        <w:rPr/>
        <w:t>Nations Secretary-General’s</w:t>
      </w:r>
      <w:r>
        <w:rPr>
          <w:spacing w:val="23"/>
        </w:rPr>
        <w:t> </w:t>
      </w:r>
      <w:r>
        <w:rPr/>
        <w:t>Roadmap</w:t>
      </w:r>
      <w:r>
        <w:rPr>
          <w:spacing w:val="-2"/>
        </w:rPr>
        <w:t> </w:t>
      </w:r>
      <w:r>
        <w:rPr/>
        <w:t>for</w:t>
      </w:r>
      <w:r>
        <w:rPr>
          <w:spacing w:val="-8"/>
        </w:rPr>
        <w:t> </w:t>
      </w:r>
      <w:r>
        <w:rPr/>
        <w:t>Financing the</w:t>
      </w:r>
      <w:r>
        <w:rPr>
          <w:spacing w:val="-4"/>
        </w:rPr>
        <w:t> </w:t>
      </w:r>
      <w:r>
        <w:rPr/>
        <w:t>2030 Agenda for Sustainable Development 2019 – 2021 (United Nations, New York).</w:t>
      </w:r>
    </w:p>
    <w:p>
      <w:pPr>
        <w:pStyle w:val="BodyText"/>
        <w:spacing w:line="482" w:lineRule="auto"/>
        <w:ind w:right="128"/>
      </w:pPr>
      <w:r>
        <w:rPr/>
        <w:t>United Nations, 2019c, World Population Prospects 2019 (United Nations, New York). United</w:t>
      </w:r>
      <w:r>
        <w:rPr>
          <w:spacing w:val="-9"/>
        </w:rPr>
        <w:t> </w:t>
      </w:r>
      <w:r>
        <w:rPr/>
        <w:t>Nations,</w:t>
      </w:r>
      <w:r>
        <w:rPr>
          <w:spacing w:val="-2"/>
        </w:rPr>
        <w:t> </w:t>
      </w:r>
      <w:r>
        <w:rPr/>
        <w:t>2020a,</w:t>
      </w:r>
      <w:r>
        <w:rPr>
          <w:spacing w:val="-5"/>
        </w:rPr>
        <w:t> </w:t>
      </w:r>
      <w:r>
        <w:rPr/>
        <w:t>Financing</w:t>
      </w:r>
      <w:r>
        <w:rPr>
          <w:spacing w:val="8"/>
        </w:rPr>
        <w:t> </w:t>
      </w:r>
      <w:r>
        <w:rPr/>
        <w:t>for</w:t>
      </w:r>
      <w:r>
        <w:rPr>
          <w:spacing w:val="-21"/>
        </w:rPr>
        <w:t> </w:t>
      </w:r>
      <w:r>
        <w:rPr/>
        <w:t>Sustainable</w:t>
      </w:r>
      <w:r>
        <w:rPr>
          <w:spacing w:val="7"/>
        </w:rPr>
        <w:t> </w:t>
      </w:r>
      <w:r>
        <w:rPr/>
        <w:t>Development</w:t>
      </w:r>
      <w:r>
        <w:rPr>
          <w:spacing w:val="17"/>
        </w:rPr>
        <w:t> </w:t>
      </w:r>
      <w:r>
        <w:rPr/>
        <w:t>Report</w:t>
      </w:r>
      <w:r>
        <w:rPr>
          <w:spacing w:val="-11"/>
        </w:rPr>
        <w:t> </w:t>
      </w:r>
      <w:r>
        <w:rPr/>
        <w:t>2020</w:t>
      </w:r>
      <w:r>
        <w:rPr>
          <w:spacing w:val="3"/>
        </w:rPr>
        <w:t> </w:t>
      </w:r>
      <w:r>
        <w:rPr/>
        <w:t>(United</w:t>
      </w:r>
      <w:r>
        <w:rPr>
          <w:spacing w:val="-6"/>
        </w:rPr>
        <w:t> </w:t>
      </w:r>
      <w:r>
        <w:rPr>
          <w:spacing w:val="-2"/>
        </w:rPr>
        <w:t>Nations,</w:t>
      </w:r>
    </w:p>
    <w:p>
      <w:pPr>
        <w:pStyle w:val="BodyText"/>
        <w:ind w:left="822"/>
        <w:jc w:val="left"/>
      </w:pPr>
      <w:r>
        <w:rPr/>
        <w:t>New</w:t>
      </w:r>
      <w:r>
        <w:rPr>
          <w:spacing w:val="6"/>
        </w:rPr>
        <w:t> </w:t>
      </w:r>
      <w:r>
        <w:rPr>
          <w:spacing w:val="-2"/>
        </w:rPr>
        <w:t>York).</w:t>
      </w:r>
    </w:p>
    <w:p>
      <w:pPr>
        <w:pStyle w:val="BodyText"/>
        <w:spacing w:before="3"/>
        <w:ind w:left="0"/>
        <w:jc w:val="left"/>
        <w:rPr>
          <w:sz w:val="23"/>
        </w:rPr>
      </w:pPr>
    </w:p>
    <w:p>
      <w:pPr>
        <w:pStyle w:val="BodyText"/>
        <w:spacing w:line="470" w:lineRule="auto" w:before="1"/>
        <w:ind w:left="822" w:right="128" w:hanging="721"/>
      </w:pPr>
      <w:r>
        <w:rPr/>
        <w:t>United Nations, 2020b, The Sustainable Development Goals Report 2020 (United Nations, New York).</w:t>
      </w:r>
    </w:p>
    <w:p>
      <w:pPr>
        <w:spacing w:after="0" w:line="470" w:lineRule="auto"/>
        <w:sectPr>
          <w:pgSz w:w="11910" w:h="16850"/>
          <w:pgMar w:header="0" w:footer="1005" w:top="1380" w:bottom="1200" w:left="1340" w:right="1300"/>
        </w:sectPr>
      </w:pPr>
    </w:p>
    <w:p>
      <w:pPr>
        <w:pStyle w:val="BodyText"/>
        <w:spacing w:before="1"/>
        <w:ind w:left="0"/>
        <w:jc w:val="left"/>
        <w:rPr>
          <w:sz w:val="21"/>
        </w:rPr>
      </w:pPr>
    </w:p>
    <w:p>
      <w:pPr>
        <w:pStyle w:val="Heading1"/>
        <w:spacing w:before="91"/>
        <w:ind w:left="121"/>
      </w:pPr>
      <w:r>
        <w:rPr/>
        <w:t>Table</w:t>
      </w:r>
      <w:r>
        <w:rPr>
          <w:spacing w:val="-10"/>
        </w:rPr>
        <w:t> </w:t>
      </w:r>
      <w:r>
        <w:rPr/>
        <w:t>1.</w:t>
      </w:r>
      <w:r>
        <w:rPr>
          <w:spacing w:val="-5"/>
        </w:rPr>
        <w:t> </w:t>
      </w:r>
      <w:r>
        <w:rPr/>
        <w:t>Primary</w:t>
      </w:r>
      <w:r>
        <w:rPr>
          <w:spacing w:val="8"/>
        </w:rPr>
        <w:t> </w:t>
      </w:r>
      <w:r>
        <w:rPr/>
        <w:t>and</w:t>
      </w:r>
      <w:r>
        <w:rPr>
          <w:spacing w:val="-2"/>
        </w:rPr>
        <w:t> </w:t>
      </w:r>
      <w:r>
        <w:rPr/>
        <w:t>secondary</w:t>
      </w:r>
      <w:r>
        <w:rPr>
          <w:spacing w:val="-5"/>
        </w:rPr>
        <w:t> </w:t>
      </w:r>
      <w:r>
        <w:rPr/>
        <w:t>SDGs</w:t>
      </w:r>
      <w:r>
        <w:rPr>
          <w:spacing w:val="-9"/>
        </w:rPr>
        <w:t> </w:t>
      </w:r>
      <w:r>
        <w:rPr/>
        <w:t>for</w:t>
      </w:r>
      <w:r>
        <w:rPr>
          <w:spacing w:val="-7"/>
        </w:rPr>
        <w:t> </w:t>
      </w:r>
      <w:r>
        <w:rPr/>
        <w:t>a</w:t>
      </w:r>
      <w:r>
        <w:rPr>
          <w:spacing w:val="-5"/>
        </w:rPr>
        <w:t> </w:t>
      </w:r>
      <w:r>
        <w:rPr/>
        <w:t>sample</w:t>
      </w:r>
      <w:r>
        <w:rPr>
          <w:spacing w:val="-7"/>
        </w:rPr>
        <w:t> </w:t>
      </w:r>
      <w:r>
        <w:rPr/>
        <w:t>of</w:t>
      </w:r>
      <w:r>
        <w:rPr>
          <w:spacing w:val="3"/>
        </w:rPr>
        <w:t> </w:t>
      </w:r>
      <w:r>
        <w:rPr/>
        <w:t>impact</w:t>
      </w:r>
      <w:r>
        <w:rPr>
          <w:spacing w:val="-10"/>
        </w:rPr>
        <w:t> </w:t>
      </w:r>
      <w:r>
        <w:rPr/>
        <w:t>investment</w:t>
      </w:r>
      <w:r>
        <w:rPr>
          <w:spacing w:val="17"/>
        </w:rPr>
        <w:t> </w:t>
      </w:r>
      <w:r>
        <w:rPr>
          <w:spacing w:val="-2"/>
        </w:rPr>
        <w:t>deals</w:t>
      </w:r>
    </w:p>
    <w:p>
      <w:pPr>
        <w:pStyle w:val="BodyText"/>
        <w:spacing w:before="10"/>
        <w:ind w:left="0"/>
        <w:jc w:val="left"/>
        <w:rPr>
          <w:b/>
          <w:sz w:val="22"/>
        </w:rPr>
      </w:pPr>
    </w:p>
    <w:tbl>
      <w:tblPr>
        <w:tblW w:w="0" w:type="auto"/>
        <w:jc w:val="left"/>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757"/>
        <w:gridCol w:w="1336"/>
        <w:gridCol w:w="2958"/>
        <w:gridCol w:w="1111"/>
        <w:gridCol w:w="961"/>
        <w:gridCol w:w="1246"/>
        <w:gridCol w:w="1126"/>
        <w:gridCol w:w="1201"/>
        <w:gridCol w:w="1126"/>
        <w:gridCol w:w="1111"/>
      </w:tblGrid>
      <w:tr>
        <w:trPr>
          <w:trHeight w:val="916" w:hRule="atLeast"/>
        </w:trPr>
        <w:tc>
          <w:tcPr>
            <w:tcW w:w="1757" w:type="dxa"/>
          </w:tcPr>
          <w:p>
            <w:pPr>
              <w:pStyle w:val="TableParagraph"/>
              <w:spacing w:line="256" w:lineRule="auto" w:before="107"/>
              <w:ind w:left="127"/>
              <w:jc w:val="left"/>
              <w:rPr>
                <w:b/>
                <w:sz w:val="19"/>
              </w:rPr>
            </w:pPr>
            <w:r>
              <w:rPr>
                <w:b/>
                <w:sz w:val="19"/>
              </w:rPr>
              <w:t>Investee </w:t>
            </w:r>
            <w:r>
              <w:rPr>
                <w:b/>
                <w:sz w:val="19"/>
              </w:rPr>
              <w:t>company </w:t>
            </w:r>
            <w:r>
              <w:rPr>
                <w:b/>
                <w:spacing w:val="-2"/>
                <w:sz w:val="19"/>
              </w:rPr>
              <w:t>underlying </w:t>
            </w:r>
            <w:r>
              <w:rPr>
                <w:b/>
                <w:sz w:val="19"/>
              </w:rPr>
              <w:t>investment deal</w:t>
            </w:r>
          </w:p>
        </w:tc>
        <w:tc>
          <w:tcPr>
            <w:tcW w:w="1336" w:type="dxa"/>
          </w:tcPr>
          <w:p>
            <w:pPr>
              <w:pStyle w:val="TableParagraph"/>
              <w:spacing w:before="9"/>
              <w:jc w:val="left"/>
              <w:rPr>
                <w:b/>
                <w:sz w:val="19"/>
              </w:rPr>
            </w:pPr>
          </w:p>
          <w:p>
            <w:pPr>
              <w:pStyle w:val="TableParagraph"/>
              <w:spacing w:line="247" w:lineRule="auto"/>
              <w:ind w:left="111"/>
              <w:jc w:val="left"/>
              <w:rPr>
                <w:b/>
                <w:sz w:val="19"/>
              </w:rPr>
            </w:pPr>
            <w:r>
              <w:rPr>
                <w:b/>
                <w:spacing w:val="-2"/>
                <w:sz w:val="19"/>
              </w:rPr>
              <w:t>Geographic region</w:t>
            </w:r>
          </w:p>
        </w:tc>
        <w:tc>
          <w:tcPr>
            <w:tcW w:w="2958" w:type="dxa"/>
          </w:tcPr>
          <w:p>
            <w:pPr>
              <w:pStyle w:val="TableParagraph"/>
              <w:spacing w:before="9"/>
              <w:jc w:val="left"/>
              <w:rPr>
                <w:b/>
                <w:sz w:val="19"/>
              </w:rPr>
            </w:pPr>
          </w:p>
          <w:p>
            <w:pPr>
              <w:pStyle w:val="TableParagraph"/>
              <w:spacing w:line="247" w:lineRule="auto"/>
              <w:ind w:left="111" w:right="234"/>
              <w:jc w:val="left"/>
              <w:rPr>
                <w:b/>
                <w:sz w:val="19"/>
              </w:rPr>
            </w:pPr>
            <w:r>
              <w:rPr>
                <w:b/>
                <w:sz w:val="19"/>
              </w:rPr>
              <w:t>Core impact offered by investment deal</w:t>
            </w:r>
          </w:p>
        </w:tc>
        <w:tc>
          <w:tcPr>
            <w:tcW w:w="1111" w:type="dxa"/>
          </w:tcPr>
          <w:p>
            <w:pPr>
              <w:pStyle w:val="TableParagraph"/>
              <w:spacing w:line="206" w:lineRule="exact"/>
              <w:ind w:left="235" w:right="242"/>
              <w:rPr>
                <w:b/>
                <w:sz w:val="19"/>
              </w:rPr>
            </w:pPr>
            <w:r>
              <w:rPr>
                <w:b/>
                <w:spacing w:val="-2"/>
                <w:sz w:val="19"/>
              </w:rPr>
              <w:t>Closely</w:t>
            </w:r>
          </w:p>
          <w:p>
            <w:pPr>
              <w:pStyle w:val="TableParagraph"/>
              <w:spacing w:line="247" w:lineRule="auto" w:before="22"/>
              <w:ind w:left="235" w:right="233"/>
              <w:rPr>
                <w:b/>
                <w:sz w:val="19"/>
              </w:rPr>
            </w:pPr>
            <w:r>
              <w:rPr>
                <w:b/>
                <w:spacing w:val="-2"/>
                <w:sz w:val="19"/>
              </w:rPr>
              <w:t>related </w:t>
            </w:r>
            <w:r>
              <w:rPr>
                <w:b/>
                <w:spacing w:val="-4"/>
                <w:sz w:val="19"/>
              </w:rPr>
              <w:t>SDG</w:t>
            </w:r>
          </w:p>
          <w:p>
            <w:pPr>
              <w:pStyle w:val="TableParagraph"/>
              <w:spacing w:line="217" w:lineRule="exact"/>
              <w:ind w:left="235" w:right="233"/>
              <w:rPr>
                <w:b/>
                <w:sz w:val="19"/>
              </w:rPr>
            </w:pPr>
            <w:r>
              <w:rPr>
                <w:b/>
                <w:spacing w:val="-2"/>
                <w:sz w:val="19"/>
              </w:rPr>
              <w:t>target</w:t>
            </w:r>
          </w:p>
        </w:tc>
        <w:tc>
          <w:tcPr>
            <w:tcW w:w="961" w:type="dxa"/>
          </w:tcPr>
          <w:p>
            <w:pPr>
              <w:pStyle w:val="TableParagraph"/>
              <w:spacing w:before="9"/>
              <w:jc w:val="left"/>
              <w:rPr>
                <w:b/>
                <w:sz w:val="19"/>
              </w:rPr>
            </w:pPr>
          </w:p>
          <w:p>
            <w:pPr>
              <w:pStyle w:val="TableParagraph"/>
              <w:spacing w:line="247" w:lineRule="auto"/>
              <w:ind w:left="291" w:hanging="181"/>
              <w:jc w:val="left"/>
              <w:rPr>
                <w:b/>
                <w:sz w:val="19"/>
              </w:rPr>
            </w:pPr>
            <w:r>
              <w:rPr>
                <w:b/>
                <w:spacing w:val="-2"/>
                <w:sz w:val="19"/>
              </w:rPr>
              <w:t>Primary </w:t>
            </w:r>
            <w:r>
              <w:rPr>
                <w:b/>
                <w:spacing w:val="-4"/>
                <w:sz w:val="19"/>
              </w:rPr>
              <w:t>SDG</w:t>
            </w:r>
          </w:p>
        </w:tc>
        <w:tc>
          <w:tcPr>
            <w:tcW w:w="1246" w:type="dxa"/>
          </w:tcPr>
          <w:p>
            <w:pPr>
              <w:pStyle w:val="TableParagraph"/>
              <w:spacing w:before="9"/>
              <w:jc w:val="left"/>
              <w:rPr>
                <w:b/>
                <w:sz w:val="19"/>
              </w:rPr>
            </w:pPr>
          </w:p>
          <w:p>
            <w:pPr>
              <w:pStyle w:val="TableParagraph"/>
              <w:spacing w:line="247" w:lineRule="auto"/>
              <w:ind w:left="441" w:hanging="256"/>
              <w:jc w:val="left"/>
              <w:rPr>
                <w:b/>
                <w:sz w:val="19"/>
              </w:rPr>
            </w:pPr>
            <w:r>
              <w:rPr>
                <w:b/>
                <w:spacing w:val="-2"/>
                <w:sz w:val="19"/>
              </w:rPr>
              <w:t>Secondary </w:t>
            </w:r>
            <w:r>
              <w:rPr>
                <w:b/>
                <w:spacing w:val="-4"/>
                <w:sz w:val="19"/>
              </w:rPr>
              <w:t>SDG</w:t>
            </w:r>
          </w:p>
        </w:tc>
        <w:tc>
          <w:tcPr>
            <w:tcW w:w="1126" w:type="dxa"/>
          </w:tcPr>
          <w:p>
            <w:pPr>
              <w:pStyle w:val="TableParagraph"/>
              <w:spacing w:before="9"/>
              <w:jc w:val="left"/>
              <w:rPr>
                <w:b/>
                <w:sz w:val="19"/>
              </w:rPr>
            </w:pPr>
          </w:p>
          <w:p>
            <w:pPr>
              <w:pStyle w:val="TableParagraph"/>
              <w:spacing w:line="247" w:lineRule="auto"/>
              <w:ind w:left="382" w:hanging="256"/>
              <w:jc w:val="left"/>
              <w:rPr>
                <w:b/>
                <w:sz w:val="19"/>
              </w:rPr>
            </w:pPr>
            <w:r>
              <w:rPr>
                <w:b/>
                <w:spacing w:val="-2"/>
                <w:sz w:val="19"/>
              </w:rPr>
              <w:t>Secondary </w:t>
            </w:r>
            <w:r>
              <w:rPr>
                <w:b/>
                <w:spacing w:val="-4"/>
                <w:sz w:val="19"/>
              </w:rPr>
              <w:t>SDG</w:t>
            </w:r>
          </w:p>
        </w:tc>
        <w:tc>
          <w:tcPr>
            <w:tcW w:w="1201" w:type="dxa"/>
          </w:tcPr>
          <w:p>
            <w:pPr>
              <w:pStyle w:val="TableParagraph"/>
              <w:spacing w:before="9"/>
              <w:jc w:val="left"/>
              <w:rPr>
                <w:b/>
                <w:sz w:val="19"/>
              </w:rPr>
            </w:pPr>
          </w:p>
          <w:p>
            <w:pPr>
              <w:pStyle w:val="TableParagraph"/>
              <w:spacing w:line="247" w:lineRule="auto"/>
              <w:ind w:left="412" w:hanging="256"/>
              <w:jc w:val="left"/>
              <w:rPr>
                <w:b/>
                <w:sz w:val="19"/>
              </w:rPr>
            </w:pPr>
            <w:r>
              <w:rPr>
                <w:b/>
                <w:spacing w:val="-2"/>
                <w:sz w:val="19"/>
              </w:rPr>
              <w:t>Secondary </w:t>
            </w:r>
            <w:r>
              <w:rPr>
                <w:b/>
                <w:spacing w:val="-4"/>
                <w:sz w:val="19"/>
              </w:rPr>
              <w:t>SDG</w:t>
            </w:r>
          </w:p>
        </w:tc>
        <w:tc>
          <w:tcPr>
            <w:tcW w:w="1126" w:type="dxa"/>
          </w:tcPr>
          <w:p>
            <w:pPr>
              <w:pStyle w:val="TableParagraph"/>
              <w:spacing w:before="9"/>
              <w:jc w:val="left"/>
              <w:rPr>
                <w:b/>
                <w:sz w:val="19"/>
              </w:rPr>
            </w:pPr>
          </w:p>
          <w:p>
            <w:pPr>
              <w:pStyle w:val="TableParagraph"/>
              <w:spacing w:line="247" w:lineRule="auto"/>
              <w:ind w:left="367" w:hanging="256"/>
              <w:jc w:val="left"/>
              <w:rPr>
                <w:b/>
                <w:sz w:val="19"/>
              </w:rPr>
            </w:pPr>
            <w:r>
              <w:rPr>
                <w:b/>
                <w:spacing w:val="-2"/>
                <w:sz w:val="19"/>
              </w:rPr>
              <w:t>Secondary </w:t>
            </w:r>
            <w:r>
              <w:rPr>
                <w:b/>
                <w:spacing w:val="-4"/>
                <w:sz w:val="19"/>
              </w:rPr>
              <w:t>SDG</w:t>
            </w:r>
          </w:p>
        </w:tc>
        <w:tc>
          <w:tcPr>
            <w:tcW w:w="1111" w:type="dxa"/>
          </w:tcPr>
          <w:p>
            <w:pPr>
              <w:pStyle w:val="TableParagraph"/>
              <w:spacing w:before="9"/>
              <w:jc w:val="left"/>
              <w:rPr>
                <w:b/>
                <w:sz w:val="19"/>
              </w:rPr>
            </w:pPr>
          </w:p>
          <w:p>
            <w:pPr>
              <w:pStyle w:val="TableParagraph"/>
              <w:spacing w:line="247" w:lineRule="auto"/>
              <w:ind w:left="367" w:hanging="256"/>
              <w:jc w:val="left"/>
              <w:rPr>
                <w:b/>
                <w:sz w:val="19"/>
              </w:rPr>
            </w:pPr>
            <w:r>
              <w:rPr>
                <w:b/>
                <w:spacing w:val="-2"/>
                <w:sz w:val="19"/>
              </w:rPr>
              <w:t>Secondary </w:t>
            </w:r>
            <w:r>
              <w:rPr>
                <w:b/>
                <w:spacing w:val="-4"/>
                <w:sz w:val="19"/>
              </w:rPr>
              <w:t>SDG</w:t>
            </w:r>
          </w:p>
        </w:tc>
      </w:tr>
      <w:tr>
        <w:trPr>
          <w:trHeight w:val="916" w:hRule="atLeast"/>
        </w:trPr>
        <w:tc>
          <w:tcPr>
            <w:tcW w:w="1757" w:type="dxa"/>
          </w:tcPr>
          <w:p>
            <w:pPr>
              <w:pStyle w:val="TableParagraph"/>
              <w:spacing w:line="256" w:lineRule="auto" w:before="108"/>
              <w:ind w:left="127"/>
              <w:jc w:val="left"/>
              <w:rPr>
                <w:sz w:val="19"/>
              </w:rPr>
            </w:pPr>
            <w:r>
              <w:rPr>
                <w:sz w:val="19"/>
              </w:rPr>
              <w:t>Sustainable </w:t>
            </w:r>
            <w:r>
              <w:rPr>
                <w:sz w:val="19"/>
              </w:rPr>
              <w:t>Youth </w:t>
            </w:r>
            <w:r>
              <w:rPr>
                <w:spacing w:val="-2"/>
                <w:sz w:val="19"/>
              </w:rPr>
              <w:t>Development Foundation</w:t>
            </w:r>
          </w:p>
        </w:tc>
        <w:tc>
          <w:tcPr>
            <w:tcW w:w="1336" w:type="dxa"/>
          </w:tcPr>
          <w:p>
            <w:pPr>
              <w:pStyle w:val="TableParagraph"/>
              <w:spacing w:before="9"/>
              <w:jc w:val="left"/>
              <w:rPr>
                <w:b/>
                <w:sz w:val="19"/>
              </w:rPr>
            </w:pPr>
          </w:p>
          <w:p>
            <w:pPr>
              <w:pStyle w:val="TableParagraph"/>
              <w:spacing w:line="247" w:lineRule="auto"/>
              <w:ind w:left="111"/>
              <w:jc w:val="left"/>
              <w:rPr>
                <w:sz w:val="19"/>
              </w:rPr>
            </w:pPr>
            <w:r>
              <w:rPr>
                <w:spacing w:val="-2"/>
                <w:sz w:val="19"/>
              </w:rPr>
              <w:t>Sub-Saharan Africa</w:t>
            </w:r>
          </w:p>
        </w:tc>
        <w:tc>
          <w:tcPr>
            <w:tcW w:w="2958" w:type="dxa"/>
          </w:tcPr>
          <w:p>
            <w:pPr>
              <w:pStyle w:val="TableParagraph"/>
              <w:spacing w:line="206" w:lineRule="exact"/>
              <w:ind w:left="111"/>
              <w:jc w:val="left"/>
              <w:rPr>
                <w:sz w:val="19"/>
              </w:rPr>
            </w:pPr>
            <w:r>
              <w:rPr>
                <w:sz w:val="19"/>
              </w:rPr>
              <w:t>Providing</w:t>
            </w:r>
            <w:r>
              <w:rPr>
                <w:spacing w:val="39"/>
                <w:sz w:val="19"/>
              </w:rPr>
              <w:t> </w:t>
            </w:r>
            <w:r>
              <w:rPr>
                <w:sz w:val="19"/>
              </w:rPr>
              <w:t>support</w:t>
            </w:r>
            <w:r>
              <w:rPr>
                <w:spacing w:val="17"/>
                <w:sz w:val="19"/>
              </w:rPr>
              <w:t> </w:t>
            </w:r>
            <w:r>
              <w:rPr>
                <w:sz w:val="19"/>
              </w:rPr>
              <w:t>services</w:t>
            </w:r>
            <w:r>
              <w:rPr>
                <w:spacing w:val="29"/>
                <w:sz w:val="19"/>
              </w:rPr>
              <w:t> </w:t>
            </w:r>
            <w:r>
              <w:rPr>
                <w:spacing w:val="-5"/>
                <w:sz w:val="19"/>
              </w:rPr>
              <w:t>to</w:t>
            </w:r>
          </w:p>
          <w:p>
            <w:pPr>
              <w:pStyle w:val="TableParagraph"/>
              <w:spacing w:line="226" w:lineRule="exact" w:before="12"/>
              <w:ind w:left="111" w:right="234"/>
              <w:jc w:val="left"/>
              <w:rPr>
                <w:sz w:val="19"/>
              </w:rPr>
            </w:pPr>
            <w:r>
              <w:rPr>
                <w:sz w:val="19"/>
              </w:rPr>
              <w:t>disadvantaged young people to </w:t>
            </w:r>
            <w:r>
              <w:rPr>
                <w:spacing w:val="9"/>
                <w:sz w:val="19"/>
              </w:rPr>
              <w:t>make </w:t>
            </w:r>
            <w:r>
              <w:rPr>
                <w:sz w:val="19"/>
              </w:rPr>
              <w:t>them poverty-free and economically self-reliant</w:t>
            </w:r>
          </w:p>
        </w:tc>
        <w:tc>
          <w:tcPr>
            <w:tcW w:w="1111" w:type="dxa"/>
          </w:tcPr>
          <w:p>
            <w:pPr>
              <w:pStyle w:val="TableParagraph"/>
              <w:spacing w:before="11"/>
              <w:jc w:val="left"/>
              <w:rPr>
                <w:b/>
                <w:sz w:val="28"/>
              </w:rPr>
            </w:pPr>
          </w:p>
          <w:p>
            <w:pPr>
              <w:pStyle w:val="TableParagraph"/>
              <w:ind w:left="427"/>
              <w:jc w:val="left"/>
              <w:rPr>
                <w:sz w:val="19"/>
              </w:rPr>
            </w:pPr>
            <w:r>
              <w:rPr>
                <w:spacing w:val="-5"/>
                <w:sz w:val="19"/>
              </w:rPr>
              <w:t>1.5</w:t>
            </w:r>
          </w:p>
        </w:tc>
        <w:tc>
          <w:tcPr>
            <w:tcW w:w="961" w:type="dxa"/>
          </w:tcPr>
          <w:p>
            <w:pPr>
              <w:pStyle w:val="TableParagraph"/>
              <w:spacing w:before="11"/>
              <w:jc w:val="left"/>
              <w:rPr>
                <w:b/>
                <w:sz w:val="28"/>
              </w:rPr>
            </w:pPr>
          </w:p>
          <w:p>
            <w:pPr>
              <w:pStyle w:val="TableParagraph"/>
              <w:ind w:left="5"/>
              <w:rPr>
                <w:sz w:val="19"/>
              </w:rPr>
            </w:pPr>
            <w:r>
              <w:rPr>
                <w:w w:val="102"/>
                <w:sz w:val="19"/>
              </w:rPr>
              <w:t>1</w:t>
            </w:r>
          </w:p>
        </w:tc>
        <w:tc>
          <w:tcPr>
            <w:tcW w:w="1246" w:type="dxa"/>
          </w:tcPr>
          <w:p>
            <w:pPr>
              <w:pStyle w:val="TableParagraph"/>
              <w:spacing w:before="11"/>
              <w:jc w:val="left"/>
              <w:rPr>
                <w:b/>
                <w:sz w:val="28"/>
              </w:rPr>
            </w:pPr>
          </w:p>
          <w:p>
            <w:pPr>
              <w:pStyle w:val="TableParagraph"/>
              <w:ind w:left="50"/>
              <w:rPr>
                <w:sz w:val="19"/>
              </w:rPr>
            </w:pPr>
            <w:r>
              <w:rPr>
                <w:w w:val="102"/>
                <w:sz w:val="19"/>
              </w:rPr>
              <w:t>2</w:t>
            </w:r>
          </w:p>
        </w:tc>
        <w:tc>
          <w:tcPr>
            <w:tcW w:w="1126" w:type="dxa"/>
          </w:tcPr>
          <w:p>
            <w:pPr>
              <w:pStyle w:val="TableParagraph"/>
              <w:spacing w:before="11"/>
              <w:jc w:val="left"/>
              <w:rPr>
                <w:b/>
                <w:sz w:val="28"/>
              </w:rPr>
            </w:pPr>
          </w:p>
          <w:p>
            <w:pPr>
              <w:pStyle w:val="TableParagraph"/>
              <w:ind w:right="494"/>
              <w:jc w:val="right"/>
              <w:rPr>
                <w:sz w:val="19"/>
              </w:rPr>
            </w:pPr>
            <w:r>
              <w:rPr>
                <w:w w:val="102"/>
                <w:sz w:val="19"/>
              </w:rPr>
              <w:t>3</w:t>
            </w:r>
          </w:p>
        </w:tc>
        <w:tc>
          <w:tcPr>
            <w:tcW w:w="1201" w:type="dxa"/>
          </w:tcPr>
          <w:p>
            <w:pPr>
              <w:pStyle w:val="TableParagraph"/>
              <w:spacing w:before="11"/>
              <w:jc w:val="left"/>
              <w:rPr>
                <w:b/>
                <w:sz w:val="28"/>
              </w:rPr>
            </w:pPr>
          </w:p>
          <w:p>
            <w:pPr>
              <w:pStyle w:val="TableParagraph"/>
              <w:ind w:left="5"/>
              <w:rPr>
                <w:sz w:val="19"/>
              </w:rPr>
            </w:pPr>
            <w:r>
              <w:rPr>
                <w:w w:val="102"/>
                <w:sz w:val="19"/>
              </w:rPr>
              <w:t>5</w:t>
            </w:r>
          </w:p>
        </w:tc>
        <w:tc>
          <w:tcPr>
            <w:tcW w:w="1126" w:type="dxa"/>
          </w:tcPr>
          <w:p>
            <w:pPr>
              <w:pStyle w:val="TableParagraph"/>
              <w:spacing w:before="11"/>
              <w:jc w:val="left"/>
              <w:rPr>
                <w:b/>
                <w:sz w:val="28"/>
              </w:rPr>
            </w:pPr>
          </w:p>
          <w:p>
            <w:pPr>
              <w:pStyle w:val="TableParagraph"/>
              <w:ind w:left="437" w:right="424"/>
              <w:rPr>
                <w:sz w:val="19"/>
              </w:rPr>
            </w:pPr>
            <w:r>
              <w:rPr>
                <w:spacing w:val="-5"/>
                <w:sz w:val="19"/>
              </w:rPr>
              <w:t>16</w:t>
            </w:r>
          </w:p>
        </w:tc>
        <w:tc>
          <w:tcPr>
            <w:tcW w:w="1111" w:type="dxa"/>
          </w:tcPr>
          <w:p>
            <w:pPr>
              <w:pStyle w:val="TableParagraph"/>
              <w:spacing w:before="11"/>
              <w:jc w:val="left"/>
              <w:rPr>
                <w:b/>
                <w:sz w:val="28"/>
              </w:rPr>
            </w:pPr>
          </w:p>
          <w:p>
            <w:pPr>
              <w:pStyle w:val="TableParagraph"/>
              <w:ind w:left="502"/>
              <w:jc w:val="left"/>
              <w:rPr>
                <w:sz w:val="19"/>
              </w:rPr>
            </w:pPr>
            <w:r>
              <w:rPr>
                <w:w w:val="102"/>
                <w:sz w:val="19"/>
              </w:rPr>
              <w:t>8</w:t>
            </w:r>
          </w:p>
        </w:tc>
      </w:tr>
      <w:tr>
        <w:trPr>
          <w:trHeight w:val="541" w:hRule="atLeast"/>
        </w:trPr>
        <w:tc>
          <w:tcPr>
            <w:tcW w:w="1757" w:type="dxa"/>
          </w:tcPr>
          <w:p>
            <w:pPr>
              <w:pStyle w:val="TableParagraph"/>
              <w:spacing w:before="153"/>
              <w:ind w:left="127"/>
              <w:jc w:val="left"/>
              <w:rPr>
                <w:sz w:val="19"/>
              </w:rPr>
            </w:pPr>
            <w:r>
              <w:rPr>
                <w:sz w:val="19"/>
              </w:rPr>
              <w:t>Druid</w:t>
            </w:r>
            <w:r>
              <w:rPr>
                <w:spacing w:val="11"/>
                <w:sz w:val="19"/>
              </w:rPr>
              <w:t> </w:t>
            </w:r>
            <w:r>
              <w:rPr>
                <w:spacing w:val="-2"/>
                <w:sz w:val="19"/>
              </w:rPr>
              <w:t>Agriculture</w:t>
            </w:r>
          </w:p>
        </w:tc>
        <w:tc>
          <w:tcPr>
            <w:tcW w:w="1336" w:type="dxa"/>
          </w:tcPr>
          <w:p>
            <w:pPr>
              <w:pStyle w:val="TableParagraph"/>
              <w:spacing w:before="9"/>
              <w:jc w:val="left"/>
              <w:rPr>
                <w:b/>
                <w:sz w:val="19"/>
              </w:rPr>
            </w:pPr>
          </w:p>
          <w:p>
            <w:pPr>
              <w:pStyle w:val="TableParagraph"/>
              <w:ind w:left="111"/>
              <w:jc w:val="left"/>
              <w:rPr>
                <w:sz w:val="19"/>
              </w:rPr>
            </w:pPr>
            <w:r>
              <w:rPr>
                <w:sz w:val="19"/>
              </w:rPr>
              <w:t>US</w:t>
            </w:r>
            <w:r>
              <w:rPr>
                <w:spacing w:val="8"/>
                <w:sz w:val="19"/>
              </w:rPr>
              <w:t> </w:t>
            </w:r>
            <w:r>
              <w:rPr>
                <w:sz w:val="19"/>
              </w:rPr>
              <w:t>&amp;</w:t>
            </w:r>
            <w:r>
              <w:rPr>
                <w:spacing w:val="10"/>
                <w:sz w:val="19"/>
              </w:rPr>
              <w:t> </w:t>
            </w:r>
            <w:r>
              <w:rPr>
                <w:spacing w:val="-2"/>
                <w:sz w:val="19"/>
              </w:rPr>
              <w:t>Canada</w:t>
            </w:r>
          </w:p>
        </w:tc>
        <w:tc>
          <w:tcPr>
            <w:tcW w:w="2958" w:type="dxa"/>
          </w:tcPr>
          <w:p>
            <w:pPr>
              <w:pStyle w:val="TableParagraph"/>
              <w:spacing w:line="247" w:lineRule="auto" w:before="33"/>
              <w:ind w:left="111" w:right="234"/>
              <w:jc w:val="left"/>
              <w:rPr>
                <w:sz w:val="19"/>
              </w:rPr>
            </w:pPr>
            <w:r>
              <w:rPr>
                <w:sz w:val="19"/>
              </w:rPr>
              <w:t>Providing sustainable </w:t>
            </w:r>
            <w:r>
              <w:rPr>
                <w:sz w:val="19"/>
              </w:rPr>
              <w:t>food production solutions</w:t>
            </w:r>
          </w:p>
        </w:tc>
        <w:tc>
          <w:tcPr>
            <w:tcW w:w="1111" w:type="dxa"/>
          </w:tcPr>
          <w:p>
            <w:pPr>
              <w:pStyle w:val="TableParagraph"/>
              <w:spacing w:before="153"/>
              <w:ind w:left="427"/>
              <w:jc w:val="left"/>
              <w:rPr>
                <w:sz w:val="19"/>
              </w:rPr>
            </w:pPr>
            <w:r>
              <w:rPr>
                <w:spacing w:val="-5"/>
                <w:sz w:val="19"/>
              </w:rPr>
              <w:t>2.4</w:t>
            </w:r>
          </w:p>
        </w:tc>
        <w:tc>
          <w:tcPr>
            <w:tcW w:w="961" w:type="dxa"/>
          </w:tcPr>
          <w:p>
            <w:pPr>
              <w:pStyle w:val="TableParagraph"/>
              <w:spacing w:before="153"/>
              <w:ind w:left="5"/>
              <w:rPr>
                <w:sz w:val="19"/>
              </w:rPr>
            </w:pPr>
            <w:r>
              <w:rPr>
                <w:w w:val="102"/>
                <w:sz w:val="19"/>
              </w:rPr>
              <w:t>2</w:t>
            </w:r>
          </w:p>
        </w:tc>
        <w:tc>
          <w:tcPr>
            <w:tcW w:w="1246" w:type="dxa"/>
          </w:tcPr>
          <w:p>
            <w:pPr>
              <w:pStyle w:val="TableParagraph"/>
              <w:spacing w:before="153"/>
              <w:ind w:left="50"/>
              <w:rPr>
                <w:sz w:val="19"/>
              </w:rPr>
            </w:pPr>
            <w:r>
              <w:rPr>
                <w:w w:val="102"/>
                <w:sz w:val="19"/>
              </w:rPr>
              <w:t>1</w:t>
            </w:r>
          </w:p>
        </w:tc>
        <w:tc>
          <w:tcPr>
            <w:tcW w:w="1126" w:type="dxa"/>
          </w:tcPr>
          <w:p>
            <w:pPr>
              <w:pStyle w:val="TableParagraph"/>
              <w:spacing w:before="153"/>
              <w:ind w:right="494"/>
              <w:jc w:val="right"/>
              <w:rPr>
                <w:sz w:val="19"/>
              </w:rPr>
            </w:pPr>
            <w:r>
              <w:rPr>
                <w:w w:val="102"/>
                <w:sz w:val="19"/>
              </w:rPr>
              <w:t>3</w:t>
            </w:r>
          </w:p>
        </w:tc>
        <w:tc>
          <w:tcPr>
            <w:tcW w:w="1201" w:type="dxa"/>
          </w:tcPr>
          <w:p>
            <w:pPr>
              <w:pStyle w:val="TableParagraph"/>
              <w:spacing w:before="153"/>
              <w:ind w:left="5"/>
              <w:rPr>
                <w:sz w:val="19"/>
              </w:rPr>
            </w:pPr>
            <w:r>
              <w:rPr>
                <w:w w:val="102"/>
                <w:sz w:val="19"/>
              </w:rPr>
              <w:t>5</w:t>
            </w:r>
          </w:p>
        </w:tc>
        <w:tc>
          <w:tcPr>
            <w:tcW w:w="1126" w:type="dxa"/>
          </w:tcPr>
          <w:p>
            <w:pPr>
              <w:pStyle w:val="TableParagraph"/>
              <w:spacing w:before="153"/>
              <w:ind w:left="437" w:right="424"/>
              <w:rPr>
                <w:sz w:val="19"/>
              </w:rPr>
            </w:pPr>
            <w:r>
              <w:rPr>
                <w:spacing w:val="-5"/>
                <w:sz w:val="19"/>
              </w:rPr>
              <w:t>13</w:t>
            </w:r>
          </w:p>
        </w:tc>
        <w:tc>
          <w:tcPr>
            <w:tcW w:w="1111" w:type="dxa"/>
          </w:tcPr>
          <w:p>
            <w:pPr>
              <w:pStyle w:val="TableParagraph"/>
              <w:spacing w:before="153"/>
              <w:ind w:left="502"/>
              <w:jc w:val="left"/>
              <w:rPr>
                <w:sz w:val="19"/>
              </w:rPr>
            </w:pPr>
            <w:r>
              <w:rPr>
                <w:w w:val="102"/>
                <w:sz w:val="19"/>
              </w:rPr>
              <w:t>8</w:t>
            </w:r>
          </w:p>
        </w:tc>
      </w:tr>
      <w:tr>
        <w:trPr>
          <w:trHeight w:val="675" w:hRule="atLeast"/>
        </w:trPr>
        <w:tc>
          <w:tcPr>
            <w:tcW w:w="1757" w:type="dxa"/>
          </w:tcPr>
          <w:p>
            <w:pPr>
              <w:pStyle w:val="TableParagraph"/>
              <w:spacing w:before="9"/>
              <w:jc w:val="left"/>
              <w:rPr>
                <w:b/>
                <w:sz w:val="19"/>
              </w:rPr>
            </w:pPr>
          </w:p>
          <w:p>
            <w:pPr>
              <w:pStyle w:val="TableParagraph"/>
              <w:ind w:left="127"/>
              <w:jc w:val="left"/>
              <w:rPr>
                <w:sz w:val="19"/>
              </w:rPr>
            </w:pPr>
            <w:r>
              <w:rPr>
                <w:spacing w:val="-2"/>
                <w:sz w:val="19"/>
              </w:rPr>
              <w:t>doctHERs</w:t>
            </w:r>
          </w:p>
        </w:tc>
        <w:tc>
          <w:tcPr>
            <w:tcW w:w="1336" w:type="dxa"/>
          </w:tcPr>
          <w:p>
            <w:pPr>
              <w:pStyle w:val="TableParagraph"/>
              <w:spacing w:before="9"/>
              <w:jc w:val="left"/>
              <w:rPr>
                <w:b/>
                <w:sz w:val="19"/>
              </w:rPr>
            </w:pPr>
          </w:p>
          <w:p>
            <w:pPr>
              <w:pStyle w:val="TableParagraph"/>
              <w:ind w:left="111"/>
              <w:jc w:val="left"/>
              <w:rPr>
                <w:sz w:val="19"/>
              </w:rPr>
            </w:pPr>
            <w:r>
              <w:rPr>
                <w:sz w:val="19"/>
              </w:rPr>
              <w:t>South</w:t>
            </w:r>
            <w:r>
              <w:rPr>
                <w:spacing w:val="27"/>
                <w:sz w:val="19"/>
              </w:rPr>
              <w:t> </w:t>
            </w:r>
            <w:r>
              <w:rPr>
                <w:spacing w:val="-4"/>
                <w:sz w:val="19"/>
              </w:rPr>
              <w:t>Asia</w:t>
            </w:r>
          </w:p>
        </w:tc>
        <w:tc>
          <w:tcPr>
            <w:tcW w:w="2958" w:type="dxa"/>
          </w:tcPr>
          <w:p>
            <w:pPr>
              <w:pStyle w:val="TableParagraph"/>
              <w:spacing w:line="206" w:lineRule="exact"/>
              <w:ind w:left="111"/>
              <w:jc w:val="left"/>
              <w:rPr>
                <w:sz w:val="19"/>
              </w:rPr>
            </w:pPr>
            <w:r>
              <w:rPr>
                <w:sz w:val="19"/>
              </w:rPr>
              <w:t>Providing</w:t>
            </w:r>
            <w:r>
              <w:rPr>
                <w:spacing w:val="38"/>
                <w:sz w:val="19"/>
              </w:rPr>
              <w:t> </w:t>
            </w:r>
            <w:r>
              <w:rPr>
                <w:sz w:val="19"/>
              </w:rPr>
              <w:t>digital</w:t>
            </w:r>
            <w:r>
              <w:rPr>
                <w:spacing w:val="16"/>
                <w:sz w:val="19"/>
              </w:rPr>
              <w:t> </w:t>
            </w:r>
            <w:r>
              <w:rPr>
                <w:sz w:val="19"/>
              </w:rPr>
              <w:t>solutions</w:t>
            </w:r>
            <w:r>
              <w:rPr>
                <w:spacing w:val="28"/>
                <w:sz w:val="19"/>
              </w:rPr>
              <w:t> </w:t>
            </w:r>
            <w:r>
              <w:rPr>
                <w:spacing w:val="-5"/>
                <w:sz w:val="19"/>
              </w:rPr>
              <w:t>for</w:t>
            </w:r>
          </w:p>
          <w:p>
            <w:pPr>
              <w:pStyle w:val="TableParagraph"/>
              <w:spacing w:line="220" w:lineRule="atLeast" w:before="9"/>
              <w:ind w:left="111" w:right="234"/>
              <w:jc w:val="left"/>
              <w:rPr>
                <w:sz w:val="19"/>
              </w:rPr>
            </w:pPr>
            <w:r>
              <w:rPr>
                <w:sz w:val="19"/>
              </w:rPr>
              <w:t>healthcare services delivery and </w:t>
            </w:r>
            <w:r>
              <w:rPr>
                <w:spacing w:val="-2"/>
                <w:sz w:val="19"/>
              </w:rPr>
              <w:t>management</w:t>
            </w:r>
          </w:p>
        </w:tc>
        <w:tc>
          <w:tcPr>
            <w:tcW w:w="1111" w:type="dxa"/>
          </w:tcPr>
          <w:p>
            <w:pPr>
              <w:pStyle w:val="TableParagraph"/>
              <w:spacing w:before="9"/>
              <w:jc w:val="left"/>
              <w:rPr>
                <w:b/>
                <w:sz w:val="19"/>
              </w:rPr>
            </w:pPr>
          </w:p>
          <w:p>
            <w:pPr>
              <w:pStyle w:val="TableParagraph"/>
              <w:ind w:left="427"/>
              <w:jc w:val="left"/>
              <w:rPr>
                <w:sz w:val="19"/>
              </w:rPr>
            </w:pPr>
            <w:r>
              <w:rPr>
                <w:spacing w:val="-5"/>
                <w:sz w:val="19"/>
              </w:rPr>
              <w:t>3.8</w:t>
            </w:r>
          </w:p>
        </w:tc>
        <w:tc>
          <w:tcPr>
            <w:tcW w:w="961" w:type="dxa"/>
          </w:tcPr>
          <w:p>
            <w:pPr>
              <w:pStyle w:val="TableParagraph"/>
              <w:spacing w:before="9"/>
              <w:jc w:val="left"/>
              <w:rPr>
                <w:b/>
                <w:sz w:val="19"/>
              </w:rPr>
            </w:pPr>
          </w:p>
          <w:p>
            <w:pPr>
              <w:pStyle w:val="TableParagraph"/>
              <w:ind w:left="5"/>
              <w:rPr>
                <w:sz w:val="19"/>
              </w:rPr>
            </w:pPr>
            <w:r>
              <w:rPr>
                <w:w w:val="102"/>
                <w:sz w:val="19"/>
              </w:rPr>
              <w:t>3</w:t>
            </w:r>
          </w:p>
        </w:tc>
        <w:tc>
          <w:tcPr>
            <w:tcW w:w="1246" w:type="dxa"/>
          </w:tcPr>
          <w:p>
            <w:pPr>
              <w:pStyle w:val="TableParagraph"/>
              <w:spacing w:before="9"/>
              <w:jc w:val="left"/>
              <w:rPr>
                <w:b/>
                <w:sz w:val="19"/>
              </w:rPr>
            </w:pPr>
          </w:p>
          <w:p>
            <w:pPr>
              <w:pStyle w:val="TableParagraph"/>
              <w:ind w:left="50"/>
              <w:rPr>
                <w:sz w:val="19"/>
              </w:rPr>
            </w:pPr>
            <w:r>
              <w:rPr>
                <w:w w:val="102"/>
                <w:sz w:val="19"/>
              </w:rPr>
              <w:t>8</w:t>
            </w:r>
          </w:p>
        </w:tc>
        <w:tc>
          <w:tcPr>
            <w:tcW w:w="1126" w:type="dxa"/>
          </w:tcPr>
          <w:p>
            <w:pPr>
              <w:pStyle w:val="TableParagraph"/>
              <w:spacing w:before="9"/>
              <w:jc w:val="left"/>
              <w:rPr>
                <w:b/>
                <w:sz w:val="19"/>
              </w:rPr>
            </w:pPr>
          </w:p>
          <w:p>
            <w:pPr>
              <w:pStyle w:val="TableParagraph"/>
              <w:ind w:right="494"/>
              <w:jc w:val="right"/>
              <w:rPr>
                <w:sz w:val="19"/>
              </w:rPr>
            </w:pPr>
            <w:r>
              <w:rPr>
                <w:w w:val="102"/>
                <w:sz w:val="19"/>
              </w:rPr>
              <w:t>2</w:t>
            </w:r>
          </w:p>
        </w:tc>
        <w:tc>
          <w:tcPr>
            <w:tcW w:w="1201" w:type="dxa"/>
          </w:tcPr>
          <w:p>
            <w:pPr>
              <w:pStyle w:val="TableParagraph"/>
              <w:spacing w:before="9"/>
              <w:jc w:val="left"/>
              <w:rPr>
                <w:b/>
                <w:sz w:val="19"/>
              </w:rPr>
            </w:pPr>
          </w:p>
          <w:p>
            <w:pPr>
              <w:pStyle w:val="TableParagraph"/>
              <w:ind w:left="5"/>
              <w:rPr>
                <w:sz w:val="19"/>
              </w:rPr>
            </w:pPr>
            <w:r>
              <w:rPr>
                <w:w w:val="102"/>
                <w:sz w:val="19"/>
              </w:rPr>
              <w:t>1</w:t>
            </w:r>
          </w:p>
        </w:tc>
        <w:tc>
          <w:tcPr>
            <w:tcW w:w="1126" w:type="dxa"/>
          </w:tcPr>
          <w:p>
            <w:pPr>
              <w:pStyle w:val="TableParagraph"/>
              <w:spacing w:before="9"/>
              <w:jc w:val="left"/>
              <w:rPr>
                <w:b/>
                <w:sz w:val="19"/>
              </w:rPr>
            </w:pPr>
          </w:p>
          <w:p>
            <w:pPr>
              <w:pStyle w:val="TableParagraph"/>
              <w:ind w:right="7"/>
              <w:rPr>
                <w:sz w:val="19"/>
              </w:rPr>
            </w:pPr>
            <w:r>
              <w:rPr>
                <w:w w:val="102"/>
                <w:sz w:val="19"/>
              </w:rPr>
              <w:t>5</w:t>
            </w:r>
          </w:p>
        </w:tc>
        <w:tc>
          <w:tcPr>
            <w:tcW w:w="1111" w:type="dxa"/>
          </w:tcPr>
          <w:p>
            <w:pPr>
              <w:pStyle w:val="TableParagraph"/>
              <w:spacing w:before="9"/>
              <w:jc w:val="left"/>
              <w:rPr>
                <w:b/>
                <w:sz w:val="19"/>
              </w:rPr>
            </w:pPr>
          </w:p>
          <w:p>
            <w:pPr>
              <w:pStyle w:val="TableParagraph"/>
              <w:ind w:left="457"/>
              <w:jc w:val="left"/>
              <w:rPr>
                <w:sz w:val="19"/>
              </w:rPr>
            </w:pPr>
            <w:r>
              <w:rPr>
                <w:spacing w:val="-5"/>
                <w:sz w:val="19"/>
              </w:rPr>
              <w:t>10</w:t>
            </w:r>
          </w:p>
        </w:tc>
      </w:tr>
      <w:tr>
        <w:trPr>
          <w:trHeight w:val="540" w:hRule="atLeast"/>
        </w:trPr>
        <w:tc>
          <w:tcPr>
            <w:tcW w:w="1757" w:type="dxa"/>
          </w:tcPr>
          <w:p>
            <w:pPr>
              <w:pStyle w:val="TableParagraph"/>
              <w:spacing w:before="153"/>
              <w:ind w:left="127"/>
              <w:jc w:val="left"/>
              <w:rPr>
                <w:sz w:val="19"/>
              </w:rPr>
            </w:pPr>
            <w:r>
              <w:rPr>
                <w:spacing w:val="-4"/>
                <w:sz w:val="19"/>
              </w:rPr>
              <w:t>LEAP</w:t>
            </w:r>
          </w:p>
        </w:tc>
        <w:tc>
          <w:tcPr>
            <w:tcW w:w="1336" w:type="dxa"/>
          </w:tcPr>
          <w:p>
            <w:pPr>
              <w:pStyle w:val="TableParagraph"/>
              <w:spacing w:line="247" w:lineRule="auto" w:before="3"/>
              <w:ind w:left="111"/>
              <w:jc w:val="left"/>
              <w:rPr>
                <w:sz w:val="19"/>
              </w:rPr>
            </w:pPr>
            <w:r>
              <w:rPr>
                <w:spacing w:val="-2"/>
                <w:sz w:val="19"/>
              </w:rPr>
              <w:t>Sub-Saharan Africa</w:t>
            </w:r>
          </w:p>
        </w:tc>
        <w:tc>
          <w:tcPr>
            <w:tcW w:w="2958" w:type="dxa"/>
          </w:tcPr>
          <w:p>
            <w:pPr>
              <w:pStyle w:val="TableParagraph"/>
              <w:spacing w:line="247" w:lineRule="auto" w:before="48"/>
              <w:ind w:left="111" w:right="234"/>
              <w:jc w:val="left"/>
              <w:rPr>
                <w:sz w:val="19"/>
              </w:rPr>
            </w:pPr>
            <w:r>
              <w:rPr>
                <w:sz w:val="19"/>
              </w:rPr>
              <w:t>Addressing education financing issues in vulnerable communities</w:t>
            </w:r>
          </w:p>
        </w:tc>
        <w:tc>
          <w:tcPr>
            <w:tcW w:w="1111" w:type="dxa"/>
          </w:tcPr>
          <w:p>
            <w:pPr>
              <w:pStyle w:val="TableParagraph"/>
              <w:spacing w:before="153"/>
              <w:ind w:left="427"/>
              <w:jc w:val="left"/>
              <w:rPr>
                <w:sz w:val="19"/>
              </w:rPr>
            </w:pPr>
            <w:r>
              <w:rPr>
                <w:spacing w:val="-5"/>
                <w:sz w:val="19"/>
              </w:rPr>
              <w:t>4.3</w:t>
            </w:r>
          </w:p>
        </w:tc>
        <w:tc>
          <w:tcPr>
            <w:tcW w:w="961" w:type="dxa"/>
          </w:tcPr>
          <w:p>
            <w:pPr>
              <w:pStyle w:val="TableParagraph"/>
              <w:spacing w:before="153"/>
              <w:ind w:left="5"/>
              <w:rPr>
                <w:sz w:val="19"/>
              </w:rPr>
            </w:pPr>
            <w:r>
              <w:rPr>
                <w:w w:val="102"/>
                <w:sz w:val="19"/>
              </w:rPr>
              <w:t>4</w:t>
            </w:r>
          </w:p>
        </w:tc>
        <w:tc>
          <w:tcPr>
            <w:tcW w:w="1246" w:type="dxa"/>
          </w:tcPr>
          <w:p>
            <w:pPr>
              <w:pStyle w:val="TableParagraph"/>
              <w:spacing w:before="153"/>
              <w:ind w:left="50"/>
              <w:rPr>
                <w:sz w:val="19"/>
              </w:rPr>
            </w:pPr>
            <w:r>
              <w:rPr>
                <w:w w:val="102"/>
                <w:sz w:val="19"/>
              </w:rPr>
              <w:t>1</w:t>
            </w:r>
          </w:p>
        </w:tc>
        <w:tc>
          <w:tcPr>
            <w:tcW w:w="1126" w:type="dxa"/>
          </w:tcPr>
          <w:p>
            <w:pPr>
              <w:pStyle w:val="TableParagraph"/>
              <w:spacing w:before="153"/>
              <w:ind w:right="494"/>
              <w:jc w:val="right"/>
              <w:rPr>
                <w:sz w:val="19"/>
              </w:rPr>
            </w:pPr>
            <w:r>
              <w:rPr>
                <w:w w:val="102"/>
                <w:sz w:val="19"/>
              </w:rPr>
              <w:t>3</w:t>
            </w:r>
          </w:p>
        </w:tc>
        <w:tc>
          <w:tcPr>
            <w:tcW w:w="1201" w:type="dxa"/>
          </w:tcPr>
          <w:p>
            <w:pPr>
              <w:pStyle w:val="TableParagraph"/>
              <w:spacing w:before="153"/>
              <w:ind w:left="5"/>
              <w:rPr>
                <w:sz w:val="19"/>
              </w:rPr>
            </w:pPr>
            <w:r>
              <w:rPr>
                <w:w w:val="102"/>
                <w:sz w:val="19"/>
              </w:rPr>
              <w:t>8</w:t>
            </w:r>
          </w:p>
        </w:tc>
        <w:tc>
          <w:tcPr>
            <w:tcW w:w="1126" w:type="dxa"/>
          </w:tcPr>
          <w:p>
            <w:pPr>
              <w:pStyle w:val="TableParagraph"/>
              <w:spacing w:before="153"/>
              <w:ind w:right="7"/>
              <w:rPr>
                <w:sz w:val="19"/>
              </w:rPr>
            </w:pPr>
            <w:r>
              <w:rPr>
                <w:w w:val="102"/>
                <w:sz w:val="19"/>
              </w:rPr>
              <w:t>5</w:t>
            </w:r>
          </w:p>
        </w:tc>
        <w:tc>
          <w:tcPr>
            <w:tcW w:w="1111" w:type="dxa"/>
          </w:tcPr>
          <w:p>
            <w:pPr>
              <w:pStyle w:val="TableParagraph"/>
              <w:spacing w:before="153"/>
              <w:ind w:left="457"/>
              <w:jc w:val="left"/>
              <w:rPr>
                <w:sz w:val="19"/>
              </w:rPr>
            </w:pPr>
            <w:r>
              <w:rPr>
                <w:spacing w:val="-5"/>
                <w:sz w:val="19"/>
              </w:rPr>
              <w:t>10</w:t>
            </w:r>
          </w:p>
        </w:tc>
      </w:tr>
      <w:tr>
        <w:trPr>
          <w:trHeight w:val="540" w:hRule="atLeast"/>
        </w:trPr>
        <w:tc>
          <w:tcPr>
            <w:tcW w:w="1757" w:type="dxa"/>
          </w:tcPr>
          <w:p>
            <w:pPr>
              <w:pStyle w:val="TableParagraph"/>
              <w:spacing w:line="247" w:lineRule="auto" w:before="47"/>
              <w:ind w:left="127" w:right="189"/>
              <w:jc w:val="left"/>
              <w:rPr>
                <w:sz w:val="19"/>
              </w:rPr>
            </w:pPr>
            <w:r>
              <w:rPr>
                <w:sz w:val="19"/>
              </w:rPr>
              <w:t>The </w:t>
            </w:r>
            <w:r>
              <w:rPr>
                <w:sz w:val="19"/>
              </w:rPr>
              <w:t>Amazing </w:t>
            </w:r>
            <w:r>
              <w:rPr>
                <w:spacing w:val="-2"/>
                <w:sz w:val="19"/>
              </w:rPr>
              <w:t>Woman</w:t>
            </w:r>
          </w:p>
        </w:tc>
        <w:tc>
          <w:tcPr>
            <w:tcW w:w="1336" w:type="dxa"/>
          </w:tcPr>
          <w:p>
            <w:pPr>
              <w:pStyle w:val="TableParagraph"/>
              <w:spacing w:line="247" w:lineRule="auto" w:before="2"/>
              <w:ind w:left="111"/>
              <w:jc w:val="left"/>
              <w:rPr>
                <w:sz w:val="19"/>
              </w:rPr>
            </w:pPr>
            <w:r>
              <w:rPr>
                <w:spacing w:val="-2"/>
                <w:sz w:val="19"/>
              </w:rPr>
              <w:t>Sub-Saharan Africa</w:t>
            </w:r>
          </w:p>
        </w:tc>
        <w:tc>
          <w:tcPr>
            <w:tcW w:w="2958" w:type="dxa"/>
          </w:tcPr>
          <w:p>
            <w:pPr>
              <w:pStyle w:val="TableParagraph"/>
              <w:spacing w:line="247" w:lineRule="auto" w:before="47"/>
              <w:ind w:left="111" w:right="234"/>
              <w:jc w:val="left"/>
              <w:rPr>
                <w:sz w:val="19"/>
              </w:rPr>
            </w:pPr>
            <w:r>
              <w:rPr>
                <w:sz w:val="19"/>
              </w:rPr>
              <w:t>Use technology-driven solutions to empower women</w:t>
            </w:r>
          </w:p>
        </w:tc>
        <w:tc>
          <w:tcPr>
            <w:tcW w:w="1111" w:type="dxa"/>
          </w:tcPr>
          <w:p>
            <w:pPr>
              <w:pStyle w:val="TableParagraph"/>
              <w:spacing w:before="153"/>
              <w:ind w:left="412"/>
              <w:jc w:val="left"/>
              <w:rPr>
                <w:sz w:val="19"/>
              </w:rPr>
            </w:pPr>
            <w:r>
              <w:rPr>
                <w:spacing w:val="-5"/>
                <w:sz w:val="19"/>
              </w:rPr>
              <w:t>5.B</w:t>
            </w:r>
          </w:p>
        </w:tc>
        <w:tc>
          <w:tcPr>
            <w:tcW w:w="961" w:type="dxa"/>
          </w:tcPr>
          <w:p>
            <w:pPr>
              <w:pStyle w:val="TableParagraph"/>
              <w:spacing w:before="153"/>
              <w:ind w:left="5"/>
              <w:rPr>
                <w:sz w:val="19"/>
              </w:rPr>
            </w:pPr>
            <w:r>
              <w:rPr>
                <w:w w:val="102"/>
                <w:sz w:val="19"/>
              </w:rPr>
              <w:t>5</w:t>
            </w:r>
          </w:p>
        </w:tc>
        <w:tc>
          <w:tcPr>
            <w:tcW w:w="1246" w:type="dxa"/>
          </w:tcPr>
          <w:p>
            <w:pPr>
              <w:pStyle w:val="TableParagraph"/>
              <w:spacing w:before="153"/>
              <w:ind w:left="50"/>
              <w:rPr>
                <w:sz w:val="19"/>
              </w:rPr>
            </w:pPr>
            <w:r>
              <w:rPr>
                <w:w w:val="102"/>
                <w:sz w:val="19"/>
              </w:rPr>
              <w:t>1</w:t>
            </w:r>
          </w:p>
        </w:tc>
        <w:tc>
          <w:tcPr>
            <w:tcW w:w="1126" w:type="dxa"/>
          </w:tcPr>
          <w:p>
            <w:pPr>
              <w:pStyle w:val="TableParagraph"/>
              <w:spacing w:before="153"/>
              <w:ind w:right="494"/>
              <w:jc w:val="right"/>
              <w:rPr>
                <w:sz w:val="19"/>
              </w:rPr>
            </w:pPr>
            <w:r>
              <w:rPr>
                <w:w w:val="102"/>
                <w:sz w:val="19"/>
              </w:rPr>
              <w:t>2</w:t>
            </w:r>
          </w:p>
        </w:tc>
        <w:tc>
          <w:tcPr>
            <w:tcW w:w="1201" w:type="dxa"/>
          </w:tcPr>
          <w:p>
            <w:pPr>
              <w:pStyle w:val="TableParagraph"/>
              <w:spacing w:before="153"/>
              <w:ind w:left="5"/>
              <w:rPr>
                <w:sz w:val="19"/>
              </w:rPr>
            </w:pPr>
            <w:r>
              <w:rPr>
                <w:w w:val="102"/>
                <w:sz w:val="19"/>
              </w:rPr>
              <w:t>3</w:t>
            </w:r>
          </w:p>
        </w:tc>
        <w:tc>
          <w:tcPr>
            <w:tcW w:w="1126" w:type="dxa"/>
          </w:tcPr>
          <w:p>
            <w:pPr>
              <w:pStyle w:val="TableParagraph"/>
              <w:spacing w:before="153"/>
              <w:ind w:right="7"/>
              <w:rPr>
                <w:sz w:val="19"/>
              </w:rPr>
            </w:pPr>
            <w:r>
              <w:rPr>
                <w:w w:val="102"/>
                <w:sz w:val="19"/>
              </w:rPr>
              <w:t>4</w:t>
            </w:r>
          </w:p>
        </w:tc>
        <w:tc>
          <w:tcPr>
            <w:tcW w:w="1111" w:type="dxa"/>
          </w:tcPr>
          <w:p>
            <w:pPr>
              <w:pStyle w:val="TableParagraph"/>
              <w:spacing w:before="153"/>
              <w:ind w:left="502"/>
              <w:jc w:val="left"/>
              <w:rPr>
                <w:sz w:val="19"/>
              </w:rPr>
            </w:pPr>
            <w:r>
              <w:rPr>
                <w:w w:val="102"/>
                <w:sz w:val="19"/>
              </w:rPr>
              <w:t>8</w:t>
            </w:r>
          </w:p>
        </w:tc>
      </w:tr>
      <w:tr>
        <w:trPr>
          <w:trHeight w:val="691" w:hRule="atLeast"/>
        </w:trPr>
        <w:tc>
          <w:tcPr>
            <w:tcW w:w="1757" w:type="dxa"/>
          </w:tcPr>
          <w:p>
            <w:pPr>
              <w:pStyle w:val="TableParagraph"/>
              <w:spacing w:line="264" w:lineRule="auto" w:before="108"/>
              <w:ind w:left="127"/>
              <w:jc w:val="left"/>
              <w:rPr>
                <w:sz w:val="19"/>
              </w:rPr>
            </w:pPr>
            <w:r>
              <w:rPr>
                <w:sz w:val="19"/>
              </w:rPr>
              <w:t>Watsan</w:t>
            </w:r>
            <w:r>
              <w:rPr>
                <w:spacing w:val="-12"/>
                <w:sz w:val="19"/>
              </w:rPr>
              <w:t> </w:t>
            </w:r>
            <w:r>
              <w:rPr>
                <w:sz w:val="19"/>
              </w:rPr>
              <w:t>Envirotech Pvt Ltd</w:t>
            </w:r>
          </w:p>
        </w:tc>
        <w:tc>
          <w:tcPr>
            <w:tcW w:w="1336" w:type="dxa"/>
          </w:tcPr>
          <w:p>
            <w:pPr>
              <w:pStyle w:val="TableParagraph"/>
              <w:spacing w:before="9"/>
              <w:jc w:val="left"/>
              <w:rPr>
                <w:b/>
                <w:sz w:val="19"/>
              </w:rPr>
            </w:pPr>
          </w:p>
          <w:p>
            <w:pPr>
              <w:pStyle w:val="TableParagraph"/>
              <w:ind w:left="111"/>
              <w:jc w:val="left"/>
              <w:rPr>
                <w:sz w:val="19"/>
              </w:rPr>
            </w:pPr>
            <w:r>
              <w:rPr>
                <w:sz w:val="19"/>
              </w:rPr>
              <w:t>South</w:t>
            </w:r>
            <w:r>
              <w:rPr>
                <w:spacing w:val="27"/>
                <w:sz w:val="19"/>
              </w:rPr>
              <w:t> </w:t>
            </w:r>
            <w:r>
              <w:rPr>
                <w:spacing w:val="-4"/>
                <w:sz w:val="19"/>
              </w:rPr>
              <w:t>Asia</w:t>
            </w:r>
          </w:p>
        </w:tc>
        <w:tc>
          <w:tcPr>
            <w:tcW w:w="2958" w:type="dxa"/>
          </w:tcPr>
          <w:p>
            <w:pPr>
              <w:pStyle w:val="TableParagraph"/>
              <w:spacing w:line="247" w:lineRule="auto" w:before="3"/>
              <w:ind w:left="111" w:right="234"/>
              <w:jc w:val="left"/>
              <w:rPr>
                <w:sz w:val="19"/>
              </w:rPr>
            </w:pPr>
            <w:r>
              <w:rPr>
                <w:sz w:val="19"/>
              </w:rPr>
              <w:t>Providing clean water management services in</w:t>
            </w:r>
          </w:p>
          <w:p>
            <w:pPr>
              <w:pStyle w:val="TableParagraph"/>
              <w:spacing w:line="217" w:lineRule="exact"/>
              <w:ind w:left="111"/>
              <w:jc w:val="left"/>
              <w:rPr>
                <w:sz w:val="19"/>
              </w:rPr>
            </w:pPr>
            <w:r>
              <w:rPr>
                <w:sz w:val="19"/>
              </w:rPr>
              <w:t>underserved</w:t>
            </w:r>
            <w:r>
              <w:rPr>
                <w:spacing w:val="43"/>
                <w:sz w:val="19"/>
              </w:rPr>
              <w:t> </w:t>
            </w:r>
            <w:r>
              <w:rPr>
                <w:spacing w:val="-2"/>
                <w:sz w:val="19"/>
              </w:rPr>
              <w:t>areas</w:t>
            </w:r>
          </w:p>
        </w:tc>
        <w:tc>
          <w:tcPr>
            <w:tcW w:w="1111" w:type="dxa"/>
          </w:tcPr>
          <w:p>
            <w:pPr>
              <w:pStyle w:val="TableParagraph"/>
              <w:spacing w:before="9"/>
              <w:jc w:val="left"/>
              <w:rPr>
                <w:b/>
                <w:sz w:val="19"/>
              </w:rPr>
            </w:pPr>
          </w:p>
          <w:p>
            <w:pPr>
              <w:pStyle w:val="TableParagraph"/>
              <w:ind w:left="427"/>
              <w:jc w:val="left"/>
              <w:rPr>
                <w:sz w:val="19"/>
              </w:rPr>
            </w:pPr>
            <w:r>
              <w:rPr>
                <w:spacing w:val="-5"/>
                <w:sz w:val="19"/>
              </w:rPr>
              <w:t>6.1</w:t>
            </w:r>
          </w:p>
        </w:tc>
        <w:tc>
          <w:tcPr>
            <w:tcW w:w="961" w:type="dxa"/>
          </w:tcPr>
          <w:p>
            <w:pPr>
              <w:pStyle w:val="TableParagraph"/>
              <w:spacing w:before="9"/>
              <w:jc w:val="left"/>
              <w:rPr>
                <w:b/>
                <w:sz w:val="19"/>
              </w:rPr>
            </w:pPr>
          </w:p>
          <w:p>
            <w:pPr>
              <w:pStyle w:val="TableParagraph"/>
              <w:ind w:left="5"/>
              <w:rPr>
                <w:sz w:val="19"/>
              </w:rPr>
            </w:pPr>
            <w:r>
              <w:rPr>
                <w:w w:val="102"/>
                <w:sz w:val="19"/>
              </w:rPr>
              <w:t>6</w:t>
            </w:r>
          </w:p>
        </w:tc>
        <w:tc>
          <w:tcPr>
            <w:tcW w:w="1246" w:type="dxa"/>
          </w:tcPr>
          <w:p>
            <w:pPr>
              <w:pStyle w:val="TableParagraph"/>
              <w:spacing w:before="9"/>
              <w:jc w:val="left"/>
              <w:rPr>
                <w:b/>
                <w:sz w:val="19"/>
              </w:rPr>
            </w:pPr>
          </w:p>
          <w:p>
            <w:pPr>
              <w:pStyle w:val="TableParagraph"/>
              <w:ind w:left="527" w:right="484"/>
              <w:rPr>
                <w:sz w:val="19"/>
              </w:rPr>
            </w:pPr>
            <w:r>
              <w:rPr>
                <w:spacing w:val="-5"/>
                <w:sz w:val="19"/>
              </w:rPr>
              <w:t>12</w:t>
            </w:r>
          </w:p>
        </w:tc>
        <w:tc>
          <w:tcPr>
            <w:tcW w:w="1126" w:type="dxa"/>
          </w:tcPr>
          <w:p>
            <w:pPr>
              <w:pStyle w:val="TableParagraph"/>
              <w:spacing w:before="9"/>
              <w:jc w:val="left"/>
              <w:rPr>
                <w:b/>
                <w:sz w:val="19"/>
              </w:rPr>
            </w:pPr>
          </w:p>
          <w:p>
            <w:pPr>
              <w:pStyle w:val="TableParagraph"/>
              <w:ind w:right="494"/>
              <w:jc w:val="right"/>
              <w:rPr>
                <w:sz w:val="19"/>
              </w:rPr>
            </w:pPr>
            <w:r>
              <w:rPr>
                <w:w w:val="102"/>
                <w:sz w:val="19"/>
              </w:rPr>
              <w:t>1</w:t>
            </w:r>
          </w:p>
        </w:tc>
        <w:tc>
          <w:tcPr>
            <w:tcW w:w="1201" w:type="dxa"/>
          </w:tcPr>
          <w:p>
            <w:pPr>
              <w:pStyle w:val="TableParagraph"/>
              <w:spacing w:before="9"/>
              <w:jc w:val="left"/>
              <w:rPr>
                <w:b/>
                <w:sz w:val="19"/>
              </w:rPr>
            </w:pPr>
          </w:p>
          <w:p>
            <w:pPr>
              <w:pStyle w:val="TableParagraph"/>
              <w:ind w:left="5"/>
              <w:rPr>
                <w:sz w:val="19"/>
              </w:rPr>
            </w:pPr>
            <w:r>
              <w:rPr>
                <w:w w:val="102"/>
                <w:sz w:val="19"/>
              </w:rPr>
              <w:t>2</w:t>
            </w:r>
          </w:p>
        </w:tc>
        <w:tc>
          <w:tcPr>
            <w:tcW w:w="1126" w:type="dxa"/>
          </w:tcPr>
          <w:p>
            <w:pPr>
              <w:pStyle w:val="TableParagraph"/>
              <w:spacing w:before="9"/>
              <w:jc w:val="left"/>
              <w:rPr>
                <w:b/>
                <w:sz w:val="19"/>
              </w:rPr>
            </w:pPr>
          </w:p>
          <w:p>
            <w:pPr>
              <w:pStyle w:val="TableParagraph"/>
              <w:ind w:right="7"/>
              <w:rPr>
                <w:sz w:val="19"/>
              </w:rPr>
            </w:pPr>
            <w:r>
              <w:rPr>
                <w:w w:val="102"/>
                <w:sz w:val="19"/>
              </w:rPr>
              <w:t>3</w:t>
            </w:r>
          </w:p>
        </w:tc>
        <w:tc>
          <w:tcPr>
            <w:tcW w:w="1111" w:type="dxa"/>
          </w:tcPr>
          <w:p>
            <w:pPr>
              <w:pStyle w:val="TableParagraph"/>
              <w:spacing w:before="9"/>
              <w:jc w:val="left"/>
              <w:rPr>
                <w:b/>
                <w:sz w:val="19"/>
              </w:rPr>
            </w:pPr>
          </w:p>
          <w:p>
            <w:pPr>
              <w:pStyle w:val="TableParagraph"/>
              <w:ind w:left="502"/>
              <w:jc w:val="left"/>
              <w:rPr>
                <w:sz w:val="19"/>
              </w:rPr>
            </w:pPr>
            <w:r>
              <w:rPr>
                <w:w w:val="102"/>
                <w:sz w:val="19"/>
              </w:rPr>
              <w:t>8</w:t>
            </w:r>
          </w:p>
        </w:tc>
      </w:tr>
      <w:tr>
        <w:trPr>
          <w:trHeight w:val="916" w:hRule="atLeast"/>
        </w:trPr>
        <w:tc>
          <w:tcPr>
            <w:tcW w:w="1757" w:type="dxa"/>
          </w:tcPr>
          <w:p>
            <w:pPr>
              <w:pStyle w:val="TableParagraph"/>
              <w:spacing w:before="11"/>
              <w:jc w:val="left"/>
              <w:rPr>
                <w:b/>
                <w:sz w:val="28"/>
              </w:rPr>
            </w:pPr>
          </w:p>
          <w:p>
            <w:pPr>
              <w:pStyle w:val="TableParagraph"/>
              <w:ind w:left="127"/>
              <w:jc w:val="left"/>
              <w:rPr>
                <w:sz w:val="19"/>
              </w:rPr>
            </w:pPr>
            <w:r>
              <w:rPr>
                <w:sz w:val="19"/>
              </w:rPr>
              <w:t>Nuru</w:t>
            </w:r>
            <w:r>
              <w:rPr>
                <w:spacing w:val="20"/>
                <w:sz w:val="19"/>
              </w:rPr>
              <w:t> </w:t>
            </w:r>
            <w:r>
              <w:rPr>
                <w:spacing w:val="-4"/>
                <w:sz w:val="19"/>
              </w:rPr>
              <w:t>Sarl</w:t>
            </w:r>
          </w:p>
        </w:tc>
        <w:tc>
          <w:tcPr>
            <w:tcW w:w="1336" w:type="dxa"/>
          </w:tcPr>
          <w:p>
            <w:pPr>
              <w:pStyle w:val="TableParagraph"/>
              <w:spacing w:before="9"/>
              <w:jc w:val="left"/>
              <w:rPr>
                <w:b/>
                <w:sz w:val="19"/>
              </w:rPr>
            </w:pPr>
          </w:p>
          <w:p>
            <w:pPr>
              <w:pStyle w:val="TableParagraph"/>
              <w:spacing w:line="247" w:lineRule="auto"/>
              <w:ind w:left="111"/>
              <w:jc w:val="left"/>
              <w:rPr>
                <w:sz w:val="19"/>
              </w:rPr>
            </w:pPr>
            <w:r>
              <w:rPr>
                <w:spacing w:val="-2"/>
                <w:sz w:val="19"/>
              </w:rPr>
              <w:t>Sub-Saharan Africa</w:t>
            </w:r>
          </w:p>
        </w:tc>
        <w:tc>
          <w:tcPr>
            <w:tcW w:w="2958" w:type="dxa"/>
          </w:tcPr>
          <w:p>
            <w:pPr>
              <w:pStyle w:val="TableParagraph"/>
              <w:spacing w:line="206" w:lineRule="exact"/>
              <w:ind w:left="111"/>
              <w:jc w:val="left"/>
              <w:rPr>
                <w:sz w:val="19"/>
              </w:rPr>
            </w:pPr>
            <w:r>
              <w:rPr>
                <w:sz w:val="19"/>
              </w:rPr>
              <w:t>Providing</w:t>
            </w:r>
            <w:r>
              <w:rPr>
                <w:spacing w:val="43"/>
                <w:sz w:val="19"/>
              </w:rPr>
              <w:t> </w:t>
            </w:r>
            <w:r>
              <w:rPr>
                <w:sz w:val="19"/>
              </w:rPr>
              <w:t>renewable</w:t>
            </w:r>
            <w:r>
              <w:rPr>
                <w:spacing w:val="17"/>
                <w:sz w:val="19"/>
              </w:rPr>
              <w:t> </w:t>
            </w:r>
            <w:r>
              <w:rPr>
                <w:spacing w:val="-2"/>
                <w:sz w:val="19"/>
              </w:rPr>
              <w:t>energy</w:t>
            </w:r>
          </w:p>
          <w:p>
            <w:pPr>
              <w:pStyle w:val="TableParagraph"/>
              <w:spacing w:before="22"/>
              <w:ind w:left="111"/>
              <w:jc w:val="left"/>
              <w:rPr>
                <w:sz w:val="19"/>
              </w:rPr>
            </w:pPr>
            <w:r>
              <w:rPr>
                <w:sz w:val="19"/>
              </w:rPr>
              <w:t>generation,</w:t>
            </w:r>
            <w:r>
              <w:rPr>
                <w:spacing w:val="27"/>
                <w:sz w:val="19"/>
              </w:rPr>
              <w:t> </w:t>
            </w:r>
            <w:r>
              <w:rPr>
                <w:sz w:val="19"/>
              </w:rPr>
              <w:t>storage,</w:t>
            </w:r>
            <w:r>
              <w:rPr>
                <w:spacing w:val="28"/>
                <w:sz w:val="19"/>
              </w:rPr>
              <w:t> </w:t>
            </w:r>
            <w:r>
              <w:rPr>
                <w:spacing w:val="-2"/>
                <w:sz w:val="19"/>
              </w:rPr>
              <w:t>distribution,</w:t>
            </w:r>
          </w:p>
          <w:p>
            <w:pPr>
              <w:pStyle w:val="TableParagraph"/>
              <w:spacing w:line="220" w:lineRule="atLeast" w:before="5"/>
              <w:ind w:left="111" w:right="234"/>
              <w:jc w:val="left"/>
              <w:rPr>
                <w:sz w:val="19"/>
              </w:rPr>
            </w:pPr>
            <w:r>
              <w:rPr>
                <w:sz w:val="19"/>
              </w:rPr>
              <w:t>and/or maintenance solutions in developing countries</w:t>
            </w:r>
          </w:p>
        </w:tc>
        <w:tc>
          <w:tcPr>
            <w:tcW w:w="1111" w:type="dxa"/>
          </w:tcPr>
          <w:p>
            <w:pPr>
              <w:pStyle w:val="TableParagraph"/>
              <w:spacing w:before="11"/>
              <w:jc w:val="left"/>
              <w:rPr>
                <w:b/>
                <w:sz w:val="28"/>
              </w:rPr>
            </w:pPr>
          </w:p>
          <w:p>
            <w:pPr>
              <w:pStyle w:val="TableParagraph"/>
              <w:ind w:left="427"/>
              <w:jc w:val="left"/>
              <w:rPr>
                <w:sz w:val="19"/>
              </w:rPr>
            </w:pPr>
            <w:r>
              <w:rPr>
                <w:spacing w:val="-5"/>
                <w:sz w:val="19"/>
              </w:rPr>
              <w:t>7.1</w:t>
            </w:r>
          </w:p>
        </w:tc>
        <w:tc>
          <w:tcPr>
            <w:tcW w:w="961" w:type="dxa"/>
          </w:tcPr>
          <w:p>
            <w:pPr>
              <w:pStyle w:val="TableParagraph"/>
              <w:spacing w:before="11"/>
              <w:jc w:val="left"/>
              <w:rPr>
                <w:b/>
                <w:sz w:val="28"/>
              </w:rPr>
            </w:pPr>
          </w:p>
          <w:p>
            <w:pPr>
              <w:pStyle w:val="TableParagraph"/>
              <w:ind w:left="5"/>
              <w:rPr>
                <w:sz w:val="19"/>
              </w:rPr>
            </w:pPr>
            <w:r>
              <w:rPr>
                <w:w w:val="102"/>
                <w:sz w:val="19"/>
              </w:rPr>
              <w:t>7</w:t>
            </w:r>
          </w:p>
        </w:tc>
        <w:tc>
          <w:tcPr>
            <w:tcW w:w="1246" w:type="dxa"/>
          </w:tcPr>
          <w:p>
            <w:pPr>
              <w:pStyle w:val="TableParagraph"/>
              <w:spacing w:before="11"/>
              <w:jc w:val="left"/>
              <w:rPr>
                <w:b/>
                <w:sz w:val="28"/>
              </w:rPr>
            </w:pPr>
          </w:p>
          <w:p>
            <w:pPr>
              <w:pStyle w:val="TableParagraph"/>
              <w:ind w:left="50"/>
              <w:rPr>
                <w:sz w:val="19"/>
              </w:rPr>
            </w:pPr>
            <w:r>
              <w:rPr>
                <w:w w:val="102"/>
                <w:sz w:val="19"/>
              </w:rPr>
              <w:t>1</w:t>
            </w:r>
          </w:p>
        </w:tc>
        <w:tc>
          <w:tcPr>
            <w:tcW w:w="1126" w:type="dxa"/>
          </w:tcPr>
          <w:p>
            <w:pPr>
              <w:pStyle w:val="TableParagraph"/>
              <w:spacing w:before="11"/>
              <w:jc w:val="left"/>
              <w:rPr>
                <w:b/>
                <w:sz w:val="28"/>
              </w:rPr>
            </w:pPr>
          </w:p>
          <w:p>
            <w:pPr>
              <w:pStyle w:val="TableParagraph"/>
              <w:ind w:right="494"/>
              <w:jc w:val="right"/>
              <w:rPr>
                <w:sz w:val="19"/>
              </w:rPr>
            </w:pPr>
            <w:r>
              <w:rPr>
                <w:w w:val="102"/>
                <w:sz w:val="19"/>
              </w:rPr>
              <w:t>3</w:t>
            </w:r>
          </w:p>
        </w:tc>
        <w:tc>
          <w:tcPr>
            <w:tcW w:w="1201" w:type="dxa"/>
          </w:tcPr>
          <w:p>
            <w:pPr>
              <w:pStyle w:val="TableParagraph"/>
              <w:spacing w:before="11"/>
              <w:jc w:val="left"/>
              <w:rPr>
                <w:b/>
                <w:sz w:val="28"/>
              </w:rPr>
            </w:pPr>
          </w:p>
          <w:p>
            <w:pPr>
              <w:pStyle w:val="TableParagraph"/>
              <w:ind w:left="5"/>
              <w:rPr>
                <w:sz w:val="19"/>
              </w:rPr>
            </w:pPr>
            <w:r>
              <w:rPr>
                <w:w w:val="102"/>
                <w:sz w:val="19"/>
              </w:rPr>
              <w:t>6</w:t>
            </w:r>
          </w:p>
        </w:tc>
        <w:tc>
          <w:tcPr>
            <w:tcW w:w="1126" w:type="dxa"/>
          </w:tcPr>
          <w:p>
            <w:pPr>
              <w:pStyle w:val="TableParagraph"/>
              <w:spacing w:before="11"/>
              <w:jc w:val="left"/>
              <w:rPr>
                <w:b/>
                <w:sz w:val="28"/>
              </w:rPr>
            </w:pPr>
          </w:p>
          <w:p>
            <w:pPr>
              <w:pStyle w:val="TableParagraph"/>
              <w:ind w:right="7"/>
              <w:rPr>
                <w:sz w:val="19"/>
              </w:rPr>
            </w:pPr>
            <w:r>
              <w:rPr>
                <w:w w:val="102"/>
                <w:sz w:val="19"/>
              </w:rPr>
              <w:t>8</w:t>
            </w:r>
          </w:p>
        </w:tc>
        <w:tc>
          <w:tcPr>
            <w:tcW w:w="1111" w:type="dxa"/>
          </w:tcPr>
          <w:p>
            <w:pPr>
              <w:pStyle w:val="TableParagraph"/>
              <w:spacing w:before="11"/>
              <w:jc w:val="left"/>
              <w:rPr>
                <w:b/>
                <w:sz w:val="28"/>
              </w:rPr>
            </w:pPr>
          </w:p>
          <w:p>
            <w:pPr>
              <w:pStyle w:val="TableParagraph"/>
              <w:ind w:left="457"/>
              <w:jc w:val="left"/>
              <w:rPr>
                <w:sz w:val="19"/>
              </w:rPr>
            </w:pPr>
            <w:r>
              <w:rPr>
                <w:spacing w:val="-5"/>
                <w:sz w:val="19"/>
              </w:rPr>
              <w:t>13</w:t>
            </w:r>
          </w:p>
        </w:tc>
      </w:tr>
      <w:tr>
        <w:trPr>
          <w:trHeight w:val="676" w:hRule="atLeast"/>
        </w:trPr>
        <w:tc>
          <w:tcPr>
            <w:tcW w:w="1757" w:type="dxa"/>
          </w:tcPr>
          <w:p>
            <w:pPr>
              <w:pStyle w:val="TableParagraph"/>
              <w:spacing w:line="247" w:lineRule="auto" w:before="108"/>
              <w:ind w:left="127" w:right="189"/>
              <w:jc w:val="left"/>
              <w:rPr>
                <w:sz w:val="19"/>
              </w:rPr>
            </w:pPr>
            <w:r>
              <w:rPr>
                <w:sz w:val="19"/>
              </w:rPr>
              <w:t>Turning </w:t>
            </w:r>
            <w:r>
              <w:rPr>
                <w:sz w:val="19"/>
              </w:rPr>
              <w:t>Basin </w:t>
            </w:r>
            <w:r>
              <w:rPr>
                <w:spacing w:val="-4"/>
                <w:sz w:val="19"/>
              </w:rPr>
              <w:t>Labs</w:t>
            </w:r>
          </w:p>
        </w:tc>
        <w:tc>
          <w:tcPr>
            <w:tcW w:w="1336" w:type="dxa"/>
          </w:tcPr>
          <w:p>
            <w:pPr>
              <w:pStyle w:val="TableParagraph"/>
              <w:spacing w:before="9"/>
              <w:jc w:val="left"/>
              <w:rPr>
                <w:b/>
                <w:sz w:val="19"/>
              </w:rPr>
            </w:pPr>
          </w:p>
          <w:p>
            <w:pPr>
              <w:pStyle w:val="TableParagraph"/>
              <w:ind w:left="111"/>
              <w:jc w:val="left"/>
              <w:rPr>
                <w:sz w:val="19"/>
              </w:rPr>
            </w:pPr>
            <w:r>
              <w:rPr>
                <w:sz w:val="19"/>
              </w:rPr>
              <w:t>US</w:t>
            </w:r>
            <w:r>
              <w:rPr>
                <w:spacing w:val="8"/>
                <w:sz w:val="19"/>
              </w:rPr>
              <w:t> </w:t>
            </w:r>
            <w:r>
              <w:rPr>
                <w:sz w:val="19"/>
              </w:rPr>
              <w:t>&amp;</w:t>
            </w:r>
            <w:r>
              <w:rPr>
                <w:spacing w:val="10"/>
                <w:sz w:val="19"/>
              </w:rPr>
              <w:t> </w:t>
            </w:r>
            <w:r>
              <w:rPr>
                <w:spacing w:val="-2"/>
                <w:sz w:val="19"/>
              </w:rPr>
              <w:t>Canada</w:t>
            </w:r>
          </w:p>
        </w:tc>
        <w:tc>
          <w:tcPr>
            <w:tcW w:w="2958" w:type="dxa"/>
          </w:tcPr>
          <w:p>
            <w:pPr>
              <w:pStyle w:val="TableParagraph"/>
              <w:spacing w:line="206" w:lineRule="exact"/>
              <w:ind w:left="111"/>
              <w:jc w:val="left"/>
              <w:rPr>
                <w:sz w:val="19"/>
              </w:rPr>
            </w:pPr>
            <w:r>
              <w:rPr>
                <w:sz w:val="19"/>
              </w:rPr>
              <w:t>Creating</w:t>
            </w:r>
            <w:r>
              <w:rPr>
                <w:spacing w:val="14"/>
                <w:sz w:val="19"/>
              </w:rPr>
              <w:t> </w:t>
            </w:r>
            <w:r>
              <w:rPr>
                <w:sz w:val="19"/>
              </w:rPr>
              <w:t>job</w:t>
            </w:r>
            <w:r>
              <w:rPr>
                <w:spacing w:val="42"/>
                <w:sz w:val="19"/>
              </w:rPr>
              <w:t> </w:t>
            </w:r>
            <w:r>
              <w:rPr>
                <w:sz w:val="19"/>
              </w:rPr>
              <w:t>opportunities</w:t>
            </w:r>
            <w:r>
              <w:rPr>
                <w:spacing w:val="29"/>
                <w:sz w:val="19"/>
              </w:rPr>
              <w:t> </w:t>
            </w:r>
            <w:r>
              <w:rPr>
                <w:spacing w:val="-5"/>
                <w:sz w:val="19"/>
              </w:rPr>
              <w:t>for</w:t>
            </w:r>
          </w:p>
          <w:p>
            <w:pPr>
              <w:pStyle w:val="TableParagraph"/>
              <w:spacing w:line="220" w:lineRule="atLeast" w:before="9"/>
              <w:ind w:left="111" w:right="234"/>
              <w:jc w:val="left"/>
              <w:rPr>
                <w:sz w:val="19"/>
              </w:rPr>
            </w:pPr>
            <w:r>
              <w:rPr>
                <w:sz w:val="19"/>
              </w:rPr>
              <w:t>vulnerable specialist workers and </w:t>
            </w:r>
            <w:r>
              <w:rPr>
                <w:spacing w:val="-2"/>
                <w:sz w:val="19"/>
              </w:rPr>
              <w:t>tradespeople</w:t>
            </w:r>
          </w:p>
        </w:tc>
        <w:tc>
          <w:tcPr>
            <w:tcW w:w="1111" w:type="dxa"/>
          </w:tcPr>
          <w:p>
            <w:pPr>
              <w:pStyle w:val="TableParagraph"/>
              <w:spacing w:before="9"/>
              <w:jc w:val="left"/>
              <w:rPr>
                <w:b/>
                <w:sz w:val="19"/>
              </w:rPr>
            </w:pPr>
          </w:p>
          <w:p>
            <w:pPr>
              <w:pStyle w:val="TableParagraph"/>
              <w:ind w:left="427"/>
              <w:jc w:val="left"/>
              <w:rPr>
                <w:sz w:val="19"/>
              </w:rPr>
            </w:pPr>
            <w:r>
              <w:rPr>
                <w:spacing w:val="-5"/>
                <w:sz w:val="19"/>
              </w:rPr>
              <w:t>8.5</w:t>
            </w:r>
          </w:p>
        </w:tc>
        <w:tc>
          <w:tcPr>
            <w:tcW w:w="961" w:type="dxa"/>
          </w:tcPr>
          <w:p>
            <w:pPr>
              <w:pStyle w:val="TableParagraph"/>
              <w:spacing w:before="9"/>
              <w:jc w:val="left"/>
              <w:rPr>
                <w:b/>
                <w:sz w:val="19"/>
              </w:rPr>
            </w:pPr>
          </w:p>
          <w:p>
            <w:pPr>
              <w:pStyle w:val="TableParagraph"/>
              <w:ind w:left="5"/>
              <w:rPr>
                <w:sz w:val="19"/>
              </w:rPr>
            </w:pPr>
            <w:r>
              <w:rPr>
                <w:w w:val="102"/>
                <w:sz w:val="19"/>
              </w:rPr>
              <w:t>8</w:t>
            </w:r>
          </w:p>
        </w:tc>
        <w:tc>
          <w:tcPr>
            <w:tcW w:w="1246" w:type="dxa"/>
          </w:tcPr>
          <w:p>
            <w:pPr>
              <w:pStyle w:val="TableParagraph"/>
              <w:spacing w:before="9"/>
              <w:jc w:val="left"/>
              <w:rPr>
                <w:b/>
                <w:sz w:val="19"/>
              </w:rPr>
            </w:pPr>
          </w:p>
          <w:p>
            <w:pPr>
              <w:pStyle w:val="TableParagraph"/>
              <w:ind w:left="50"/>
              <w:rPr>
                <w:sz w:val="19"/>
              </w:rPr>
            </w:pPr>
            <w:r>
              <w:rPr>
                <w:w w:val="102"/>
                <w:sz w:val="19"/>
              </w:rPr>
              <w:t>1</w:t>
            </w:r>
          </w:p>
        </w:tc>
        <w:tc>
          <w:tcPr>
            <w:tcW w:w="1126" w:type="dxa"/>
          </w:tcPr>
          <w:p>
            <w:pPr>
              <w:pStyle w:val="TableParagraph"/>
              <w:spacing w:before="9"/>
              <w:jc w:val="left"/>
              <w:rPr>
                <w:b/>
                <w:sz w:val="19"/>
              </w:rPr>
            </w:pPr>
          </w:p>
          <w:p>
            <w:pPr>
              <w:pStyle w:val="TableParagraph"/>
              <w:ind w:right="494"/>
              <w:jc w:val="right"/>
              <w:rPr>
                <w:sz w:val="19"/>
              </w:rPr>
            </w:pPr>
            <w:r>
              <w:rPr>
                <w:w w:val="102"/>
                <w:sz w:val="19"/>
              </w:rPr>
              <w:t>7</w:t>
            </w:r>
          </w:p>
        </w:tc>
        <w:tc>
          <w:tcPr>
            <w:tcW w:w="1201" w:type="dxa"/>
          </w:tcPr>
          <w:p>
            <w:pPr>
              <w:pStyle w:val="TableParagraph"/>
              <w:spacing w:before="9"/>
              <w:jc w:val="left"/>
              <w:rPr>
                <w:b/>
                <w:sz w:val="19"/>
              </w:rPr>
            </w:pPr>
          </w:p>
          <w:p>
            <w:pPr>
              <w:pStyle w:val="TableParagraph"/>
              <w:ind w:left="5"/>
              <w:rPr>
                <w:sz w:val="19"/>
              </w:rPr>
            </w:pPr>
            <w:r>
              <w:rPr>
                <w:w w:val="102"/>
                <w:sz w:val="19"/>
              </w:rPr>
              <w:t>3</w:t>
            </w:r>
          </w:p>
        </w:tc>
        <w:tc>
          <w:tcPr>
            <w:tcW w:w="1126" w:type="dxa"/>
          </w:tcPr>
          <w:p>
            <w:pPr>
              <w:pStyle w:val="TableParagraph"/>
              <w:spacing w:before="9"/>
              <w:jc w:val="left"/>
              <w:rPr>
                <w:b/>
                <w:sz w:val="19"/>
              </w:rPr>
            </w:pPr>
          </w:p>
          <w:p>
            <w:pPr>
              <w:pStyle w:val="TableParagraph"/>
              <w:ind w:left="437" w:right="424"/>
              <w:rPr>
                <w:sz w:val="19"/>
              </w:rPr>
            </w:pPr>
            <w:r>
              <w:rPr>
                <w:spacing w:val="-5"/>
                <w:sz w:val="19"/>
              </w:rPr>
              <w:t>15</w:t>
            </w:r>
          </w:p>
        </w:tc>
        <w:tc>
          <w:tcPr>
            <w:tcW w:w="1111" w:type="dxa"/>
          </w:tcPr>
          <w:p>
            <w:pPr>
              <w:pStyle w:val="TableParagraph"/>
              <w:spacing w:before="9"/>
              <w:jc w:val="left"/>
              <w:rPr>
                <w:b/>
                <w:sz w:val="19"/>
              </w:rPr>
            </w:pPr>
          </w:p>
          <w:p>
            <w:pPr>
              <w:pStyle w:val="TableParagraph"/>
              <w:ind w:left="502"/>
              <w:jc w:val="left"/>
              <w:rPr>
                <w:sz w:val="19"/>
              </w:rPr>
            </w:pPr>
            <w:r>
              <w:rPr>
                <w:w w:val="102"/>
                <w:sz w:val="19"/>
              </w:rPr>
              <w:t>2</w:t>
            </w:r>
          </w:p>
        </w:tc>
      </w:tr>
      <w:tr>
        <w:trPr>
          <w:trHeight w:val="915" w:hRule="atLeast"/>
        </w:trPr>
        <w:tc>
          <w:tcPr>
            <w:tcW w:w="1757" w:type="dxa"/>
          </w:tcPr>
          <w:p>
            <w:pPr>
              <w:pStyle w:val="TableParagraph"/>
              <w:spacing w:before="123"/>
              <w:ind w:left="127"/>
              <w:jc w:val="left"/>
              <w:rPr>
                <w:sz w:val="19"/>
              </w:rPr>
            </w:pPr>
            <w:r>
              <w:rPr>
                <w:spacing w:val="-2"/>
                <w:sz w:val="19"/>
              </w:rPr>
              <w:t>Village</w:t>
            </w:r>
          </w:p>
          <w:p>
            <w:pPr>
              <w:pStyle w:val="TableParagraph"/>
              <w:spacing w:line="247" w:lineRule="auto" w:before="6"/>
              <w:ind w:left="127" w:right="189"/>
              <w:jc w:val="left"/>
              <w:rPr>
                <w:sz w:val="19"/>
              </w:rPr>
            </w:pPr>
            <w:r>
              <w:rPr>
                <w:spacing w:val="-2"/>
                <w:sz w:val="19"/>
              </w:rPr>
              <w:t>Infrastructure </w:t>
            </w:r>
            <w:r>
              <w:rPr>
                <w:sz w:val="19"/>
              </w:rPr>
              <w:t>Angels Ltd</w:t>
            </w:r>
          </w:p>
        </w:tc>
        <w:tc>
          <w:tcPr>
            <w:tcW w:w="1336" w:type="dxa"/>
          </w:tcPr>
          <w:p>
            <w:pPr>
              <w:pStyle w:val="TableParagraph"/>
              <w:spacing w:before="9"/>
              <w:jc w:val="left"/>
              <w:rPr>
                <w:b/>
                <w:sz w:val="19"/>
              </w:rPr>
            </w:pPr>
          </w:p>
          <w:p>
            <w:pPr>
              <w:pStyle w:val="TableParagraph"/>
              <w:ind w:left="111"/>
              <w:jc w:val="left"/>
              <w:rPr>
                <w:sz w:val="19"/>
              </w:rPr>
            </w:pPr>
            <w:r>
              <w:rPr>
                <w:spacing w:val="-2"/>
                <w:sz w:val="19"/>
              </w:rPr>
              <w:t>Oceania</w:t>
            </w:r>
          </w:p>
        </w:tc>
        <w:tc>
          <w:tcPr>
            <w:tcW w:w="2958" w:type="dxa"/>
          </w:tcPr>
          <w:p>
            <w:pPr>
              <w:pStyle w:val="TableParagraph"/>
              <w:spacing w:before="2"/>
              <w:ind w:left="111"/>
              <w:jc w:val="left"/>
              <w:rPr>
                <w:sz w:val="19"/>
              </w:rPr>
            </w:pPr>
            <w:r>
              <w:rPr>
                <w:sz w:val="19"/>
              </w:rPr>
              <w:t>Helping</w:t>
            </w:r>
            <w:r>
              <w:rPr>
                <w:spacing w:val="15"/>
                <w:sz w:val="19"/>
              </w:rPr>
              <w:t> </w:t>
            </w:r>
            <w:r>
              <w:rPr>
                <w:sz w:val="19"/>
              </w:rPr>
              <w:t>rural</w:t>
            </w:r>
            <w:r>
              <w:rPr>
                <w:spacing w:val="12"/>
                <w:sz w:val="19"/>
              </w:rPr>
              <w:t> </w:t>
            </w:r>
            <w:r>
              <w:rPr>
                <w:sz w:val="19"/>
              </w:rPr>
              <w:t>villages</w:t>
            </w:r>
            <w:r>
              <w:rPr>
                <w:spacing w:val="41"/>
                <w:sz w:val="19"/>
              </w:rPr>
              <w:t> </w:t>
            </w:r>
            <w:r>
              <w:rPr>
                <w:spacing w:val="-5"/>
                <w:sz w:val="19"/>
              </w:rPr>
              <w:t>in</w:t>
            </w:r>
          </w:p>
          <w:p>
            <w:pPr>
              <w:pStyle w:val="TableParagraph"/>
              <w:spacing w:line="264" w:lineRule="auto" w:before="7"/>
              <w:ind w:left="111" w:right="234"/>
              <w:jc w:val="left"/>
              <w:rPr>
                <w:sz w:val="19"/>
              </w:rPr>
            </w:pPr>
            <w:r>
              <w:rPr>
                <w:sz w:val="19"/>
              </w:rPr>
              <w:t>disadvantaged communities to access the infrastructure they</w:t>
            </w:r>
          </w:p>
          <w:p>
            <w:pPr>
              <w:pStyle w:val="TableParagraph"/>
              <w:spacing w:line="187" w:lineRule="exact"/>
              <w:ind w:left="111"/>
              <w:jc w:val="left"/>
              <w:rPr>
                <w:sz w:val="19"/>
              </w:rPr>
            </w:pPr>
            <w:r>
              <w:rPr>
                <w:sz w:val="19"/>
              </w:rPr>
              <w:t>need</w:t>
            </w:r>
            <w:r>
              <w:rPr>
                <w:spacing w:val="16"/>
                <w:sz w:val="19"/>
              </w:rPr>
              <w:t> </w:t>
            </w:r>
            <w:r>
              <w:rPr>
                <w:sz w:val="19"/>
              </w:rPr>
              <w:t>to</w:t>
            </w:r>
            <w:r>
              <w:rPr>
                <w:spacing w:val="16"/>
                <w:sz w:val="19"/>
              </w:rPr>
              <w:t> </w:t>
            </w:r>
            <w:r>
              <w:rPr>
                <w:sz w:val="19"/>
              </w:rPr>
              <w:t>improve</w:t>
            </w:r>
            <w:r>
              <w:rPr>
                <w:spacing w:val="12"/>
                <w:sz w:val="19"/>
              </w:rPr>
              <w:t> </w:t>
            </w:r>
            <w:r>
              <w:rPr>
                <w:sz w:val="19"/>
              </w:rPr>
              <w:t>living</w:t>
            </w:r>
            <w:r>
              <w:rPr>
                <w:spacing w:val="16"/>
                <w:sz w:val="19"/>
              </w:rPr>
              <w:t> </w:t>
            </w:r>
            <w:r>
              <w:rPr>
                <w:spacing w:val="-2"/>
                <w:sz w:val="19"/>
              </w:rPr>
              <w:t>standards</w:t>
            </w:r>
          </w:p>
        </w:tc>
        <w:tc>
          <w:tcPr>
            <w:tcW w:w="1111" w:type="dxa"/>
          </w:tcPr>
          <w:p>
            <w:pPr>
              <w:pStyle w:val="TableParagraph"/>
              <w:spacing w:before="3"/>
              <w:jc w:val="left"/>
              <w:rPr>
                <w:b/>
                <w:sz w:val="30"/>
              </w:rPr>
            </w:pPr>
          </w:p>
          <w:p>
            <w:pPr>
              <w:pStyle w:val="TableParagraph"/>
              <w:ind w:left="412"/>
              <w:jc w:val="left"/>
              <w:rPr>
                <w:sz w:val="19"/>
              </w:rPr>
            </w:pPr>
            <w:r>
              <w:rPr>
                <w:spacing w:val="-5"/>
                <w:sz w:val="19"/>
              </w:rPr>
              <w:t>9.A</w:t>
            </w:r>
          </w:p>
        </w:tc>
        <w:tc>
          <w:tcPr>
            <w:tcW w:w="961" w:type="dxa"/>
          </w:tcPr>
          <w:p>
            <w:pPr>
              <w:pStyle w:val="TableParagraph"/>
              <w:spacing w:before="5"/>
              <w:jc w:val="left"/>
              <w:rPr>
                <w:b/>
                <w:sz w:val="22"/>
              </w:rPr>
            </w:pPr>
          </w:p>
          <w:p>
            <w:pPr>
              <w:pStyle w:val="TableParagraph"/>
              <w:ind w:left="5"/>
              <w:rPr>
                <w:sz w:val="19"/>
              </w:rPr>
            </w:pPr>
            <w:r>
              <w:rPr>
                <w:w w:val="102"/>
                <w:sz w:val="19"/>
              </w:rPr>
              <w:t>9</w:t>
            </w:r>
          </w:p>
        </w:tc>
        <w:tc>
          <w:tcPr>
            <w:tcW w:w="1246" w:type="dxa"/>
          </w:tcPr>
          <w:p>
            <w:pPr>
              <w:pStyle w:val="TableParagraph"/>
              <w:spacing w:before="5"/>
              <w:jc w:val="left"/>
              <w:rPr>
                <w:b/>
                <w:sz w:val="22"/>
              </w:rPr>
            </w:pPr>
          </w:p>
          <w:p>
            <w:pPr>
              <w:pStyle w:val="TableParagraph"/>
              <w:ind w:left="50"/>
              <w:rPr>
                <w:sz w:val="19"/>
              </w:rPr>
            </w:pPr>
            <w:r>
              <w:rPr>
                <w:w w:val="102"/>
                <w:sz w:val="19"/>
              </w:rPr>
              <w:t>1</w:t>
            </w:r>
          </w:p>
        </w:tc>
        <w:tc>
          <w:tcPr>
            <w:tcW w:w="1126" w:type="dxa"/>
          </w:tcPr>
          <w:p>
            <w:pPr>
              <w:pStyle w:val="TableParagraph"/>
              <w:spacing w:before="5"/>
              <w:jc w:val="left"/>
              <w:rPr>
                <w:b/>
                <w:sz w:val="22"/>
              </w:rPr>
            </w:pPr>
          </w:p>
          <w:p>
            <w:pPr>
              <w:pStyle w:val="TableParagraph"/>
              <w:ind w:right="494"/>
              <w:jc w:val="right"/>
              <w:rPr>
                <w:sz w:val="19"/>
              </w:rPr>
            </w:pPr>
            <w:r>
              <w:rPr>
                <w:w w:val="102"/>
                <w:sz w:val="19"/>
              </w:rPr>
              <w:t>2</w:t>
            </w:r>
          </w:p>
        </w:tc>
        <w:tc>
          <w:tcPr>
            <w:tcW w:w="1201" w:type="dxa"/>
          </w:tcPr>
          <w:p>
            <w:pPr>
              <w:pStyle w:val="TableParagraph"/>
              <w:spacing w:before="5"/>
              <w:jc w:val="left"/>
              <w:rPr>
                <w:b/>
                <w:sz w:val="22"/>
              </w:rPr>
            </w:pPr>
          </w:p>
          <w:p>
            <w:pPr>
              <w:pStyle w:val="TableParagraph"/>
              <w:ind w:left="5"/>
              <w:rPr>
                <w:sz w:val="19"/>
              </w:rPr>
            </w:pPr>
            <w:r>
              <w:rPr>
                <w:w w:val="102"/>
                <w:sz w:val="19"/>
              </w:rPr>
              <w:t>6</w:t>
            </w:r>
          </w:p>
        </w:tc>
        <w:tc>
          <w:tcPr>
            <w:tcW w:w="1126" w:type="dxa"/>
          </w:tcPr>
          <w:p>
            <w:pPr>
              <w:pStyle w:val="TableParagraph"/>
              <w:spacing w:before="5"/>
              <w:jc w:val="left"/>
              <w:rPr>
                <w:b/>
                <w:sz w:val="22"/>
              </w:rPr>
            </w:pPr>
          </w:p>
          <w:p>
            <w:pPr>
              <w:pStyle w:val="TableParagraph"/>
              <w:ind w:right="7"/>
              <w:rPr>
                <w:sz w:val="19"/>
              </w:rPr>
            </w:pPr>
            <w:r>
              <w:rPr>
                <w:w w:val="102"/>
                <w:sz w:val="19"/>
              </w:rPr>
              <w:t>7</w:t>
            </w:r>
          </w:p>
        </w:tc>
        <w:tc>
          <w:tcPr>
            <w:tcW w:w="1111" w:type="dxa"/>
          </w:tcPr>
          <w:p>
            <w:pPr>
              <w:pStyle w:val="TableParagraph"/>
              <w:spacing w:before="5"/>
              <w:jc w:val="left"/>
              <w:rPr>
                <w:b/>
                <w:sz w:val="22"/>
              </w:rPr>
            </w:pPr>
          </w:p>
          <w:p>
            <w:pPr>
              <w:pStyle w:val="TableParagraph"/>
              <w:ind w:left="502"/>
              <w:jc w:val="left"/>
              <w:rPr>
                <w:sz w:val="19"/>
              </w:rPr>
            </w:pPr>
            <w:r>
              <w:rPr>
                <w:w w:val="102"/>
                <w:sz w:val="19"/>
              </w:rPr>
              <w:t>8</w:t>
            </w:r>
          </w:p>
        </w:tc>
      </w:tr>
      <w:tr>
        <w:trPr>
          <w:trHeight w:val="691" w:hRule="atLeast"/>
        </w:trPr>
        <w:tc>
          <w:tcPr>
            <w:tcW w:w="1757" w:type="dxa"/>
          </w:tcPr>
          <w:p>
            <w:pPr>
              <w:pStyle w:val="TableParagraph"/>
              <w:spacing w:before="9"/>
              <w:jc w:val="left"/>
              <w:rPr>
                <w:b/>
                <w:sz w:val="19"/>
              </w:rPr>
            </w:pPr>
          </w:p>
          <w:p>
            <w:pPr>
              <w:pStyle w:val="TableParagraph"/>
              <w:ind w:left="127"/>
              <w:jc w:val="left"/>
              <w:rPr>
                <w:sz w:val="19"/>
              </w:rPr>
            </w:pPr>
            <w:r>
              <w:rPr>
                <w:spacing w:val="-2"/>
                <w:sz w:val="19"/>
              </w:rPr>
              <w:t>Hubpay</w:t>
            </w:r>
          </w:p>
        </w:tc>
        <w:tc>
          <w:tcPr>
            <w:tcW w:w="1336" w:type="dxa"/>
          </w:tcPr>
          <w:p>
            <w:pPr>
              <w:pStyle w:val="TableParagraph"/>
              <w:spacing w:line="247" w:lineRule="auto" w:before="3"/>
              <w:ind w:left="111" w:right="32"/>
              <w:jc w:val="left"/>
              <w:rPr>
                <w:sz w:val="19"/>
              </w:rPr>
            </w:pPr>
            <w:r>
              <w:rPr>
                <w:sz w:val="19"/>
              </w:rPr>
              <w:t>Middle </w:t>
            </w:r>
            <w:r>
              <w:rPr>
                <w:sz w:val="19"/>
              </w:rPr>
              <w:t>East and North</w:t>
            </w:r>
          </w:p>
          <w:p>
            <w:pPr>
              <w:pStyle w:val="TableParagraph"/>
              <w:spacing w:line="202" w:lineRule="exact" w:before="15"/>
              <w:ind w:left="111"/>
              <w:jc w:val="left"/>
              <w:rPr>
                <w:sz w:val="19"/>
              </w:rPr>
            </w:pPr>
            <w:r>
              <w:rPr>
                <w:spacing w:val="-2"/>
                <w:sz w:val="19"/>
              </w:rPr>
              <w:t>Africa</w:t>
            </w:r>
          </w:p>
        </w:tc>
        <w:tc>
          <w:tcPr>
            <w:tcW w:w="2958" w:type="dxa"/>
          </w:tcPr>
          <w:p>
            <w:pPr>
              <w:pStyle w:val="TableParagraph"/>
              <w:spacing w:line="247" w:lineRule="auto" w:before="3"/>
              <w:ind w:left="111" w:right="234"/>
              <w:jc w:val="left"/>
              <w:rPr>
                <w:sz w:val="19"/>
              </w:rPr>
            </w:pPr>
            <w:r>
              <w:rPr>
                <w:sz w:val="19"/>
              </w:rPr>
              <w:t>Offering financial inclusion services</w:t>
            </w:r>
            <w:r>
              <w:rPr>
                <w:spacing w:val="31"/>
                <w:sz w:val="19"/>
              </w:rPr>
              <w:t> </w:t>
            </w:r>
            <w:r>
              <w:rPr>
                <w:sz w:val="19"/>
              </w:rPr>
              <w:t>to</w:t>
            </w:r>
            <w:r>
              <w:rPr>
                <w:spacing w:val="21"/>
                <w:sz w:val="19"/>
              </w:rPr>
              <w:t> </w:t>
            </w:r>
            <w:r>
              <w:rPr>
                <w:sz w:val="19"/>
              </w:rPr>
              <w:t>underserved</w:t>
            </w:r>
            <w:r>
              <w:rPr>
                <w:spacing w:val="22"/>
                <w:sz w:val="19"/>
              </w:rPr>
              <w:t> </w:t>
            </w:r>
            <w:r>
              <w:rPr>
                <w:spacing w:val="-5"/>
                <w:sz w:val="19"/>
              </w:rPr>
              <w:t>and</w:t>
            </w:r>
          </w:p>
          <w:p>
            <w:pPr>
              <w:pStyle w:val="TableParagraph"/>
              <w:spacing w:line="202" w:lineRule="exact" w:before="15"/>
              <w:ind w:left="111"/>
              <w:jc w:val="left"/>
              <w:rPr>
                <w:sz w:val="19"/>
              </w:rPr>
            </w:pPr>
            <w:r>
              <w:rPr>
                <w:sz w:val="19"/>
              </w:rPr>
              <w:t>vulnerable</w:t>
            </w:r>
            <w:r>
              <w:rPr>
                <w:spacing w:val="38"/>
                <w:sz w:val="19"/>
              </w:rPr>
              <w:t> </w:t>
            </w:r>
            <w:r>
              <w:rPr>
                <w:spacing w:val="-2"/>
                <w:sz w:val="19"/>
              </w:rPr>
              <w:t>populations</w:t>
            </w:r>
          </w:p>
        </w:tc>
        <w:tc>
          <w:tcPr>
            <w:tcW w:w="1111" w:type="dxa"/>
          </w:tcPr>
          <w:p>
            <w:pPr>
              <w:pStyle w:val="TableParagraph"/>
              <w:spacing w:before="9"/>
              <w:jc w:val="left"/>
              <w:rPr>
                <w:b/>
                <w:sz w:val="19"/>
              </w:rPr>
            </w:pPr>
          </w:p>
          <w:p>
            <w:pPr>
              <w:pStyle w:val="TableParagraph"/>
              <w:ind w:left="367"/>
              <w:jc w:val="left"/>
              <w:rPr>
                <w:sz w:val="19"/>
              </w:rPr>
            </w:pPr>
            <w:r>
              <w:rPr>
                <w:spacing w:val="-4"/>
                <w:sz w:val="19"/>
              </w:rPr>
              <w:t>10.2</w:t>
            </w:r>
          </w:p>
        </w:tc>
        <w:tc>
          <w:tcPr>
            <w:tcW w:w="961" w:type="dxa"/>
          </w:tcPr>
          <w:p>
            <w:pPr>
              <w:pStyle w:val="TableParagraph"/>
              <w:spacing w:before="153"/>
              <w:ind w:left="377" w:right="349"/>
              <w:rPr>
                <w:sz w:val="19"/>
              </w:rPr>
            </w:pPr>
            <w:r>
              <w:rPr>
                <w:spacing w:val="-5"/>
                <w:sz w:val="19"/>
              </w:rPr>
              <w:t>10</w:t>
            </w:r>
          </w:p>
        </w:tc>
        <w:tc>
          <w:tcPr>
            <w:tcW w:w="1246" w:type="dxa"/>
          </w:tcPr>
          <w:p>
            <w:pPr>
              <w:pStyle w:val="TableParagraph"/>
              <w:spacing w:before="153"/>
              <w:ind w:left="50"/>
              <w:rPr>
                <w:sz w:val="19"/>
              </w:rPr>
            </w:pPr>
            <w:r>
              <w:rPr>
                <w:w w:val="102"/>
                <w:sz w:val="19"/>
              </w:rPr>
              <w:t>1</w:t>
            </w:r>
          </w:p>
        </w:tc>
        <w:tc>
          <w:tcPr>
            <w:tcW w:w="1126" w:type="dxa"/>
          </w:tcPr>
          <w:p>
            <w:pPr>
              <w:pStyle w:val="TableParagraph"/>
              <w:spacing w:before="153"/>
              <w:ind w:right="494"/>
              <w:jc w:val="right"/>
              <w:rPr>
                <w:sz w:val="19"/>
              </w:rPr>
            </w:pPr>
            <w:r>
              <w:rPr>
                <w:w w:val="102"/>
                <w:sz w:val="19"/>
              </w:rPr>
              <w:t>2</w:t>
            </w:r>
          </w:p>
        </w:tc>
        <w:tc>
          <w:tcPr>
            <w:tcW w:w="1201" w:type="dxa"/>
          </w:tcPr>
          <w:p>
            <w:pPr>
              <w:pStyle w:val="TableParagraph"/>
              <w:spacing w:before="153"/>
              <w:ind w:left="5"/>
              <w:rPr>
                <w:sz w:val="19"/>
              </w:rPr>
            </w:pPr>
            <w:r>
              <w:rPr>
                <w:w w:val="102"/>
                <w:sz w:val="19"/>
              </w:rPr>
              <w:t>3</w:t>
            </w:r>
          </w:p>
        </w:tc>
        <w:tc>
          <w:tcPr>
            <w:tcW w:w="1126" w:type="dxa"/>
          </w:tcPr>
          <w:p>
            <w:pPr>
              <w:pStyle w:val="TableParagraph"/>
              <w:spacing w:before="153"/>
              <w:ind w:left="437" w:right="424"/>
              <w:rPr>
                <w:sz w:val="19"/>
              </w:rPr>
            </w:pPr>
            <w:r>
              <w:rPr>
                <w:spacing w:val="-5"/>
                <w:sz w:val="19"/>
              </w:rPr>
              <w:t>15</w:t>
            </w:r>
          </w:p>
        </w:tc>
        <w:tc>
          <w:tcPr>
            <w:tcW w:w="1111" w:type="dxa"/>
          </w:tcPr>
          <w:p>
            <w:pPr>
              <w:pStyle w:val="TableParagraph"/>
              <w:spacing w:before="153"/>
              <w:ind w:left="457"/>
              <w:jc w:val="left"/>
              <w:rPr>
                <w:sz w:val="19"/>
              </w:rPr>
            </w:pPr>
            <w:r>
              <w:rPr>
                <w:spacing w:val="-5"/>
                <w:sz w:val="19"/>
              </w:rPr>
              <w:t>16</w:t>
            </w:r>
          </w:p>
        </w:tc>
      </w:tr>
    </w:tbl>
    <w:p>
      <w:pPr>
        <w:spacing w:after="0"/>
        <w:jc w:val="left"/>
        <w:rPr>
          <w:sz w:val="19"/>
        </w:rPr>
        <w:sectPr>
          <w:footerReference w:type="default" r:id="rId10"/>
          <w:pgSz w:w="16850" w:h="11910" w:orient="landscape"/>
          <w:pgMar w:footer="991" w:header="0" w:top="1340" w:bottom="1180" w:left="1320" w:right="1320"/>
        </w:sectPr>
      </w:pPr>
    </w:p>
    <w:p>
      <w:pPr>
        <w:pStyle w:val="BodyText"/>
        <w:ind w:left="0"/>
        <w:jc w:val="left"/>
        <w:rPr>
          <w:b/>
          <w:sz w:val="8"/>
        </w:rPr>
      </w:pPr>
    </w:p>
    <w:tbl>
      <w:tblPr>
        <w:tblW w:w="0" w:type="auto"/>
        <w:jc w:val="left"/>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757"/>
        <w:gridCol w:w="1336"/>
        <w:gridCol w:w="2958"/>
        <w:gridCol w:w="1111"/>
        <w:gridCol w:w="961"/>
        <w:gridCol w:w="1246"/>
        <w:gridCol w:w="1126"/>
        <w:gridCol w:w="1201"/>
        <w:gridCol w:w="1126"/>
        <w:gridCol w:w="1111"/>
      </w:tblGrid>
      <w:tr>
        <w:trPr>
          <w:trHeight w:val="645" w:hRule="atLeast"/>
        </w:trPr>
        <w:tc>
          <w:tcPr>
            <w:tcW w:w="1757" w:type="dxa"/>
          </w:tcPr>
          <w:p>
            <w:pPr>
              <w:pStyle w:val="TableParagraph"/>
              <w:spacing w:before="122"/>
              <w:ind w:left="127"/>
              <w:jc w:val="left"/>
              <w:rPr>
                <w:sz w:val="19"/>
              </w:rPr>
            </w:pPr>
            <w:r>
              <w:rPr>
                <w:spacing w:val="-2"/>
                <w:sz w:val="19"/>
              </w:rPr>
              <w:t>Stabus</w:t>
            </w:r>
          </w:p>
        </w:tc>
        <w:tc>
          <w:tcPr>
            <w:tcW w:w="1336" w:type="dxa"/>
          </w:tcPr>
          <w:p>
            <w:pPr>
              <w:pStyle w:val="TableParagraph"/>
              <w:spacing w:line="247" w:lineRule="auto" w:before="2"/>
              <w:ind w:left="111"/>
              <w:jc w:val="left"/>
              <w:rPr>
                <w:sz w:val="19"/>
              </w:rPr>
            </w:pPr>
            <w:r>
              <w:rPr>
                <w:spacing w:val="-2"/>
                <w:sz w:val="19"/>
              </w:rPr>
              <w:t>Sub-Saharan Africa</w:t>
            </w:r>
          </w:p>
        </w:tc>
        <w:tc>
          <w:tcPr>
            <w:tcW w:w="2958" w:type="dxa"/>
          </w:tcPr>
          <w:p>
            <w:pPr>
              <w:pStyle w:val="TableParagraph"/>
              <w:spacing w:line="247" w:lineRule="auto" w:before="17"/>
              <w:ind w:left="111" w:right="167"/>
              <w:jc w:val="left"/>
              <w:rPr>
                <w:sz w:val="19"/>
              </w:rPr>
            </w:pPr>
            <w:r>
              <w:rPr>
                <w:sz w:val="19"/>
              </w:rPr>
              <w:t>Offering safer and more</w:t>
            </w:r>
            <w:r>
              <w:rPr>
                <w:spacing w:val="80"/>
                <w:sz w:val="19"/>
              </w:rPr>
              <w:t> </w:t>
            </w:r>
            <w:r>
              <w:rPr>
                <w:sz w:val="19"/>
              </w:rPr>
              <w:t>convenient transportation services</w:t>
            </w:r>
          </w:p>
        </w:tc>
        <w:tc>
          <w:tcPr>
            <w:tcW w:w="1111" w:type="dxa"/>
          </w:tcPr>
          <w:p>
            <w:pPr>
              <w:pStyle w:val="TableParagraph"/>
              <w:spacing w:before="122"/>
              <w:ind w:left="235" w:right="242"/>
              <w:rPr>
                <w:sz w:val="19"/>
              </w:rPr>
            </w:pPr>
            <w:r>
              <w:rPr>
                <w:spacing w:val="-4"/>
                <w:sz w:val="19"/>
              </w:rPr>
              <w:t>11.2</w:t>
            </w:r>
          </w:p>
        </w:tc>
        <w:tc>
          <w:tcPr>
            <w:tcW w:w="961" w:type="dxa"/>
          </w:tcPr>
          <w:p>
            <w:pPr>
              <w:pStyle w:val="TableParagraph"/>
              <w:spacing w:before="6"/>
              <w:jc w:val="left"/>
              <w:rPr>
                <w:b/>
                <w:sz w:val="18"/>
              </w:rPr>
            </w:pPr>
          </w:p>
          <w:p>
            <w:pPr>
              <w:pStyle w:val="TableParagraph"/>
              <w:ind w:right="351"/>
              <w:jc w:val="right"/>
              <w:rPr>
                <w:sz w:val="19"/>
              </w:rPr>
            </w:pPr>
            <w:r>
              <w:rPr>
                <w:spacing w:val="-5"/>
                <w:sz w:val="19"/>
              </w:rPr>
              <w:t>11</w:t>
            </w:r>
          </w:p>
        </w:tc>
        <w:tc>
          <w:tcPr>
            <w:tcW w:w="1246" w:type="dxa"/>
          </w:tcPr>
          <w:p>
            <w:pPr>
              <w:pStyle w:val="TableParagraph"/>
              <w:spacing w:before="6"/>
              <w:jc w:val="left"/>
              <w:rPr>
                <w:b/>
                <w:sz w:val="18"/>
              </w:rPr>
            </w:pPr>
          </w:p>
          <w:p>
            <w:pPr>
              <w:pStyle w:val="TableParagraph"/>
              <w:ind w:right="539"/>
              <w:jc w:val="right"/>
              <w:rPr>
                <w:sz w:val="19"/>
              </w:rPr>
            </w:pPr>
            <w:r>
              <w:rPr>
                <w:w w:val="102"/>
                <w:sz w:val="19"/>
              </w:rPr>
              <w:t>1</w:t>
            </w:r>
          </w:p>
        </w:tc>
        <w:tc>
          <w:tcPr>
            <w:tcW w:w="1126" w:type="dxa"/>
          </w:tcPr>
          <w:p>
            <w:pPr>
              <w:pStyle w:val="TableParagraph"/>
              <w:spacing w:before="6"/>
              <w:jc w:val="left"/>
              <w:rPr>
                <w:b/>
                <w:sz w:val="18"/>
              </w:rPr>
            </w:pPr>
          </w:p>
          <w:p>
            <w:pPr>
              <w:pStyle w:val="TableParagraph"/>
              <w:ind w:left="20"/>
              <w:rPr>
                <w:sz w:val="19"/>
              </w:rPr>
            </w:pPr>
            <w:r>
              <w:rPr>
                <w:w w:val="102"/>
                <w:sz w:val="19"/>
              </w:rPr>
              <w:t>3</w:t>
            </w:r>
          </w:p>
        </w:tc>
        <w:tc>
          <w:tcPr>
            <w:tcW w:w="1201" w:type="dxa"/>
          </w:tcPr>
          <w:p>
            <w:pPr>
              <w:pStyle w:val="TableParagraph"/>
              <w:spacing w:before="6"/>
              <w:jc w:val="left"/>
              <w:rPr>
                <w:b/>
                <w:sz w:val="18"/>
              </w:rPr>
            </w:pPr>
          </w:p>
          <w:p>
            <w:pPr>
              <w:pStyle w:val="TableParagraph"/>
              <w:ind w:left="5"/>
              <w:rPr>
                <w:sz w:val="19"/>
              </w:rPr>
            </w:pPr>
            <w:r>
              <w:rPr>
                <w:w w:val="102"/>
                <w:sz w:val="19"/>
              </w:rPr>
              <w:t>6</w:t>
            </w:r>
          </w:p>
        </w:tc>
        <w:tc>
          <w:tcPr>
            <w:tcW w:w="1126" w:type="dxa"/>
          </w:tcPr>
          <w:p>
            <w:pPr>
              <w:pStyle w:val="TableParagraph"/>
              <w:spacing w:before="6"/>
              <w:jc w:val="left"/>
              <w:rPr>
                <w:b/>
                <w:sz w:val="18"/>
              </w:rPr>
            </w:pPr>
          </w:p>
          <w:p>
            <w:pPr>
              <w:pStyle w:val="TableParagraph"/>
              <w:ind w:left="437" w:right="424"/>
              <w:rPr>
                <w:sz w:val="19"/>
              </w:rPr>
            </w:pPr>
            <w:r>
              <w:rPr>
                <w:spacing w:val="-5"/>
                <w:sz w:val="19"/>
              </w:rPr>
              <w:t>13</w:t>
            </w:r>
          </w:p>
        </w:tc>
        <w:tc>
          <w:tcPr>
            <w:tcW w:w="1111" w:type="dxa"/>
          </w:tcPr>
          <w:p>
            <w:pPr>
              <w:pStyle w:val="TableParagraph"/>
              <w:spacing w:before="6"/>
              <w:jc w:val="left"/>
              <w:rPr>
                <w:b/>
                <w:sz w:val="18"/>
              </w:rPr>
            </w:pPr>
          </w:p>
          <w:p>
            <w:pPr>
              <w:pStyle w:val="TableParagraph"/>
              <w:ind w:left="457"/>
              <w:jc w:val="left"/>
              <w:rPr>
                <w:sz w:val="19"/>
              </w:rPr>
            </w:pPr>
            <w:r>
              <w:rPr>
                <w:spacing w:val="-5"/>
                <w:sz w:val="19"/>
              </w:rPr>
              <w:t>10</w:t>
            </w:r>
          </w:p>
        </w:tc>
      </w:tr>
      <w:tr>
        <w:trPr>
          <w:trHeight w:val="901" w:hRule="atLeast"/>
        </w:trPr>
        <w:tc>
          <w:tcPr>
            <w:tcW w:w="1757" w:type="dxa"/>
          </w:tcPr>
          <w:p>
            <w:pPr>
              <w:pStyle w:val="TableParagraph"/>
              <w:spacing w:before="5"/>
              <w:jc w:val="left"/>
              <w:rPr>
                <w:b/>
                <w:sz w:val="22"/>
              </w:rPr>
            </w:pPr>
          </w:p>
          <w:p>
            <w:pPr>
              <w:pStyle w:val="TableParagraph"/>
              <w:ind w:left="127"/>
              <w:jc w:val="left"/>
              <w:rPr>
                <w:sz w:val="19"/>
              </w:rPr>
            </w:pPr>
            <w:r>
              <w:rPr>
                <w:spacing w:val="7"/>
                <w:sz w:val="19"/>
              </w:rPr>
              <w:t>Harmaan</w:t>
            </w:r>
          </w:p>
        </w:tc>
        <w:tc>
          <w:tcPr>
            <w:tcW w:w="1336" w:type="dxa"/>
          </w:tcPr>
          <w:p>
            <w:pPr>
              <w:pStyle w:val="TableParagraph"/>
              <w:spacing w:before="9"/>
              <w:jc w:val="left"/>
              <w:rPr>
                <w:b/>
                <w:sz w:val="19"/>
              </w:rPr>
            </w:pPr>
          </w:p>
          <w:p>
            <w:pPr>
              <w:pStyle w:val="TableParagraph"/>
              <w:ind w:left="111"/>
              <w:jc w:val="left"/>
              <w:rPr>
                <w:sz w:val="19"/>
              </w:rPr>
            </w:pPr>
            <w:r>
              <w:rPr>
                <w:sz w:val="19"/>
              </w:rPr>
              <w:t>South</w:t>
            </w:r>
            <w:r>
              <w:rPr>
                <w:spacing w:val="27"/>
                <w:sz w:val="19"/>
              </w:rPr>
              <w:t> </w:t>
            </w:r>
            <w:r>
              <w:rPr>
                <w:spacing w:val="-4"/>
                <w:sz w:val="19"/>
              </w:rPr>
              <w:t>Asia</w:t>
            </w:r>
          </w:p>
        </w:tc>
        <w:tc>
          <w:tcPr>
            <w:tcW w:w="2958" w:type="dxa"/>
          </w:tcPr>
          <w:p>
            <w:pPr>
              <w:pStyle w:val="TableParagraph"/>
              <w:spacing w:line="264" w:lineRule="auto" w:before="18"/>
              <w:ind w:left="111" w:right="234"/>
              <w:jc w:val="left"/>
              <w:rPr>
                <w:sz w:val="19"/>
              </w:rPr>
            </w:pPr>
            <w:r>
              <w:rPr>
                <w:sz w:val="19"/>
              </w:rPr>
              <w:t>Offering environmentally sound and efficient waste management </w:t>
            </w:r>
            <w:r>
              <w:rPr>
                <w:spacing w:val="-2"/>
                <w:sz w:val="19"/>
              </w:rPr>
              <w:t>solutions</w:t>
            </w:r>
          </w:p>
        </w:tc>
        <w:tc>
          <w:tcPr>
            <w:tcW w:w="1111" w:type="dxa"/>
          </w:tcPr>
          <w:p>
            <w:pPr>
              <w:pStyle w:val="TableParagraph"/>
              <w:spacing w:before="5"/>
              <w:jc w:val="left"/>
              <w:rPr>
                <w:b/>
                <w:sz w:val="22"/>
              </w:rPr>
            </w:pPr>
          </w:p>
          <w:p>
            <w:pPr>
              <w:pStyle w:val="TableParagraph"/>
              <w:ind w:left="235" w:right="242"/>
              <w:rPr>
                <w:sz w:val="19"/>
              </w:rPr>
            </w:pPr>
            <w:r>
              <w:rPr>
                <w:spacing w:val="-4"/>
                <w:sz w:val="19"/>
              </w:rPr>
              <w:t>12.4</w:t>
            </w:r>
          </w:p>
        </w:tc>
        <w:tc>
          <w:tcPr>
            <w:tcW w:w="961" w:type="dxa"/>
          </w:tcPr>
          <w:p>
            <w:pPr>
              <w:pStyle w:val="TableParagraph"/>
              <w:spacing w:before="5"/>
              <w:jc w:val="left"/>
              <w:rPr>
                <w:b/>
                <w:sz w:val="22"/>
              </w:rPr>
            </w:pPr>
          </w:p>
          <w:p>
            <w:pPr>
              <w:pStyle w:val="TableParagraph"/>
              <w:ind w:right="351"/>
              <w:jc w:val="right"/>
              <w:rPr>
                <w:sz w:val="19"/>
              </w:rPr>
            </w:pPr>
            <w:r>
              <w:rPr>
                <w:spacing w:val="-5"/>
                <w:sz w:val="19"/>
              </w:rPr>
              <w:t>12</w:t>
            </w:r>
          </w:p>
        </w:tc>
        <w:tc>
          <w:tcPr>
            <w:tcW w:w="1246" w:type="dxa"/>
          </w:tcPr>
          <w:p>
            <w:pPr>
              <w:pStyle w:val="TableParagraph"/>
              <w:spacing w:before="5"/>
              <w:jc w:val="left"/>
              <w:rPr>
                <w:b/>
                <w:sz w:val="22"/>
              </w:rPr>
            </w:pPr>
          </w:p>
          <w:p>
            <w:pPr>
              <w:pStyle w:val="TableParagraph"/>
              <w:ind w:right="539"/>
              <w:jc w:val="right"/>
              <w:rPr>
                <w:sz w:val="19"/>
              </w:rPr>
            </w:pPr>
            <w:r>
              <w:rPr>
                <w:w w:val="102"/>
                <w:sz w:val="19"/>
              </w:rPr>
              <w:t>6</w:t>
            </w:r>
          </w:p>
        </w:tc>
        <w:tc>
          <w:tcPr>
            <w:tcW w:w="1126" w:type="dxa"/>
          </w:tcPr>
          <w:p>
            <w:pPr>
              <w:pStyle w:val="TableParagraph"/>
              <w:spacing w:before="5"/>
              <w:jc w:val="left"/>
              <w:rPr>
                <w:b/>
                <w:sz w:val="22"/>
              </w:rPr>
            </w:pPr>
          </w:p>
          <w:p>
            <w:pPr>
              <w:pStyle w:val="TableParagraph"/>
              <w:ind w:left="20"/>
              <w:rPr>
                <w:sz w:val="19"/>
              </w:rPr>
            </w:pPr>
            <w:r>
              <w:rPr>
                <w:w w:val="102"/>
                <w:sz w:val="19"/>
              </w:rPr>
              <w:t>7</w:t>
            </w:r>
          </w:p>
        </w:tc>
        <w:tc>
          <w:tcPr>
            <w:tcW w:w="1201" w:type="dxa"/>
          </w:tcPr>
          <w:p>
            <w:pPr>
              <w:pStyle w:val="TableParagraph"/>
              <w:spacing w:before="5"/>
              <w:jc w:val="left"/>
              <w:rPr>
                <w:b/>
                <w:sz w:val="22"/>
              </w:rPr>
            </w:pPr>
          </w:p>
          <w:p>
            <w:pPr>
              <w:pStyle w:val="TableParagraph"/>
              <w:ind w:left="497" w:right="469"/>
              <w:rPr>
                <w:sz w:val="19"/>
              </w:rPr>
            </w:pPr>
            <w:r>
              <w:rPr>
                <w:spacing w:val="-5"/>
                <w:sz w:val="19"/>
              </w:rPr>
              <w:t>14</w:t>
            </w:r>
          </w:p>
        </w:tc>
        <w:tc>
          <w:tcPr>
            <w:tcW w:w="1126" w:type="dxa"/>
          </w:tcPr>
          <w:p>
            <w:pPr>
              <w:pStyle w:val="TableParagraph"/>
              <w:spacing w:before="5"/>
              <w:jc w:val="left"/>
              <w:rPr>
                <w:b/>
                <w:sz w:val="22"/>
              </w:rPr>
            </w:pPr>
          </w:p>
          <w:p>
            <w:pPr>
              <w:pStyle w:val="TableParagraph"/>
              <w:ind w:left="437" w:right="424"/>
              <w:rPr>
                <w:sz w:val="19"/>
              </w:rPr>
            </w:pPr>
            <w:r>
              <w:rPr>
                <w:spacing w:val="-5"/>
                <w:sz w:val="19"/>
              </w:rPr>
              <w:t>15</w:t>
            </w:r>
          </w:p>
        </w:tc>
        <w:tc>
          <w:tcPr>
            <w:tcW w:w="1111" w:type="dxa"/>
          </w:tcPr>
          <w:p>
            <w:pPr>
              <w:pStyle w:val="TableParagraph"/>
              <w:spacing w:before="5"/>
              <w:jc w:val="left"/>
              <w:rPr>
                <w:b/>
                <w:sz w:val="22"/>
              </w:rPr>
            </w:pPr>
          </w:p>
          <w:p>
            <w:pPr>
              <w:pStyle w:val="TableParagraph"/>
              <w:ind w:left="502"/>
              <w:jc w:val="left"/>
              <w:rPr>
                <w:sz w:val="19"/>
              </w:rPr>
            </w:pPr>
            <w:r>
              <w:rPr>
                <w:w w:val="102"/>
                <w:sz w:val="19"/>
              </w:rPr>
              <w:t>8</w:t>
            </w:r>
          </w:p>
        </w:tc>
      </w:tr>
      <w:tr>
        <w:trPr>
          <w:trHeight w:val="901" w:hRule="atLeast"/>
        </w:trPr>
        <w:tc>
          <w:tcPr>
            <w:tcW w:w="1757" w:type="dxa"/>
          </w:tcPr>
          <w:p>
            <w:pPr>
              <w:pStyle w:val="TableParagraph"/>
              <w:spacing w:before="3"/>
              <w:jc w:val="left"/>
              <w:rPr>
                <w:b/>
                <w:sz w:val="30"/>
              </w:rPr>
            </w:pPr>
          </w:p>
          <w:p>
            <w:pPr>
              <w:pStyle w:val="TableParagraph"/>
              <w:ind w:left="127"/>
              <w:jc w:val="left"/>
              <w:rPr>
                <w:sz w:val="19"/>
              </w:rPr>
            </w:pPr>
            <w:r>
              <w:rPr>
                <w:sz w:val="19"/>
              </w:rPr>
              <w:t>ATP-MD,</w:t>
            </w:r>
            <w:r>
              <w:rPr>
                <w:spacing w:val="35"/>
                <w:sz w:val="19"/>
              </w:rPr>
              <w:t> </w:t>
            </w:r>
            <w:r>
              <w:rPr>
                <w:spacing w:val="-5"/>
                <w:sz w:val="19"/>
              </w:rPr>
              <w:t>LLC</w:t>
            </w:r>
          </w:p>
        </w:tc>
        <w:tc>
          <w:tcPr>
            <w:tcW w:w="1336" w:type="dxa"/>
          </w:tcPr>
          <w:p>
            <w:pPr>
              <w:pStyle w:val="TableParagraph"/>
              <w:spacing w:before="9"/>
              <w:jc w:val="left"/>
              <w:rPr>
                <w:b/>
                <w:sz w:val="19"/>
              </w:rPr>
            </w:pPr>
          </w:p>
          <w:p>
            <w:pPr>
              <w:pStyle w:val="TableParagraph"/>
              <w:ind w:left="111"/>
              <w:jc w:val="left"/>
              <w:rPr>
                <w:sz w:val="19"/>
              </w:rPr>
            </w:pPr>
            <w:r>
              <w:rPr>
                <w:sz w:val="19"/>
              </w:rPr>
              <w:t>US</w:t>
            </w:r>
            <w:r>
              <w:rPr>
                <w:spacing w:val="8"/>
                <w:sz w:val="19"/>
              </w:rPr>
              <w:t> </w:t>
            </w:r>
            <w:r>
              <w:rPr>
                <w:sz w:val="19"/>
              </w:rPr>
              <w:t>&amp;</w:t>
            </w:r>
            <w:r>
              <w:rPr>
                <w:spacing w:val="10"/>
                <w:sz w:val="19"/>
              </w:rPr>
              <w:t> </w:t>
            </w:r>
            <w:r>
              <w:rPr>
                <w:spacing w:val="-2"/>
                <w:sz w:val="19"/>
              </w:rPr>
              <w:t>Canada</w:t>
            </w:r>
          </w:p>
        </w:tc>
        <w:tc>
          <w:tcPr>
            <w:tcW w:w="2958" w:type="dxa"/>
          </w:tcPr>
          <w:p>
            <w:pPr>
              <w:pStyle w:val="TableParagraph"/>
              <w:spacing w:line="264" w:lineRule="auto" w:before="17"/>
              <w:ind w:left="111" w:right="234"/>
              <w:jc w:val="left"/>
              <w:rPr>
                <w:sz w:val="19"/>
              </w:rPr>
            </w:pPr>
            <w:r>
              <w:rPr>
                <w:sz w:val="19"/>
              </w:rPr>
              <w:t>Offering innovative solutions for climate change mitigation and impact reduction</w:t>
            </w:r>
          </w:p>
        </w:tc>
        <w:tc>
          <w:tcPr>
            <w:tcW w:w="1111" w:type="dxa"/>
          </w:tcPr>
          <w:p>
            <w:pPr>
              <w:pStyle w:val="TableParagraph"/>
              <w:spacing w:before="5"/>
              <w:jc w:val="left"/>
              <w:rPr>
                <w:b/>
                <w:sz w:val="22"/>
              </w:rPr>
            </w:pPr>
          </w:p>
          <w:p>
            <w:pPr>
              <w:pStyle w:val="TableParagraph"/>
              <w:ind w:left="235" w:right="242"/>
              <w:rPr>
                <w:sz w:val="19"/>
              </w:rPr>
            </w:pPr>
            <w:r>
              <w:rPr>
                <w:spacing w:val="-4"/>
                <w:sz w:val="19"/>
              </w:rPr>
              <w:t>13.1</w:t>
            </w:r>
          </w:p>
        </w:tc>
        <w:tc>
          <w:tcPr>
            <w:tcW w:w="961" w:type="dxa"/>
          </w:tcPr>
          <w:p>
            <w:pPr>
              <w:pStyle w:val="TableParagraph"/>
              <w:spacing w:before="5"/>
              <w:jc w:val="left"/>
              <w:rPr>
                <w:b/>
                <w:sz w:val="22"/>
              </w:rPr>
            </w:pPr>
          </w:p>
          <w:p>
            <w:pPr>
              <w:pStyle w:val="TableParagraph"/>
              <w:ind w:right="351"/>
              <w:jc w:val="right"/>
              <w:rPr>
                <w:sz w:val="19"/>
              </w:rPr>
            </w:pPr>
            <w:r>
              <w:rPr>
                <w:spacing w:val="-5"/>
                <w:sz w:val="19"/>
              </w:rPr>
              <w:t>13</w:t>
            </w:r>
          </w:p>
        </w:tc>
        <w:tc>
          <w:tcPr>
            <w:tcW w:w="1246" w:type="dxa"/>
          </w:tcPr>
          <w:p>
            <w:pPr>
              <w:pStyle w:val="TableParagraph"/>
              <w:spacing w:before="5"/>
              <w:jc w:val="left"/>
              <w:rPr>
                <w:b/>
                <w:sz w:val="22"/>
              </w:rPr>
            </w:pPr>
          </w:p>
          <w:p>
            <w:pPr>
              <w:pStyle w:val="TableParagraph"/>
              <w:ind w:right="539"/>
              <w:jc w:val="right"/>
              <w:rPr>
                <w:sz w:val="19"/>
              </w:rPr>
            </w:pPr>
            <w:r>
              <w:rPr>
                <w:w w:val="102"/>
                <w:sz w:val="19"/>
              </w:rPr>
              <w:t>1</w:t>
            </w:r>
          </w:p>
        </w:tc>
        <w:tc>
          <w:tcPr>
            <w:tcW w:w="1126" w:type="dxa"/>
          </w:tcPr>
          <w:p>
            <w:pPr>
              <w:pStyle w:val="TableParagraph"/>
              <w:spacing w:before="5"/>
              <w:jc w:val="left"/>
              <w:rPr>
                <w:b/>
                <w:sz w:val="22"/>
              </w:rPr>
            </w:pPr>
          </w:p>
          <w:p>
            <w:pPr>
              <w:pStyle w:val="TableParagraph"/>
              <w:ind w:left="20"/>
              <w:rPr>
                <w:sz w:val="19"/>
              </w:rPr>
            </w:pPr>
            <w:r>
              <w:rPr>
                <w:w w:val="102"/>
                <w:sz w:val="19"/>
              </w:rPr>
              <w:t>2</w:t>
            </w:r>
          </w:p>
        </w:tc>
        <w:tc>
          <w:tcPr>
            <w:tcW w:w="1201" w:type="dxa"/>
          </w:tcPr>
          <w:p>
            <w:pPr>
              <w:pStyle w:val="TableParagraph"/>
              <w:spacing w:before="5"/>
              <w:jc w:val="left"/>
              <w:rPr>
                <w:b/>
                <w:sz w:val="22"/>
              </w:rPr>
            </w:pPr>
          </w:p>
          <w:p>
            <w:pPr>
              <w:pStyle w:val="TableParagraph"/>
              <w:ind w:left="5"/>
              <w:rPr>
                <w:sz w:val="19"/>
              </w:rPr>
            </w:pPr>
            <w:r>
              <w:rPr>
                <w:w w:val="102"/>
                <w:sz w:val="19"/>
              </w:rPr>
              <w:t>3</w:t>
            </w:r>
          </w:p>
        </w:tc>
        <w:tc>
          <w:tcPr>
            <w:tcW w:w="1126" w:type="dxa"/>
          </w:tcPr>
          <w:p>
            <w:pPr>
              <w:pStyle w:val="TableParagraph"/>
              <w:spacing w:before="5"/>
              <w:jc w:val="left"/>
              <w:rPr>
                <w:b/>
                <w:sz w:val="22"/>
              </w:rPr>
            </w:pPr>
          </w:p>
          <w:p>
            <w:pPr>
              <w:pStyle w:val="TableParagraph"/>
              <w:ind w:right="7"/>
              <w:rPr>
                <w:sz w:val="19"/>
              </w:rPr>
            </w:pPr>
            <w:r>
              <w:rPr>
                <w:w w:val="102"/>
                <w:sz w:val="19"/>
              </w:rPr>
              <w:t>7</w:t>
            </w:r>
          </w:p>
        </w:tc>
        <w:tc>
          <w:tcPr>
            <w:tcW w:w="1111" w:type="dxa"/>
          </w:tcPr>
          <w:p>
            <w:pPr>
              <w:pStyle w:val="TableParagraph"/>
              <w:spacing w:before="5"/>
              <w:jc w:val="left"/>
              <w:rPr>
                <w:b/>
                <w:sz w:val="22"/>
              </w:rPr>
            </w:pPr>
          </w:p>
          <w:p>
            <w:pPr>
              <w:pStyle w:val="TableParagraph"/>
              <w:ind w:left="457"/>
              <w:jc w:val="left"/>
              <w:rPr>
                <w:sz w:val="19"/>
              </w:rPr>
            </w:pPr>
            <w:r>
              <w:rPr>
                <w:spacing w:val="-5"/>
                <w:sz w:val="19"/>
              </w:rPr>
              <w:t>15</w:t>
            </w:r>
          </w:p>
        </w:tc>
      </w:tr>
      <w:tr>
        <w:trPr>
          <w:trHeight w:val="661" w:hRule="atLeast"/>
        </w:trPr>
        <w:tc>
          <w:tcPr>
            <w:tcW w:w="1757" w:type="dxa"/>
          </w:tcPr>
          <w:p>
            <w:pPr>
              <w:pStyle w:val="TableParagraph"/>
              <w:spacing w:line="247" w:lineRule="auto" w:before="108"/>
              <w:ind w:left="127"/>
              <w:jc w:val="left"/>
              <w:rPr>
                <w:sz w:val="19"/>
              </w:rPr>
            </w:pPr>
            <w:hyperlink r:id="rId11">
              <w:r>
                <w:rPr>
                  <w:sz w:val="19"/>
                </w:rPr>
                <w:t>Oluadepe </w:t>
              </w:r>
              <w:r>
                <w:rPr>
                  <w:sz w:val="19"/>
                </w:rPr>
                <w:t>Farms</w:t>
              </w:r>
            </w:hyperlink>
            <w:r>
              <w:rPr>
                <w:sz w:val="19"/>
              </w:rPr>
              <w:t> </w:t>
            </w:r>
            <w:hyperlink r:id="rId11">
              <w:r>
                <w:rPr>
                  <w:sz w:val="19"/>
                </w:rPr>
                <w:t>Nigeria</w:t>
              </w:r>
              <w:r>
                <w:rPr>
                  <w:spacing w:val="40"/>
                  <w:sz w:val="19"/>
                </w:rPr>
                <w:t> </w:t>
              </w:r>
              <w:r>
                <w:rPr>
                  <w:sz w:val="19"/>
                </w:rPr>
                <w:t>LTD</w:t>
              </w:r>
            </w:hyperlink>
          </w:p>
        </w:tc>
        <w:tc>
          <w:tcPr>
            <w:tcW w:w="1336" w:type="dxa"/>
          </w:tcPr>
          <w:p>
            <w:pPr>
              <w:pStyle w:val="TableParagraph"/>
              <w:spacing w:line="247" w:lineRule="auto" w:before="2"/>
              <w:ind w:left="111"/>
              <w:jc w:val="left"/>
              <w:rPr>
                <w:sz w:val="19"/>
              </w:rPr>
            </w:pPr>
            <w:r>
              <w:rPr>
                <w:spacing w:val="-2"/>
                <w:sz w:val="19"/>
              </w:rPr>
              <w:t>Sub-Saharan Africa</w:t>
            </w:r>
          </w:p>
        </w:tc>
        <w:tc>
          <w:tcPr>
            <w:tcW w:w="2958" w:type="dxa"/>
          </w:tcPr>
          <w:p>
            <w:pPr>
              <w:pStyle w:val="TableParagraph"/>
              <w:spacing w:line="264" w:lineRule="auto" w:before="17"/>
              <w:ind w:left="111" w:right="234"/>
              <w:jc w:val="left"/>
              <w:rPr>
                <w:sz w:val="19"/>
              </w:rPr>
            </w:pPr>
            <w:r>
              <w:rPr>
                <w:sz w:val="19"/>
              </w:rPr>
              <w:t>Offering sustainable aquaculture </w:t>
            </w:r>
            <w:r>
              <w:rPr>
                <w:spacing w:val="-2"/>
                <w:sz w:val="19"/>
              </w:rPr>
              <w:t>solutions</w:t>
            </w:r>
          </w:p>
        </w:tc>
        <w:tc>
          <w:tcPr>
            <w:tcW w:w="1111" w:type="dxa"/>
          </w:tcPr>
          <w:p>
            <w:pPr>
              <w:pStyle w:val="TableParagraph"/>
              <w:spacing w:before="123"/>
              <w:ind w:left="235" w:right="242"/>
              <w:rPr>
                <w:sz w:val="19"/>
              </w:rPr>
            </w:pPr>
            <w:r>
              <w:rPr>
                <w:spacing w:val="-4"/>
                <w:sz w:val="19"/>
              </w:rPr>
              <w:t>14.2</w:t>
            </w:r>
          </w:p>
        </w:tc>
        <w:tc>
          <w:tcPr>
            <w:tcW w:w="961" w:type="dxa"/>
          </w:tcPr>
          <w:p>
            <w:pPr>
              <w:pStyle w:val="TableParagraph"/>
              <w:spacing w:before="123"/>
              <w:ind w:right="351"/>
              <w:jc w:val="right"/>
              <w:rPr>
                <w:sz w:val="19"/>
              </w:rPr>
            </w:pPr>
            <w:r>
              <w:rPr>
                <w:spacing w:val="-5"/>
                <w:sz w:val="19"/>
              </w:rPr>
              <w:t>14</w:t>
            </w:r>
          </w:p>
        </w:tc>
        <w:tc>
          <w:tcPr>
            <w:tcW w:w="1246" w:type="dxa"/>
          </w:tcPr>
          <w:p>
            <w:pPr>
              <w:pStyle w:val="TableParagraph"/>
              <w:spacing w:before="123"/>
              <w:ind w:right="539"/>
              <w:jc w:val="right"/>
              <w:rPr>
                <w:sz w:val="19"/>
              </w:rPr>
            </w:pPr>
            <w:r>
              <w:rPr>
                <w:w w:val="102"/>
                <w:sz w:val="19"/>
              </w:rPr>
              <w:t>1</w:t>
            </w:r>
          </w:p>
        </w:tc>
        <w:tc>
          <w:tcPr>
            <w:tcW w:w="1126" w:type="dxa"/>
          </w:tcPr>
          <w:p>
            <w:pPr>
              <w:pStyle w:val="TableParagraph"/>
              <w:spacing w:before="123"/>
              <w:ind w:left="20"/>
              <w:rPr>
                <w:sz w:val="19"/>
              </w:rPr>
            </w:pPr>
            <w:r>
              <w:rPr>
                <w:w w:val="102"/>
                <w:sz w:val="19"/>
              </w:rPr>
              <w:t>2</w:t>
            </w:r>
          </w:p>
        </w:tc>
        <w:tc>
          <w:tcPr>
            <w:tcW w:w="1201" w:type="dxa"/>
          </w:tcPr>
          <w:p>
            <w:pPr>
              <w:pStyle w:val="TableParagraph"/>
              <w:spacing w:before="123"/>
              <w:ind w:left="497" w:right="469"/>
              <w:rPr>
                <w:sz w:val="19"/>
              </w:rPr>
            </w:pPr>
            <w:r>
              <w:rPr>
                <w:spacing w:val="-5"/>
                <w:sz w:val="19"/>
              </w:rPr>
              <w:t>13</w:t>
            </w:r>
          </w:p>
        </w:tc>
        <w:tc>
          <w:tcPr>
            <w:tcW w:w="1126" w:type="dxa"/>
          </w:tcPr>
          <w:p>
            <w:pPr>
              <w:pStyle w:val="TableParagraph"/>
              <w:spacing w:before="123"/>
              <w:ind w:left="437" w:right="424"/>
              <w:rPr>
                <w:sz w:val="19"/>
              </w:rPr>
            </w:pPr>
            <w:r>
              <w:rPr>
                <w:spacing w:val="-5"/>
                <w:sz w:val="19"/>
              </w:rPr>
              <w:t>12</w:t>
            </w:r>
          </w:p>
        </w:tc>
        <w:tc>
          <w:tcPr>
            <w:tcW w:w="1111" w:type="dxa"/>
          </w:tcPr>
          <w:p>
            <w:pPr>
              <w:pStyle w:val="TableParagraph"/>
              <w:spacing w:before="123"/>
              <w:ind w:left="502"/>
              <w:jc w:val="left"/>
              <w:rPr>
                <w:sz w:val="19"/>
              </w:rPr>
            </w:pPr>
            <w:r>
              <w:rPr>
                <w:w w:val="102"/>
                <w:sz w:val="19"/>
              </w:rPr>
              <w:t>8</w:t>
            </w:r>
          </w:p>
        </w:tc>
      </w:tr>
      <w:tr>
        <w:trPr>
          <w:trHeight w:val="901" w:hRule="atLeast"/>
        </w:trPr>
        <w:tc>
          <w:tcPr>
            <w:tcW w:w="1757" w:type="dxa"/>
          </w:tcPr>
          <w:p>
            <w:pPr>
              <w:pStyle w:val="TableParagraph"/>
              <w:spacing w:before="11"/>
              <w:jc w:val="left"/>
              <w:rPr>
                <w:b/>
                <w:sz w:val="28"/>
              </w:rPr>
            </w:pPr>
          </w:p>
          <w:p>
            <w:pPr>
              <w:pStyle w:val="TableParagraph"/>
              <w:ind w:left="127"/>
              <w:jc w:val="left"/>
              <w:rPr>
                <w:sz w:val="19"/>
              </w:rPr>
            </w:pPr>
            <w:r>
              <w:rPr>
                <w:sz w:val="19"/>
              </w:rPr>
              <w:t>Plantmatch,</w:t>
            </w:r>
            <w:r>
              <w:rPr>
                <w:spacing w:val="71"/>
                <w:sz w:val="19"/>
              </w:rPr>
              <w:t> </w:t>
            </w:r>
            <w:r>
              <w:rPr>
                <w:spacing w:val="-4"/>
                <w:sz w:val="19"/>
              </w:rPr>
              <w:t>Inc.</w:t>
            </w:r>
          </w:p>
        </w:tc>
        <w:tc>
          <w:tcPr>
            <w:tcW w:w="1336" w:type="dxa"/>
          </w:tcPr>
          <w:p>
            <w:pPr>
              <w:pStyle w:val="TableParagraph"/>
              <w:spacing w:before="9"/>
              <w:jc w:val="left"/>
              <w:rPr>
                <w:b/>
                <w:sz w:val="19"/>
              </w:rPr>
            </w:pPr>
          </w:p>
          <w:p>
            <w:pPr>
              <w:pStyle w:val="TableParagraph"/>
              <w:ind w:left="111"/>
              <w:jc w:val="left"/>
              <w:rPr>
                <w:sz w:val="19"/>
              </w:rPr>
            </w:pPr>
            <w:r>
              <w:rPr>
                <w:sz w:val="19"/>
              </w:rPr>
              <w:t>US</w:t>
            </w:r>
            <w:r>
              <w:rPr>
                <w:spacing w:val="8"/>
                <w:sz w:val="19"/>
              </w:rPr>
              <w:t> </w:t>
            </w:r>
            <w:r>
              <w:rPr>
                <w:sz w:val="19"/>
              </w:rPr>
              <w:t>&amp;</w:t>
            </w:r>
            <w:r>
              <w:rPr>
                <w:spacing w:val="10"/>
                <w:sz w:val="19"/>
              </w:rPr>
              <w:t> </w:t>
            </w:r>
            <w:r>
              <w:rPr>
                <w:spacing w:val="-2"/>
                <w:sz w:val="19"/>
              </w:rPr>
              <w:t>Canada</w:t>
            </w:r>
          </w:p>
        </w:tc>
        <w:tc>
          <w:tcPr>
            <w:tcW w:w="2958" w:type="dxa"/>
          </w:tcPr>
          <w:p>
            <w:pPr>
              <w:pStyle w:val="TableParagraph"/>
              <w:spacing w:line="271" w:lineRule="auto" w:before="2"/>
              <w:ind w:left="111" w:right="230"/>
              <w:jc w:val="both"/>
              <w:rPr>
                <w:sz w:val="19"/>
              </w:rPr>
            </w:pPr>
            <w:r>
              <w:rPr>
                <w:sz w:val="19"/>
              </w:rPr>
              <w:t>Facilitating peer-to-peer buying, selling,</w:t>
            </w:r>
            <w:r>
              <w:rPr>
                <w:spacing w:val="40"/>
                <w:sz w:val="19"/>
              </w:rPr>
              <w:t> </w:t>
            </w:r>
            <w:r>
              <w:rPr>
                <w:sz w:val="19"/>
              </w:rPr>
              <w:t>adoption, and swapping of plants</w:t>
            </w:r>
          </w:p>
        </w:tc>
        <w:tc>
          <w:tcPr>
            <w:tcW w:w="1111" w:type="dxa"/>
          </w:tcPr>
          <w:p>
            <w:pPr>
              <w:pStyle w:val="TableParagraph"/>
              <w:spacing w:before="1"/>
              <w:jc w:val="left"/>
              <w:rPr>
                <w:b/>
                <w:sz w:val="21"/>
              </w:rPr>
            </w:pPr>
          </w:p>
          <w:p>
            <w:pPr>
              <w:pStyle w:val="TableParagraph"/>
              <w:ind w:left="235" w:right="240"/>
              <w:rPr>
                <w:sz w:val="19"/>
              </w:rPr>
            </w:pPr>
            <w:r>
              <w:rPr>
                <w:spacing w:val="-4"/>
                <w:sz w:val="19"/>
              </w:rPr>
              <w:t>15.B</w:t>
            </w:r>
          </w:p>
        </w:tc>
        <w:tc>
          <w:tcPr>
            <w:tcW w:w="961" w:type="dxa"/>
          </w:tcPr>
          <w:p>
            <w:pPr>
              <w:pStyle w:val="TableParagraph"/>
              <w:spacing w:before="1"/>
              <w:jc w:val="left"/>
              <w:rPr>
                <w:b/>
                <w:sz w:val="21"/>
              </w:rPr>
            </w:pPr>
          </w:p>
          <w:p>
            <w:pPr>
              <w:pStyle w:val="TableParagraph"/>
              <w:ind w:right="351"/>
              <w:jc w:val="right"/>
              <w:rPr>
                <w:sz w:val="19"/>
              </w:rPr>
            </w:pPr>
            <w:r>
              <w:rPr>
                <w:spacing w:val="-5"/>
                <w:sz w:val="19"/>
              </w:rPr>
              <w:t>15</w:t>
            </w:r>
          </w:p>
        </w:tc>
        <w:tc>
          <w:tcPr>
            <w:tcW w:w="1246" w:type="dxa"/>
          </w:tcPr>
          <w:p>
            <w:pPr>
              <w:pStyle w:val="TableParagraph"/>
              <w:spacing w:before="1"/>
              <w:jc w:val="left"/>
              <w:rPr>
                <w:b/>
                <w:sz w:val="21"/>
              </w:rPr>
            </w:pPr>
          </w:p>
          <w:p>
            <w:pPr>
              <w:pStyle w:val="TableParagraph"/>
              <w:ind w:right="539"/>
              <w:jc w:val="right"/>
              <w:rPr>
                <w:sz w:val="19"/>
              </w:rPr>
            </w:pPr>
            <w:r>
              <w:rPr>
                <w:w w:val="102"/>
                <w:sz w:val="19"/>
              </w:rPr>
              <w:t>1</w:t>
            </w:r>
          </w:p>
        </w:tc>
        <w:tc>
          <w:tcPr>
            <w:tcW w:w="1126" w:type="dxa"/>
          </w:tcPr>
          <w:p>
            <w:pPr>
              <w:pStyle w:val="TableParagraph"/>
              <w:spacing w:before="1"/>
              <w:jc w:val="left"/>
              <w:rPr>
                <w:b/>
                <w:sz w:val="21"/>
              </w:rPr>
            </w:pPr>
          </w:p>
          <w:p>
            <w:pPr>
              <w:pStyle w:val="TableParagraph"/>
              <w:ind w:left="20"/>
              <w:rPr>
                <w:sz w:val="19"/>
              </w:rPr>
            </w:pPr>
            <w:r>
              <w:rPr>
                <w:w w:val="102"/>
                <w:sz w:val="19"/>
              </w:rPr>
              <w:t>2</w:t>
            </w:r>
          </w:p>
        </w:tc>
        <w:tc>
          <w:tcPr>
            <w:tcW w:w="1201" w:type="dxa"/>
          </w:tcPr>
          <w:p>
            <w:pPr>
              <w:pStyle w:val="TableParagraph"/>
              <w:spacing w:before="1"/>
              <w:jc w:val="left"/>
              <w:rPr>
                <w:b/>
                <w:sz w:val="21"/>
              </w:rPr>
            </w:pPr>
          </w:p>
          <w:p>
            <w:pPr>
              <w:pStyle w:val="TableParagraph"/>
              <w:ind w:left="5"/>
              <w:rPr>
                <w:sz w:val="19"/>
              </w:rPr>
            </w:pPr>
            <w:r>
              <w:rPr>
                <w:w w:val="102"/>
                <w:sz w:val="19"/>
              </w:rPr>
              <w:t>8</w:t>
            </w:r>
          </w:p>
        </w:tc>
        <w:tc>
          <w:tcPr>
            <w:tcW w:w="1126" w:type="dxa"/>
          </w:tcPr>
          <w:p>
            <w:pPr>
              <w:pStyle w:val="TableParagraph"/>
              <w:spacing w:before="1"/>
              <w:jc w:val="left"/>
              <w:rPr>
                <w:b/>
                <w:sz w:val="21"/>
              </w:rPr>
            </w:pPr>
          </w:p>
          <w:p>
            <w:pPr>
              <w:pStyle w:val="TableParagraph"/>
              <w:ind w:left="437" w:right="424"/>
              <w:rPr>
                <w:sz w:val="19"/>
              </w:rPr>
            </w:pPr>
            <w:r>
              <w:rPr>
                <w:spacing w:val="-5"/>
                <w:sz w:val="19"/>
              </w:rPr>
              <w:t>13</w:t>
            </w:r>
          </w:p>
        </w:tc>
        <w:tc>
          <w:tcPr>
            <w:tcW w:w="1111" w:type="dxa"/>
          </w:tcPr>
          <w:p>
            <w:pPr>
              <w:pStyle w:val="TableParagraph"/>
              <w:spacing w:before="1"/>
              <w:jc w:val="left"/>
              <w:rPr>
                <w:b/>
                <w:sz w:val="21"/>
              </w:rPr>
            </w:pPr>
          </w:p>
          <w:p>
            <w:pPr>
              <w:pStyle w:val="TableParagraph"/>
              <w:ind w:left="502"/>
              <w:jc w:val="left"/>
              <w:rPr>
                <w:sz w:val="19"/>
              </w:rPr>
            </w:pPr>
            <w:r>
              <w:rPr>
                <w:w w:val="102"/>
                <w:sz w:val="19"/>
              </w:rPr>
              <w:t>3</w:t>
            </w:r>
          </w:p>
        </w:tc>
      </w:tr>
      <w:tr>
        <w:trPr>
          <w:trHeight w:val="900" w:hRule="atLeast"/>
        </w:trPr>
        <w:tc>
          <w:tcPr>
            <w:tcW w:w="1757" w:type="dxa"/>
          </w:tcPr>
          <w:p>
            <w:pPr>
              <w:pStyle w:val="TableParagraph"/>
              <w:spacing w:before="11"/>
              <w:jc w:val="left"/>
              <w:rPr>
                <w:b/>
                <w:sz w:val="28"/>
              </w:rPr>
            </w:pPr>
          </w:p>
          <w:p>
            <w:pPr>
              <w:pStyle w:val="TableParagraph"/>
              <w:ind w:left="127"/>
              <w:jc w:val="left"/>
              <w:rPr>
                <w:sz w:val="19"/>
              </w:rPr>
            </w:pPr>
            <w:r>
              <w:rPr>
                <w:sz w:val="19"/>
              </w:rPr>
              <w:t>Reconnect,</w:t>
            </w:r>
            <w:r>
              <w:rPr>
                <w:spacing w:val="47"/>
                <w:sz w:val="19"/>
              </w:rPr>
              <w:t> </w:t>
            </w:r>
            <w:r>
              <w:rPr>
                <w:spacing w:val="-4"/>
                <w:sz w:val="19"/>
              </w:rPr>
              <w:t>Inc.</w:t>
            </w:r>
          </w:p>
        </w:tc>
        <w:tc>
          <w:tcPr>
            <w:tcW w:w="1336" w:type="dxa"/>
          </w:tcPr>
          <w:p>
            <w:pPr>
              <w:pStyle w:val="TableParagraph"/>
              <w:spacing w:before="9"/>
              <w:jc w:val="left"/>
              <w:rPr>
                <w:b/>
                <w:sz w:val="19"/>
              </w:rPr>
            </w:pPr>
          </w:p>
          <w:p>
            <w:pPr>
              <w:pStyle w:val="TableParagraph"/>
              <w:ind w:left="111"/>
              <w:jc w:val="left"/>
              <w:rPr>
                <w:sz w:val="19"/>
              </w:rPr>
            </w:pPr>
            <w:r>
              <w:rPr>
                <w:sz w:val="19"/>
              </w:rPr>
              <w:t>US</w:t>
            </w:r>
            <w:r>
              <w:rPr>
                <w:spacing w:val="8"/>
                <w:sz w:val="19"/>
              </w:rPr>
              <w:t> </w:t>
            </w:r>
            <w:r>
              <w:rPr>
                <w:sz w:val="19"/>
              </w:rPr>
              <w:t>&amp;</w:t>
            </w:r>
            <w:r>
              <w:rPr>
                <w:spacing w:val="10"/>
                <w:sz w:val="19"/>
              </w:rPr>
              <w:t> </w:t>
            </w:r>
            <w:r>
              <w:rPr>
                <w:spacing w:val="-2"/>
                <w:sz w:val="19"/>
              </w:rPr>
              <w:t>Canada</w:t>
            </w:r>
          </w:p>
        </w:tc>
        <w:tc>
          <w:tcPr>
            <w:tcW w:w="2958" w:type="dxa"/>
          </w:tcPr>
          <w:p>
            <w:pPr>
              <w:pStyle w:val="TableParagraph"/>
              <w:spacing w:before="2"/>
              <w:ind w:left="111"/>
              <w:jc w:val="left"/>
              <w:rPr>
                <w:sz w:val="19"/>
              </w:rPr>
            </w:pPr>
            <w:r>
              <w:rPr>
                <w:sz w:val="19"/>
              </w:rPr>
              <w:t>Promoting</w:t>
            </w:r>
            <w:r>
              <w:rPr>
                <w:spacing w:val="38"/>
                <w:sz w:val="19"/>
              </w:rPr>
              <w:t> </w:t>
            </w:r>
            <w:r>
              <w:rPr>
                <w:spacing w:val="-2"/>
                <w:sz w:val="19"/>
              </w:rPr>
              <w:t>efficiency,</w:t>
            </w:r>
          </w:p>
          <w:p>
            <w:pPr>
              <w:pStyle w:val="TableParagraph"/>
              <w:spacing w:line="264" w:lineRule="auto" w:before="37"/>
              <w:ind w:left="111" w:right="234"/>
              <w:jc w:val="left"/>
              <w:rPr>
                <w:sz w:val="19"/>
              </w:rPr>
            </w:pPr>
            <w:r>
              <w:rPr>
                <w:sz w:val="19"/>
              </w:rPr>
              <w:t>transparency, and accountability</w:t>
            </w:r>
            <w:r>
              <w:rPr>
                <w:spacing w:val="80"/>
                <w:sz w:val="19"/>
              </w:rPr>
              <w:t> </w:t>
            </w:r>
            <w:r>
              <w:rPr>
                <w:sz w:val="19"/>
              </w:rPr>
              <w:t>in</w:t>
            </w:r>
            <w:r>
              <w:rPr>
                <w:spacing w:val="40"/>
                <w:sz w:val="19"/>
              </w:rPr>
              <w:t> </w:t>
            </w:r>
            <w:r>
              <w:rPr>
                <w:sz w:val="19"/>
              </w:rPr>
              <w:t>the criminal justice space</w:t>
            </w:r>
          </w:p>
        </w:tc>
        <w:tc>
          <w:tcPr>
            <w:tcW w:w="1111" w:type="dxa"/>
          </w:tcPr>
          <w:p>
            <w:pPr>
              <w:pStyle w:val="TableParagraph"/>
              <w:spacing w:before="1"/>
              <w:jc w:val="left"/>
              <w:rPr>
                <w:b/>
                <w:sz w:val="21"/>
              </w:rPr>
            </w:pPr>
          </w:p>
          <w:p>
            <w:pPr>
              <w:pStyle w:val="TableParagraph"/>
              <w:ind w:left="235" w:right="242"/>
              <w:rPr>
                <w:sz w:val="19"/>
              </w:rPr>
            </w:pPr>
            <w:r>
              <w:rPr>
                <w:spacing w:val="-4"/>
                <w:sz w:val="19"/>
              </w:rPr>
              <w:t>16.7</w:t>
            </w:r>
          </w:p>
        </w:tc>
        <w:tc>
          <w:tcPr>
            <w:tcW w:w="961" w:type="dxa"/>
          </w:tcPr>
          <w:p>
            <w:pPr>
              <w:pStyle w:val="TableParagraph"/>
              <w:spacing w:before="1"/>
              <w:jc w:val="left"/>
              <w:rPr>
                <w:b/>
                <w:sz w:val="21"/>
              </w:rPr>
            </w:pPr>
          </w:p>
          <w:p>
            <w:pPr>
              <w:pStyle w:val="TableParagraph"/>
              <w:ind w:right="351"/>
              <w:jc w:val="right"/>
              <w:rPr>
                <w:sz w:val="19"/>
              </w:rPr>
            </w:pPr>
            <w:r>
              <w:rPr>
                <w:spacing w:val="-5"/>
                <w:sz w:val="19"/>
              </w:rPr>
              <w:t>16</w:t>
            </w:r>
          </w:p>
        </w:tc>
        <w:tc>
          <w:tcPr>
            <w:tcW w:w="1246" w:type="dxa"/>
          </w:tcPr>
          <w:p>
            <w:pPr>
              <w:pStyle w:val="TableParagraph"/>
              <w:spacing w:before="1"/>
              <w:jc w:val="left"/>
              <w:rPr>
                <w:b/>
                <w:sz w:val="21"/>
              </w:rPr>
            </w:pPr>
          </w:p>
          <w:p>
            <w:pPr>
              <w:pStyle w:val="TableParagraph"/>
              <w:ind w:right="539"/>
              <w:jc w:val="right"/>
              <w:rPr>
                <w:sz w:val="19"/>
              </w:rPr>
            </w:pPr>
            <w:r>
              <w:rPr>
                <w:w w:val="102"/>
                <w:sz w:val="19"/>
              </w:rPr>
              <w:t>7</w:t>
            </w:r>
          </w:p>
        </w:tc>
        <w:tc>
          <w:tcPr>
            <w:tcW w:w="1126" w:type="dxa"/>
          </w:tcPr>
          <w:p>
            <w:pPr>
              <w:pStyle w:val="TableParagraph"/>
              <w:spacing w:before="1"/>
              <w:jc w:val="left"/>
              <w:rPr>
                <w:b/>
                <w:sz w:val="21"/>
              </w:rPr>
            </w:pPr>
          </w:p>
          <w:p>
            <w:pPr>
              <w:pStyle w:val="TableParagraph"/>
              <w:ind w:left="20"/>
              <w:rPr>
                <w:sz w:val="19"/>
              </w:rPr>
            </w:pPr>
            <w:r>
              <w:rPr>
                <w:w w:val="102"/>
                <w:sz w:val="19"/>
              </w:rPr>
              <w:t>8</w:t>
            </w:r>
          </w:p>
        </w:tc>
        <w:tc>
          <w:tcPr>
            <w:tcW w:w="1201" w:type="dxa"/>
          </w:tcPr>
          <w:p>
            <w:pPr>
              <w:pStyle w:val="TableParagraph"/>
              <w:spacing w:before="1"/>
              <w:jc w:val="left"/>
              <w:rPr>
                <w:b/>
                <w:sz w:val="21"/>
              </w:rPr>
            </w:pPr>
          </w:p>
          <w:p>
            <w:pPr>
              <w:pStyle w:val="TableParagraph"/>
              <w:ind w:left="497" w:right="469"/>
              <w:rPr>
                <w:sz w:val="19"/>
              </w:rPr>
            </w:pPr>
            <w:r>
              <w:rPr>
                <w:spacing w:val="-5"/>
                <w:sz w:val="19"/>
              </w:rPr>
              <w:t>12</w:t>
            </w:r>
          </w:p>
        </w:tc>
        <w:tc>
          <w:tcPr>
            <w:tcW w:w="1126" w:type="dxa"/>
          </w:tcPr>
          <w:p>
            <w:pPr>
              <w:pStyle w:val="TableParagraph"/>
              <w:spacing w:before="1"/>
              <w:jc w:val="left"/>
              <w:rPr>
                <w:b/>
                <w:sz w:val="21"/>
              </w:rPr>
            </w:pPr>
          </w:p>
          <w:p>
            <w:pPr>
              <w:pStyle w:val="TableParagraph"/>
              <w:ind w:left="437" w:right="424"/>
              <w:rPr>
                <w:sz w:val="19"/>
              </w:rPr>
            </w:pPr>
            <w:r>
              <w:rPr>
                <w:spacing w:val="-5"/>
                <w:sz w:val="19"/>
              </w:rPr>
              <w:t>15</w:t>
            </w:r>
          </w:p>
        </w:tc>
        <w:tc>
          <w:tcPr>
            <w:tcW w:w="1111" w:type="dxa"/>
          </w:tcPr>
          <w:p>
            <w:pPr>
              <w:pStyle w:val="TableParagraph"/>
              <w:spacing w:before="1"/>
              <w:jc w:val="left"/>
              <w:rPr>
                <w:b/>
                <w:sz w:val="21"/>
              </w:rPr>
            </w:pPr>
          </w:p>
          <w:p>
            <w:pPr>
              <w:pStyle w:val="TableParagraph"/>
              <w:ind w:left="502"/>
              <w:jc w:val="left"/>
              <w:rPr>
                <w:sz w:val="19"/>
              </w:rPr>
            </w:pPr>
            <w:r>
              <w:rPr>
                <w:w w:val="102"/>
                <w:sz w:val="19"/>
              </w:rPr>
              <w:t>5</w:t>
            </w:r>
          </w:p>
        </w:tc>
      </w:tr>
      <w:tr>
        <w:trPr>
          <w:trHeight w:val="886" w:hRule="atLeast"/>
        </w:trPr>
        <w:tc>
          <w:tcPr>
            <w:tcW w:w="1757" w:type="dxa"/>
          </w:tcPr>
          <w:p>
            <w:pPr>
              <w:pStyle w:val="TableParagraph"/>
              <w:spacing w:before="11"/>
              <w:jc w:val="left"/>
              <w:rPr>
                <w:b/>
                <w:sz w:val="28"/>
              </w:rPr>
            </w:pPr>
          </w:p>
          <w:p>
            <w:pPr>
              <w:pStyle w:val="TableParagraph"/>
              <w:ind w:left="127"/>
              <w:jc w:val="left"/>
              <w:rPr>
                <w:sz w:val="19"/>
              </w:rPr>
            </w:pPr>
            <w:r>
              <w:rPr>
                <w:sz w:val="19"/>
              </w:rPr>
              <w:t>Pivot</w:t>
            </w:r>
            <w:r>
              <w:rPr>
                <w:spacing w:val="25"/>
                <w:sz w:val="19"/>
              </w:rPr>
              <w:t> </w:t>
            </w:r>
            <w:r>
              <w:rPr>
                <w:spacing w:val="-2"/>
                <w:sz w:val="19"/>
              </w:rPr>
              <w:t>Partnerships</w:t>
            </w:r>
          </w:p>
        </w:tc>
        <w:tc>
          <w:tcPr>
            <w:tcW w:w="1336" w:type="dxa"/>
          </w:tcPr>
          <w:p>
            <w:pPr>
              <w:pStyle w:val="TableParagraph"/>
              <w:spacing w:before="9"/>
              <w:jc w:val="left"/>
              <w:rPr>
                <w:b/>
                <w:sz w:val="19"/>
              </w:rPr>
            </w:pPr>
          </w:p>
          <w:p>
            <w:pPr>
              <w:pStyle w:val="TableParagraph"/>
              <w:spacing w:line="247" w:lineRule="auto"/>
              <w:ind w:left="111"/>
              <w:jc w:val="left"/>
              <w:rPr>
                <w:sz w:val="19"/>
              </w:rPr>
            </w:pPr>
            <w:r>
              <w:rPr>
                <w:spacing w:val="-2"/>
                <w:sz w:val="19"/>
              </w:rPr>
              <w:t>Sub-Saharan Africa</w:t>
            </w:r>
          </w:p>
        </w:tc>
        <w:tc>
          <w:tcPr>
            <w:tcW w:w="2958" w:type="dxa"/>
          </w:tcPr>
          <w:p>
            <w:pPr>
              <w:pStyle w:val="TableParagraph"/>
              <w:spacing w:line="264" w:lineRule="auto" w:before="3"/>
              <w:ind w:left="111" w:right="234"/>
              <w:jc w:val="left"/>
              <w:rPr>
                <w:sz w:val="19"/>
              </w:rPr>
            </w:pPr>
            <w:r>
              <w:rPr>
                <w:sz w:val="19"/>
              </w:rPr>
              <w:t>Promote effective and multiparty collaborations to tackle global </w:t>
            </w:r>
            <w:r>
              <w:rPr>
                <w:spacing w:val="-2"/>
                <w:sz w:val="19"/>
              </w:rPr>
              <w:t>problems</w:t>
            </w:r>
          </w:p>
        </w:tc>
        <w:tc>
          <w:tcPr>
            <w:tcW w:w="1111" w:type="dxa"/>
          </w:tcPr>
          <w:p>
            <w:pPr>
              <w:pStyle w:val="TableParagraph"/>
              <w:spacing w:before="1"/>
              <w:jc w:val="left"/>
              <w:rPr>
                <w:b/>
                <w:sz w:val="21"/>
              </w:rPr>
            </w:pPr>
          </w:p>
          <w:p>
            <w:pPr>
              <w:pStyle w:val="TableParagraph"/>
              <w:ind w:left="235" w:right="230"/>
              <w:rPr>
                <w:sz w:val="19"/>
              </w:rPr>
            </w:pPr>
            <w:r>
              <w:rPr>
                <w:spacing w:val="-2"/>
                <w:sz w:val="19"/>
              </w:rPr>
              <w:t>17.17</w:t>
            </w:r>
          </w:p>
        </w:tc>
        <w:tc>
          <w:tcPr>
            <w:tcW w:w="961" w:type="dxa"/>
          </w:tcPr>
          <w:p>
            <w:pPr>
              <w:pStyle w:val="TableParagraph"/>
              <w:spacing w:before="1"/>
              <w:jc w:val="left"/>
              <w:rPr>
                <w:b/>
                <w:sz w:val="21"/>
              </w:rPr>
            </w:pPr>
          </w:p>
          <w:p>
            <w:pPr>
              <w:pStyle w:val="TableParagraph"/>
              <w:ind w:right="351"/>
              <w:jc w:val="right"/>
              <w:rPr>
                <w:sz w:val="19"/>
              </w:rPr>
            </w:pPr>
            <w:r>
              <w:rPr>
                <w:spacing w:val="-5"/>
                <w:sz w:val="19"/>
              </w:rPr>
              <w:t>17</w:t>
            </w:r>
          </w:p>
        </w:tc>
        <w:tc>
          <w:tcPr>
            <w:tcW w:w="1246" w:type="dxa"/>
          </w:tcPr>
          <w:p>
            <w:pPr>
              <w:pStyle w:val="TableParagraph"/>
              <w:spacing w:before="1"/>
              <w:jc w:val="left"/>
              <w:rPr>
                <w:b/>
                <w:sz w:val="21"/>
              </w:rPr>
            </w:pPr>
          </w:p>
          <w:p>
            <w:pPr>
              <w:pStyle w:val="TableParagraph"/>
              <w:ind w:right="539"/>
              <w:jc w:val="right"/>
              <w:rPr>
                <w:sz w:val="19"/>
              </w:rPr>
            </w:pPr>
            <w:r>
              <w:rPr>
                <w:w w:val="102"/>
                <w:sz w:val="19"/>
              </w:rPr>
              <w:t>2</w:t>
            </w:r>
          </w:p>
        </w:tc>
        <w:tc>
          <w:tcPr>
            <w:tcW w:w="1126" w:type="dxa"/>
          </w:tcPr>
          <w:p>
            <w:pPr>
              <w:pStyle w:val="TableParagraph"/>
              <w:spacing w:before="1"/>
              <w:jc w:val="left"/>
              <w:rPr>
                <w:b/>
                <w:sz w:val="21"/>
              </w:rPr>
            </w:pPr>
          </w:p>
          <w:p>
            <w:pPr>
              <w:pStyle w:val="TableParagraph"/>
              <w:ind w:left="452" w:right="409"/>
              <w:rPr>
                <w:sz w:val="19"/>
              </w:rPr>
            </w:pPr>
            <w:r>
              <w:rPr>
                <w:spacing w:val="-5"/>
                <w:sz w:val="19"/>
              </w:rPr>
              <w:t>15</w:t>
            </w:r>
          </w:p>
        </w:tc>
        <w:tc>
          <w:tcPr>
            <w:tcW w:w="1201" w:type="dxa"/>
          </w:tcPr>
          <w:p>
            <w:pPr>
              <w:pStyle w:val="TableParagraph"/>
              <w:spacing w:before="1"/>
              <w:jc w:val="left"/>
              <w:rPr>
                <w:b/>
                <w:sz w:val="21"/>
              </w:rPr>
            </w:pPr>
          </w:p>
          <w:p>
            <w:pPr>
              <w:pStyle w:val="TableParagraph"/>
              <w:ind w:left="497" w:right="469"/>
              <w:rPr>
                <w:sz w:val="19"/>
              </w:rPr>
            </w:pPr>
            <w:r>
              <w:rPr>
                <w:spacing w:val="-5"/>
                <w:sz w:val="19"/>
              </w:rPr>
              <w:t>11</w:t>
            </w:r>
          </w:p>
        </w:tc>
        <w:tc>
          <w:tcPr>
            <w:tcW w:w="1126" w:type="dxa"/>
          </w:tcPr>
          <w:p>
            <w:pPr>
              <w:pStyle w:val="TableParagraph"/>
              <w:spacing w:before="1"/>
              <w:jc w:val="left"/>
              <w:rPr>
                <w:b/>
                <w:sz w:val="21"/>
              </w:rPr>
            </w:pPr>
          </w:p>
          <w:p>
            <w:pPr>
              <w:pStyle w:val="TableParagraph"/>
              <w:ind w:right="7"/>
              <w:rPr>
                <w:sz w:val="19"/>
              </w:rPr>
            </w:pPr>
            <w:r>
              <w:rPr>
                <w:w w:val="102"/>
                <w:sz w:val="19"/>
              </w:rPr>
              <w:t>9</w:t>
            </w:r>
          </w:p>
        </w:tc>
        <w:tc>
          <w:tcPr>
            <w:tcW w:w="1111" w:type="dxa"/>
          </w:tcPr>
          <w:p>
            <w:pPr>
              <w:pStyle w:val="TableParagraph"/>
              <w:spacing w:before="1"/>
              <w:jc w:val="left"/>
              <w:rPr>
                <w:b/>
                <w:sz w:val="21"/>
              </w:rPr>
            </w:pPr>
          </w:p>
          <w:p>
            <w:pPr>
              <w:pStyle w:val="TableParagraph"/>
              <w:ind w:left="457"/>
              <w:jc w:val="left"/>
              <w:rPr>
                <w:sz w:val="19"/>
              </w:rPr>
            </w:pPr>
            <w:r>
              <w:rPr>
                <w:spacing w:val="-5"/>
                <w:sz w:val="19"/>
              </w:rPr>
              <w:t>13</w:t>
            </w:r>
          </w:p>
        </w:tc>
      </w:tr>
    </w:tbl>
    <w:p>
      <w:pPr>
        <w:pStyle w:val="BodyText"/>
        <w:spacing w:before="6"/>
        <w:ind w:left="0"/>
        <w:jc w:val="left"/>
        <w:rPr>
          <w:b/>
          <w:sz w:val="11"/>
        </w:rPr>
      </w:pPr>
    </w:p>
    <w:p>
      <w:pPr>
        <w:spacing w:line="271" w:lineRule="auto" w:before="97"/>
        <w:ind w:left="121" w:right="20" w:firstLine="0"/>
        <w:jc w:val="left"/>
        <w:rPr>
          <w:sz w:val="19"/>
        </w:rPr>
      </w:pPr>
      <w:r>
        <w:rPr>
          <w:sz w:val="19"/>
        </w:rPr>
        <w:t>Notes:</w:t>
      </w:r>
      <w:r>
        <w:rPr>
          <w:spacing w:val="28"/>
          <w:sz w:val="19"/>
        </w:rPr>
        <w:t> </w:t>
      </w:r>
      <w:r>
        <w:rPr>
          <w:sz w:val="19"/>
        </w:rPr>
        <w:t>Table</w:t>
      </w:r>
      <w:r>
        <w:rPr>
          <w:spacing w:val="25"/>
          <w:sz w:val="19"/>
        </w:rPr>
        <w:t> </w:t>
      </w:r>
      <w:r>
        <w:rPr>
          <w:sz w:val="19"/>
        </w:rPr>
        <w:t>1</w:t>
      </w:r>
      <w:r>
        <w:rPr>
          <w:spacing w:val="32"/>
          <w:sz w:val="19"/>
        </w:rPr>
        <w:t> </w:t>
      </w:r>
      <w:r>
        <w:rPr>
          <w:sz w:val="19"/>
        </w:rPr>
        <w:t>presents</w:t>
      </w:r>
      <w:r>
        <w:rPr>
          <w:spacing w:val="19"/>
          <w:sz w:val="19"/>
        </w:rPr>
        <w:t> </w:t>
      </w:r>
      <w:r>
        <w:rPr>
          <w:sz w:val="19"/>
        </w:rPr>
        <w:t>the</w:t>
      </w:r>
      <w:r>
        <w:rPr>
          <w:spacing w:val="25"/>
          <w:sz w:val="19"/>
        </w:rPr>
        <w:t> </w:t>
      </w:r>
      <w:r>
        <w:rPr>
          <w:sz w:val="19"/>
        </w:rPr>
        <w:t>primary</w:t>
      </w:r>
      <w:r>
        <w:rPr>
          <w:spacing w:val="8"/>
          <w:sz w:val="19"/>
        </w:rPr>
        <w:t> </w:t>
      </w:r>
      <w:r>
        <w:rPr>
          <w:sz w:val="19"/>
        </w:rPr>
        <w:t>and</w:t>
      </w:r>
      <w:r>
        <w:rPr>
          <w:spacing w:val="8"/>
          <w:sz w:val="19"/>
        </w:rPr>
        <w:t> </w:t>
      </w:r>
      <w:r>
        <w:rPr>
          <w:sz w:val="19"/>
        </w:rPr>
        <w:t>secondary</w:t>
      </w:r>
      <w:r>
        <w:rPr>
          <w:spacing w:val="8"/>
          <w:sz w:val="19"/>
        </w:rPr>
        <w:t> </w:t>
      </w:r>
      <w:r>
        <w:rPr>
          <w:sz w:val="19"/>
        </w:rPr>
        <w:t>SDGs</w:t>
      </w:r>
      <w:r>
        <w:rPr>
          <w:spacing w:val="40"/>
          <w:sz w:val="19"/>
        </w:rPr>
        <w:t> </w:t>
      </w:r>
      <w:r>
        <w:rPr>
          <w:sz w:val="19"/>
        </w:rPr>
        <w:t>for</w:t>
      </w:r>
      <w:r>
        <w:rPr>
          <w:spacing w:val="13"/>
          <w:sz w:val="19"/>
        </w:rPr>
        <w:t> </w:t>
      </w:r>
      <w:r>
        <w:rPr>
          <w:sz w:val="19"/>
        </w:rPr>
        <w:t>a</w:t>
      </w:r>
      <w:r>
        <w:rPr>
          <w:spacing w:val="25"/>
          <w:sz w:val="19"/>
        </w:rPr>
        <w:t> </w:t>
      </w:r>
      <w:r>
        <w:rPr>
          <w:sz w:val="19"/>
        </w:rPr>
        <w:t>sample</w:t>
      </w:r>
      <w:r>
        <w:rPr>
          <w:spacing w:val="25"/>
          <w:sz w:val="19"/>
        </w:rPr>
        <w:t> </w:t>
      </w:r>
      <w:r>
        <w:rPr>
          <w:sz w:val="19"/>
        </w:rPr>
        <w:t>of</w:t>
      </w:r>
      <w:r>
        <w:rPr>
          <w:spacing w:val="13"/>
          <w:sz w:val="19"/>
        </w:rPr>
        <w:t> </w:t>
      </w:r>
      <w:r>
        <w:rPr>
          <w:sz w:val="19"/>
        </w:rPr>
        <w:t>17</w:t>
      </w:r>
      <w:r>
        <w:rPr>
          <w:spacing w:val="32"/>
          <w:sz w:val="19"/>
        </w:rPr>
        <w:t> </w:t>
      </w:r>
      <w:r>
        <w:rPr>
          <w:sz w:val="19"/>
        </w:rPr>
        <w:t>impact investment</w:t>
      </w:r>
      <w:r>
        <w:rPr>
          <w:spacing w:val="28"/>
          <w:sz w:val="19"/>
        </w:rPr>
        <w:t> </w:t>
      </w:r>
      <w:r>
        <w:rPr>
          <w:sz w:val="19"/>
        </w:rPr>
        <w:t>deals</w:t>
      </w:r>
      <w:r>
        <w:rPr>
          <w:spacing w:val="19"/>
          <w:sz w:val="19"/>
        </w:rPr>
        <w:t> </w:t>
      </w:r>
      <w:r>
        <w:rPr>
          <w:sz w:val="19"/>
        </w:rPr>
        <w:t>(one</w:t>
      </w:r>
      <w:r>
        <w:rPr>
          <w:spacing w:val="25"/>
          <w:sz w:val="19"/>
        </w:rPr>
        <w:t> </w:t>
      </w:r>
      <w:r>
        <w:rPr>
          <w:sz w:val="19"/>
        </w:rPr>
        <w:t>deal for</w:t>
      </w:r>
      <w:r>
        <w:rPr>
          <w:spacing w:val="13"/>
          <w:sz w:val="19"/>
        </w:rPr>
        <w:t> </w:t>
      </w:r>
      <w:r>
        <w:rPr>
          <w:sz w:val="19"/>
        </w:rPr>
        <w:t>each</w:t>
      </w:r>
      <w:r>
        <w:rPr>
          <w:spacing w:val="32"/>
          <w:sz w:val="19"/>
        </w:rPr>
        <w:t> </w:t>
      </w:r>
      <w:r>
        <w:rPr>
          <w:sz w:val="19"/>
        </w:rPr>
        <w:t>of</w:t>
      </w:r>
      <w:r>
        <w:rPr>
          <w:spacing w:val="36"/>
          <w:sz w:val="19"/>
        </w:rPr>
        <w:t> </w:t>
      </w:r>
      <w:r>
        <w:rPr>
          <w:sz w:val="19"/>
        </w:rPr>
        <w:t>the</w:t>
      </w:r>
      <w:r>
        <w:rPr>
          <w:spacing w:val="25"/>
          <w:sz w:val="19"/>
        </w:rPr>
        <w:t> </w:t>
      </w:r>
      <w:r>
        <w:rPr>
          <w:sz w:val="19"/>
        </w:rPr>
        <w:t>1 7</w:t>
      </w:r>
      <w:r>
        <w:rPr>
          <w:spacing w:val="32"/>
          <w:sz w:val="19"/>
        </w:rPr>
        <w:t> </w:t>
      </w:r>
      <w:r>
        <w:rPr>
          <w:sz w:val="19"/>
        </w:rPr>
        <w:t>SDGs,</w:t>
      </w:r>
      <w:r>
        <w:rPr>
          <w:spacing w:val="15"/>
          <w:sz w:val="19"/>
        </w:rPr>
        <w:t> </w:t>
      </w:r>
      <w:r>
        <w:rPr>
          <w:sz w:val="19"/>
        </w:rPr>
        <w:t>as</w:t>
      </w:r>
      <w:r>
        <w:rPr>
          <w:spacing w:val="19"/>
          <w:sz w:val="19"/>
        </w:rPr>
        <w:t> </w:t>
      </w:r>
      <w:r>
        <w:rPr>
          <w:sz w:val="19"/>
        </w:rPr>
        <w:t>mentioned</w:t>
      </w:r>
      <w:r>
        <w:rPr>
          <w:spacing w:val="32"/>
          <w:sz w:val="19"/>
        </w:rPr>
        <w:t> </w:t>
      </w:r>
      <w:r>
        <w:rPr>
          <w:sz w:val="19"/>
        </w:rPr>
        <w:t>in</w:t>
      </w:r>
      <w:r>
        <w:rPr>
          <w:spacing w:val="32"/>
          <w:sz w:val="19"/>
        </w:rPr>
        <w:t> </w:t>
      </w:r>
      <w:r>
        <w:rPr>
          <w:sz w:val="19"/>
        </w:rPr>
        <w:t>Column</w:t>
      </w:r>
      <w:r>
        <w:rPr>
          <w:spacing w:val="32"/>
          <w:sz w:val="19"/>
        </w:rPr>
        <w:t> </w:t>
      </w:r>
      <w:r>
        <w:rPr>
          <w:sz w:val="19"/>
        </w:rPr>
        <w:t>5,</w:t>
      </w:r>
      <w:r>
        <w:rPr>
          <w:spacing w:val="15"/>
          <w:sz w:val="19"/>
        </w:rPr>
        <w:t> </w:t>
      </w:r>
      <w:r>
        <w:rPr>
          <w:sz w:val="19"/>
        </w:rPr>
        <w:t>“Primary SDG”).</w:t>
      </w:r>
      <w:r>
        <w:rPr>
          <w:spacing w:val="80"/>
          <w:sz w:val="19"/>
        </w:rPr>
        <w:t> </w:t>
      </w:r>
      <w:r>
        <w:rPr>
          <w:sz w:val="19"/>
        </w:rPr>
        <w:t>Column</w:t>
      </w:r>
      <w:r>
        <w:rPr>
          <w:spacing w:val="40"/>
          <w:sz w:val="19"/>
        </w:rPr>
        <w:t> </w:t>
      </w:r>
      <w:r>
        <w:rPr>
          <w:sz w:val="19"/>
        </w:rPr>
        <w:t>1</w:t>
      </w:r>
      <w:r>
        <w:rPr>
          <w:spacing w:val="40"/>
          <w:sz w:val="19"/>
        </w:rPr>
        <w:t> </w:t>
      </w:r>
      <w:r>
        <w:rPr>
          <w:sz w:val="19"/>
        </w:rPr>
        <w:t>presents</w:t>
      </w:r>
      <w:r>
        <w:rPr>
          <w:spacing w:val="27"/>
          <w:sz w:val="19"/>
        </w:rPr>
        <w:t> </w:t>
      </w:r>
      <w:r>
        <w:rPr>
          <w:sz w:val="19"/>
        </w:rPr>
        <w:t>the</w:t>
      </w:r>
      <w:r>
        <w:rPr>
          <w:spacing w:val="34"/>
          <w:sz w:val="19"/>
        </w:rPr>
        <w:t> </w:t>
      </w:r>
      <w:r>
        <w:rPr>
          <w:sz w:val="19"/>
        </w:rPr>
        <w:t>investee</w:t>
      </w:r>
      <w:r>
        <w:rPr>
          <w:spacing w:val="34"/>
          <w:sz w:val="19"/>
        </w:rPr>
        <w:t> </w:t>
      </w:r>
      <w:r>
        <w:rPr>
          <w:sz w:val="19"/>
        </w:rPr>
        <w:t>company</w:t>
      </w:r>
      <w:r>
        <w:rPr>
          <w:spacing w:val="40"/>
          <w:sz w:val="19"/>
        </w:rPr>
        <w:t> </w:t>
      </w:r>
      <w:r>
        <w:rPr>
          <w:sz w:val="19"/>
        </w:rPr>
        <w:t>underlying</w:t>
      </w:r>
      <w:r>
        <w:rPr>
          <w:spacing w:val="15"/>
          <w:sz w:val="19"/>
        </w:rPr>
        <w:t> </w:t>
      </w:r>
      <w:r>
        <w:rPr>
          <w:sz w:val="19"/>
        </w:rPr>
        <w:t>each</w:t>
      </w:r>
      <w:r>
        <w:rPr>
          <w:spacing w:val="40"/>
          <w:sz w:val="19"/>
        </w:rPr>
        <w:t> </w:t>
      </w:r>
      <w:r>
        <w:rPr>
          <w:sz w:val="19"/>
        </w:rPr>
        <w:t>investment</w:t>
      </w:r>
      <w:r>
        <w:rPr>
          <w:spacing w:val="37"/>
          <w:sz w:val="19"/>
        </w:rPr>
        <w:t> </w:t>
      </w:r>
      <w:r>
        <w:rPr>
          <w:sz w:val="19"/>
        </w:rPr>
        <w:t>deal.</w:t>
      </w:r>
      <w:r>
        <w:rPr>
          <w:spacing w:val="22"/>
          <w:sz w:val="19"/>
        </w:rPr>
        <w:t> </w:t>
      </w:r>
      <w:r>
        <w:rPr>
          <w:sz w:val="19"/>
        </w:rPr>
        <w:t>Column</w:t>
      </w:r>
      <w:r>
        <w:rPr>
          <w:spacing w:val="40"/>
          <w:sz w:val="19"/>
        </w:rPr>
        <w:t> </w:t>
      </w:r>
      <w:r>
        <w:rPr>
          <w:sz w:val="19"/>
        </w:rPr>
        <w:t>2</w:t>
      </w:r>
      <w:r>
        <w:rPr>
          <w:spacing w:val="74"/>
          <w:sz w:val="19"/>
        </w:rPr>
        <w:t> </w:t>
      </w:r>
      <w:r>
        <w:rPr>
          <w:sz w:val="19"/>
        </w:rPr>
        <w:t>provides</w:t>
      </w:r>
      <w:r>
        <w:rPr>
          <w:spacing w:val="27"/>
          <w:sz w:val="19"/>
        </w:rPr>
        <w:t> </w:t>
      </w:r>
      <w:r>
        <w:rPr>
          <w:sz w:val="19"/>
        </w:rPr>
        <w:t>geographic</w:t>
      </w:r>
      <w:r>
        <w:rPr>
          <w:spacing w:val="34"/>
          <w:sz w:val="19"/>
        </w:rPr>
        <w:t> </w:t>
      </w:r>
      <w:r>
        <w:rPr>
          <w:sz w:val="19"/>
        </w:rPr>
        <w:t>regions</w:t>
      </w:r>
      <w:r>
        <w:rPr>
          <w:spacing w:val="27"/>
          <w:sz w:val="19"/>
        </w:rPr>
        <w:t> </w:t>
      </w:r>
      <w:r>
        <w:rPr>
          <w:sz w:val="19"/>
        </w:rPr>
        <w:t>of</w:t>
      </w:r>
      <w:r>
        <w:rPr>
          <w:spacing w:val="40"/>
          <w:sz w:val="19"/>
        </w:rPr>
        <w:t> </w:t>
      </w:r>
      <w:r>
        <w:rPr>
          <w:sz w:val="19"/>
        </w:rPr>
        <w:t>investment</w:t>
      </w:r>
      <w:r>
        <w:rPr>
          <w:spacing w:val="37"/>
          <w:sz w:val="19"/>
        </w:rPr>
        <w:t> </w:t>
      </w:r>
      <w:r>
        <w:rPr>
          <w:sz w:val="19"/>
        </w:rPr>
        <w:t>deals.</w:t>
      </w:r>
      <w:r>
        <w:rPr>
          <w:spacing w:val="22"/>
          <w:sz w:val="19"/>
        </w:rPr>
        <w:t> </w:t>
      </w:r>
      <w:r>
        <w:rPr>
          <w:sz w:val="19"/>
        </w:rPr>
        <w:t>Here,</w:t>
      </w:r>
      <w:r>
        <w:rPr>
          <w:spacing w:val="22"/>
          <w:sz w:val="19"/>
        </w:rPr>
        <w:t> </w:t>
      </w:r>
      <w:r>
        <w:rPr>
          <w:sz w:val="19"/>
        </w:rPr>
        <w:t>we</w:t>
      </w:r>
      <w:r>
        <w:rPr>
          <w:spacing w:val="34"/>
          <w:sz w:val="19"/>
        </w:rPr>
        <w:t> </w:t>
      </w:r>
      <w:r>
        <w:rPr>
          <w:sz w:val="19"/>
        </w:rPr>
        <w:t>employed</w:t>
      </w:r>
      <w:r>
        <w:rPr>
          <w:spacing w:val="40"/>
          <w:sz w:val="19"/>
        </w:rPr>
        <w:t> </w:t>
      </w:r>
      <w:r>
        <w:rPr>
          <w:sz w:val="19"/>
        </w:rPr>
        <w:t>the geographic</w:t>
      </w:r>
      <w:r>
        <w:rPr>
          <w:spacing w:val="60"/>
          <w:sz w:val="19"/>
        </w:rPr>
        <w:t> </w:t>
      </w:r>
      <w:r>
        <w:rPr>
          <w:sz w:val="19"/>
        </w:rPr>
        <w:t>classification</w:t>
      </w:r>
      <w:r>
        <w:rPr>
          <w:spacing w:val="40"/>
          <w:sz w:val="19"/>
        </w:rPr>
        <w:t> </w:t>
      </w:r>
      <w:r>
        <w:rPr>
          <w:sz w:val="19"/>
        </w:rPr>
        <w:t>adopted</w:t>
      </w:r>
      <w:r>
        <w:rPr>
          <w:spacing w:val="40"/>
          <w:sz w:val="19"/>
        </w:rPr>
        <w:t> </w:t>
      </w:r>
      <w:r>
        <w:rPr>
          <w:sz w:val="19"/>
        </w:rPr>
        <w:t>by</w:t>
      </w:r>
      <w:r>
        <w:rPr>
          <w:spacing w:val="40"/>
          <w:sz w:val="19"/>
        </w:rPr>
        <w:t> </w:t>
      </w:r>
      <w:r>
        <w:rPr>
          <w:sz w:val="19"/>
        </w:rPr>
        <w:t>the</w:t>
      </w:r>
      <w:r>
        <w:rPr>
          <w:spacing w:val="34"/>
          <w:sz w:val="19"/>
        </w:rPr>
        <w:t> </w:t>
      </w:r>
      <w:r>
        <w:rPr>
          <w:sz w:val="19"/>
        </w:rPr>
        <w:t>Global</w:t>
      </w:r>
      <w:r>
        <w:rPr>
          <w:spacing w:val="13"/>
          <w:sz w:val="19"/>
        </w:rPr>
        <w:t> </w:t>
      </w:r>
      <w:r>
        <w:rPr>
          <w:sz w:val="19"/>
        </w:rPr>
        <w:t>Impact</w:t>
      </w:r>
      <w:r>
        <w:rPr>
          <w:spacing w:val="38"/>
          <w:sz w:val="19"/>
        </w:rPr>
        <w:t> </w:t>
      </w:r>
      <w:r>
        <w:rPr>
          <w:sz w:val="19"/>
        </w:rPr>
        <w:t>Investing</w:t>
      </w:r>
      <w:r>
        <w:rPr>
          <w:spacing w:val="15"/>
          <w:sz w:val="19"/>
        </w:rPr>
        <w:t> </w:t>
      </w:r>
      <w:r>
        <w:rPr>
          <w:sz w:val="19"/>
        </w:rPr>
        <w:t>Network</w:t>
      </w:r>
      <w:r>
        <w:rPr>
          <w:spacing w:val="40"/>
          <w:sz w:val="19"/>
        </w:rPr>
        <w:t> </w:t>
      </w:r>
      <w:r>
        <w:rPr>
          <w:sz w:val="19"/>
        </w:rPr>
        <w:t>(see</w:t>
      </w:r>
      <w:r>
        <w:rPr>
          <w:spacing w:val="34"/>
          <w:sz w:val="19"/>
        </w:rPr>
        <w:t> </w:t>
      </w:r>
      <w:r>
        <w:rPr>
          <w:sz w:val="19"/>
        </w:rPr>
        <w:t>Mudaliar</w:t>
      </w:r>
      <w:r>
        <w:rPr>
          <w:spacing w:val="40"/>
          <w:sz w:val="19"/>
        </w:rPr>
        <w:t> </w:t>
      </w:r>
      <w:r>
        <w:rPr>
          <w:i/>
          <w:sz w:val="19"/>
        </w:rPr>
        <w:t>et</w:t>
      </w:r>
      <w:r>
        <w:rPr>
          <w:i/>
          <w:spacing w:val="38"/>
          <w:sz w:val="19"/>
        </w:rPr>
        <w:t> </w:t>
      </w:r>
      <w:r>
        <w:rPr>
          <w:i/>
          <w:sz w:val="19"/>
        </w:rPr>
        <w:t>al.</w:t>
      </w:r>
      <w:r>
        <w:rPr>
          <w:sz w:val="19"/>
        </w:rPr>
        <w:t>,</w:t>
      </w:r>
      <w:r>
        <w:rPr>
          <w:spacing w:val="22"/>
          <w:sz w:val="19"/>
        </w:rPr>
        <w:t> </w:t>
      </w:r>
      <w:r>
        <w:rPr>
          <w:sz w:val="19"/>
        </w:rPr>
        <w:t>2019).</w:t>
      </w:r>
      <w:r>
        <w:rPr>
          <w:spacing w:val="22"/>
          <w:sz w:val="19"/>
        </w:rPr>
        <w:t> </w:t>
      </w:r>
      <w:r>
        <w:rPr>
          <w:sz w:val="19"/>
        </w:rPr>
        <w:t>The</w:t>
      </w:r>
      <w:r>
        <w:rPr>
          <w:spacing w:val="34"/>
          <w:sz w:val="19"/>
        </w:rPr>
        <w:t> </w:t>
      </w:r>
      <w:r>
        <w:rPr>
          <w:sz w:val="19"/>
        </w:rPr>
        <w:t>geographic</w:t>
      </w:r>
      <w:r>
        <w:rPr>
          <w:spacing w:val="34"/>
          <w:sz w:val="19"/>
        </w:rPr>
        <w:t> </w:t>
      </w:r>
      <w:r>
        <w:rPr>
          <w:sz w:val="19"/>
        </w:rPr>
        <w:t>region</w:t>
      </w:r>
      <w:r>
        <w:rPr>
          <w:spacing w:val="40"/>
          <w:sz w:val="19"/>
        </w:rPr>
        <w:t> </w:t>
      </w:r>
      <w:r>
        <w:rPr>
          <w:sz w:val="19"/>
        </w:rPr>
        <w:t>of</w:t>
      </w:r>
      <w:r>
        <w:rPr>
          <w:spacing w:val="40"/>
          <w:sz w:val="19"/>
        </w:rPr>
        <w:t> </w:t>
      </w:r>
      <w:r>
        <w:rPr>
          <w:sz w:val="19"/>
        </w:rPr>
        <w:t>each</w:t>
      </w:r>
      <w:r>
        <w:rPr>
          <w:spacing w:val="40"/>
          <w:sz w:val="19"/>
        </w:rPr>
        <w:t> </w:t>
      </w:r>
      <w:r>
        <w:rPr>
          <w:sz w:val="19"/>
        </w:rPr>
        <w:t>investment</w:t>
      </w:r>
      <w:r>
        <w:rPr>
          <w:spacing w:val="38"/>
          <w:sz w:val="19"/>
        </w:rPr>
        <w:t> </w:t>
      </w:r>
      <w:r>
        <w:rPr>
          <w:sz w:val="19"/>
        </w:rPr>
        <w:t>deal</w:t>
      </w:r>
      <w:r>
        <w:rPr>
          <w:spacing w:val="13"/>
          <w:sz w:val="19"/>
        </w:rPr>
        <w:t> </w:t>
      </w:r>
      <w:r>
        <w:rPr>
          <w:sz w:val="19"/>
        </w:rPr>
        <w:t>was</w:t>
      </w:r>
      <w:r>
        <w:rPr>
          <w:spacing w:val="27"/>
          <w:sz w:val="19"/>
        </w:rPr>
        <w:t> </w:t>
      </w:r>
      <w:r>
        <w:rPr>
          <w:sz w:val="19"/>
        </w:rPr>
        <w:t>determined</w:t>
      </w:r>
      <w:r>
        <w:rPr>
          <w:spacing w:val="40"/>
          <w:sz w:val="19"/>
        </w:rPr>
        <w:t> </w:t>
      </w:r>
      <w:r>
        <w:rPr>
          <w:sz w:val="19"/>
        </w:rPr>
        <w:t>based on</w:t>
      </w:r>
      <w:r>
        <w:rPr>
          <w:spacing w:val="40"/>
          <w:sz w:val="19"/>
        </w:rPr>
        <w:t> </w:t>
      </w:r>
      <w:r>
        <w:rPr>
          <w:sz w:val="19"/>
        </w:rPr>
        <w:t>the</w:t>
      </w:r>
      <w:r>
        <w:rPr>
          <w:spacing w:val="11"/>
          <w:sz w:val="19"/>
        </w:rPr>
        <w:t> </w:t>
      </w:r>
      <w:r>
        <w:rPr>
          <w:sz w:val="19"/>
        </w:rPr>
        <w:t>operating</w:t>
      </w:r>
      <w:r>
        <w:rPr>
          <w:spacing w:val="14"/>
          <w:sz w:val="19"/>
        </w:rPr>
        <w:t> </w:t>
      </w:r>
      <w:r>
        <w:rPr>
          <w:sz w:val="19"/>
        </w:rPr>
        <w:t>countries</w:t>
      </w:r>
      <w:r>
        <w:rPr>
          <w:spacing w:val="26"/>
          <w:sz w:val="19"/>
        </w:rPr>
        <w:t> </w:t>
      </w:r>
      <w:r>
        <w:rPr>
          <w:sz w:val="19"/>
        </w:rPr>
        <w:t>of</w:t>
      </w:r>
      <w:r>
        <w:rPr>
          <w:spacing w:val="40"/>
          <w:sz w:val="19"/>
        </w:rPr>
        <w:t> </w:t>
      </w:r>
      <w:r>
        <w:rPr>
          <w:sz w:val="19"/>
        </w:rPr>
        <w:t>the investee</w:t>
      </w:r>
      <w:r>
        <w:rPr>
          <w:spacing w:val="33"/>
          <w:sz w:val="19"/>
        </w:rPr>
        <w:t> </w:t>
      </w:r>
      <w:r>
        <w:rPr>
          <w:sz w:val="19"/>
        </w:rPr>
        <w:t>company</w:t>
      </w:r>
      <w:r>
        <w:rPr>
          <w:spacing w:val="14"/>
          <w:sz w:val="19"/>
        </w:rPr>
        <w:t> </w:t>
      </w:r>
      <w:r>
        <w:rPr>
          <w:sz w:val="19"/>
        </w:rPr>
        <w:t>underlying</w:t>
      </w:r>
      <w:r>
        <w:rPr>
          <w:spacing w:val="14"/>
          <w:sz w:val="19"/>
        </w:rPr>
        <w:t> </w:t>
      </w:r>
      <w:r>
        <w:rPr>
          <w:sz w:val="19"/>
        </w:rPr>
        <w:t>each</w:t>
      </w:r>
      <w:r>
        <w:rPr>
          <w:spacing w:val="14"/>
          <w:sz w:val="19"/>
        </w:rPr>
        <w:t> </w:t>
      </w:r>
      <w:r>
        <w:rPr>
          <w:sz w:val="19"/>
        </w:rPr>
        <w:t>investment</w:t>
      </w:r>
      <w:r>
        <w:rPr>
          <w:spacing w:val="11"/>
          <w:sz w:val="19"/>
        </w:rPr>
        <w:t> </w:t>
      </w:r>
      <w:r>
        <w:rPr>
          <w:sz w:val="19"/>
        </w:rPr>
        <w:t>deal.</w:t>
      </w:r>
      <w:r>
        <w:rPr>
          <w:spacing w:val="21"/>
          <w:sz w:val="19"/>
        </w:rPr>
        <w:t> </w:t>
      </w:r>
      <w:r>
        <w:rPr>
          <w:sz w:val="19"/>
        </w:rPr>
        <w:t>Column</w:t>
      </w:r>
      <w:r>
        <w:rPr>
          <w:spacing w:val="40"/>
          <w:sz w:val="19"/>
        </w:rPr>
        <w:t> </w:t>
      </w:r>
      <w:r>
        <w:rPr>
          <w:sz w:val="19"/>
        </w:rPr>
        <w:t>3</w:t>
      </w:r>
      <w:r>
        <w:rPr>
          <w:spacing w:val="40"/>
          <w:sz w:val="19"/>
        </w:rPr>
        <w:t> </w:t>
      </w:r>
      <w:r>
        <w:rPr>
          <w:sz w:val="19"/>
        </w:rPr>
        <w:t>presents</w:t>
      </w:r>
      <w:r>
        <w:rPr>
          <w:spacing w:val="26"/>
          <w:sz w:val="19"/>
        </w:rPr>
        <w:t> </w:t>
      </w:r>
      <w:r>
        <w:rPr>
          <w:sz w:val="19"/>
        </w:rPr>
        <w:t>the</w:t>
      </w:r>
      <w:r>
        <w:rPr>
          <w:spacing w:val="33"/>
          <w:sz w:val="19"/>
        </w:rPr>
        <w:t> </w:t>
      </w:r>
      <w:r>
        <w:rPr>
          <w:sz w:val="19"/>
        </w:rPr>
        <w:t>core</w:t>
      </w:r>
      <w:r>
        <w:rPr>
          <w:spacing w:val="33"/>
          <w:sz w:val="19"/>
        </w:rPr>
        <w:t> </w:t>
      </w:r>
      <w:r>
        <w:rPr>
          <w:sz w:val="19"/>
        </w:rPr>
        <w:t>impact</w:t>
      </w:r>
      <w:r>
        <w:rPr>
          <w:spacing w:val="37"/>
          <w:sz w:val="19"/>
        </w:rPr>
        <w:t> </w:t>
      </w:r>
      <w:r>
        <w:rPr>
          <w:sz w:val="19"/>
        </w:rPr>
        <w:t>offered</w:t>
      </w:r>
      <w:r>
        <w:rPr>
          <w:spacing w:val="40"/>
          <w:sz w:val="19"/>
        </w:rPr>
        <w:t> </w:t>
      </w:r>
      <w:r>
        <w:rPr>
          <w:sz w:val="19"/>
        </w:rPr>
        <w:t>by</w:t>
      </w:r>
      <w:r>
        <w:rPr>
          <w:spacing w:val="40"/>
          <w:sz w:val="19"/>
        </w:rPr>
        <w:t> </w:t>
      </w:r>
      <w:r>
        <w:rPr>
          <w:sz w:val="19"/>
        </w:rPr>
        <w:t>eac h</w:t>
      </w:r>
      <w:r>
        <w:rPr>
          <w:spacing w:val="40"/>
          <w:sz w:val="19"/>
        </w:rPr>
        <w:t> </w:t>
      </w:r>
      <w:r>
        <w:rPr>
          <w:sz w:val="19"/>
        </w:rPr>
        <w:t>investment</w:t>
      </w:r>
      <w:r>
        <w:rPr>
          <w:spacing w:val="37"/>
          <w:sz w:val="19"/>
        </w:rPr>
        <w:t> </w:t>
      </w:r>
      <w:r>
        <w:rPr>
          <w:sz w:val="19"/>
        </w:rPr>
        <w:t>deal.</w:t>
      </w:r>
      <w:r>
        <w:rPr>
          <w:spacing w:val="21"/>
          <w:sz w:val="19"/>
        </w:rPr>
        <w:t> </w:t>
      </w:r>
      <w:r>
        <w:rPr>
          <w:sz w:val="19"/>
        </w:rPr>
        <w:t>Column</w:t>
      </w:r>
      <w:r>
        <w:rPr>
          <w:spacing w:val="40"/>
          <w:sz w:val="19"/>
        </w:rPr>
        <w:t> </w:t>
      </w:r>
      <w:r>
        <w:rPr>
          <w:sz w:val="19"/>
        </w:rPr>
        <w:t>4</w:t>
      </w:r>
      <w:r>
        <w:rPr>
          <w:spacing w:val="40"/>
          <w:sz w:val="19"/>
        </w:rPr>
        <w:t> </w:t>
      </w:r>
      <w:r>
        <w:rPr>
          <w:sz w:val="19"/>
        </w:rPr>
        <w:t>provides the</w:t>
      </w:r>
      <w:r>
        <w:rPr>
          <w:spacing w:val="29"/>
          <w:sz w:val="19"/>
        </w:rPr>
        <w:t> </w:t>
      </w:r>
      <w:r>
        <w:rPr>
          <w:sz w:val="19"/>
        </w:rPr>
        <w:t>most</w:t>
      </w:r>
      <w:r>
        <w:rPr>
          <w:spacing w:val="33"/>
          <w:sz w:val="19"/>
        </w:rPr>
        <w:t> </w:t>
      </w:r>
      <w:r>
        <w:rPr>
          <w:sz w:val="19"/>
        </w:rPr>
        <w:t>closely</w:t>
      </w:r>
      <w:r>
        <w:rPr>
          <w:spacing w:val="36"/>
          <w:sz w:val="19"/>
        </w:rPr>
        <w:t> </w:t>
      </w:r>
      <w:r>
        <w:rPr>
          <w:sz w:val="19"/>
        </w:rPr>
        <w:t>related</w:t>
      </w:r>
      <w:r>
        <w:rPr>
          <w:spacing w:val="36"/>
          <w:sz w:val="19"/>
        </w:rPr>
        <w:t> </w:t>
      </w:r>
      <w:r>
        <w:rPr>
          <w:sz w:val="19"/>
        </w:rPr>
        <w:t>SDG</w:t>
      </w:r>
      <w:r>
        <w:rPr>
          <w:spacing w:val="40"/>
          <w:sz w:val="19"/>
        </w:rPr>
        <w:t> </w:t>
      </w:r>
      <w:r>
        <w:rPr>
          <w:sz w:val="19"/>
        </w:rPr>
        <w:t>target</w:t>
      </w:r>
      <w:r>
        <w:rPr>
          <w:spacing w:val="33"/>
          <w:sz w:val="19"/>
        </w:rPr>
        <w:t> </w:t>
      </w:r>
      <w:r>
        <w:rPr>
          <w:sz w:val="19"/>
        </w:rPr>
        <w:t>in</w:t>
      </w:r>
      <w:r>
        <w:rPr>
          <w:spacing w:val="36"/>
          <w:sz w:val="19"/>
        </w:rPr>
        <w:t> </w:t>
      </w:r>
      <w:r>
        <w:rPr>
          <w:sz w:val="19"/>
        </w:rPr>
        <w:t>relation</w:t>
      </w:r>
      <w:r>
        <w:rPr>
          <w:spacing w:val="36"/>
          <w:sz w:val="19"/>
        </w:rPr>
        <w:t> </w:t>
      </w:r>
      <w:r>
        <w:rPr>
          <w:sz w:val="19"/>
        </w:rPr>
        <w:t>to</w:t>
      </w:r>
      <w:r>
        <w:rPr>
          <w:spacing w:val="36"/>
          <w:sz w:val="19"/>
        </w:rPr>
        <w:t> </w:t>
      </w:r>
      <w:r>
        <w:rPr>
          <w:sz w:val="19"/>
        </w:rPr>
        <w:t>the</w:t>
      </w:r>
      <w:r>
        <w:rPr>
          <w:spacing w:val="29"/>
          <w:sz w:val="19"/>
        </w:rPr>
        <w:t> </w:t>
      </w:r>
      <w:r>
        <w:rPr>
          <w:sz w:val="19"/>
        </w:rPr>
        <w:t>core</w:t>
      </w:r>
      <w:r>
        <w:rPr>
          <w:spacing w:val="29"/>
          <w:sz w:val="19"/>
        </w:rPr>
        <w:t> </w:t>
      </w:r>
      <w:r>
        <w:rPr>
          <w:sz w:val="19"/>
        </w:rPr>
        <w:t>impact</w:t>
      </w:r>
      <w:r>
        <w:rPr>
          <w:spacing w:val="33"/>
          <w:sz w:val="19"/>
        </w:rPr>
        <w:t> </w:t>
      </w:r>
      <w:r>
        <w:rPr>
          <w:sz w:val="19"/>
        </w:rPr>
        <w:t>offered</w:t>
      </w:r>
      <w:r>
        <w:rPr>
          <w:spacing w:val="36"/>
          <w:sz w:val="19"/>
        </w:rPr>
        <w:t> </w:t>
      </w:r>
      <w:r>
        <w:rPr>
          <w:sz w:val="19"/>
        </w:rPr>
        <w:t>by</w:t>
      </w:r>
      <w:r>
        <w:rPr>
          <w:spacing w:val="36"/>
          <w:sz w:val="19"/>
        </w:rPr>
        <w:t> </w:t>
      </w:r>
      <w:r>
        <w:rPr>
          <w:sz w:val="19"/>
        </w:rPr>
        <w:t>each</w:t>
      </w:r>
      <w:r>
        <w:rPr>
          <w:spacing w:val="36"/>
          <w:sz w:val="19"/>
        </w:rPr>
        <w:t> </w:t>
      </w:r>
      <w:r>
        <w:rPr>
          <w:sz w:val="19"/>
        </w:rPr>
        <w:t>investment</w:t>
      </w:r>
      <w:r>
        <w:rPr>
          <w:spacing w:val="40"/>
          <w:sz w:val="19"/>
        </w:rPr>
        <w:t> </w:t>
      </w:r>
      <w:r>
        <w:rPr>
          <w:sz w:val="19"/>
        </w:rPr>
        <w:t>deal.</w:t>
      </w:r>
    </w:p>
    <w:p>
      <w:pPr>
        <w:spacing w:line="247" w:lineRule="auto" w:before="178"/>
        <w:ind w:left="121" w:right="0" w:firstLine="0"/>
        <w:jc w:val="left"/>
        <w:rPr>
          <w:sz w:val="19"/>
        </w:rPr>
      </w:pPr>
      <w:r>
        <w:rPr>
          <w:sz w:val="19"/>
        </w:rPr>
        <w:t>For</w:t>
      </w:r>
      <w:r>
        <w:rPr>
          <w:spacing w:val="32"/>
          <w:sz w:val="19"/>
        </w:rPr>
        <w:t> </w:t>
      </w:r>
      <w:r>
        <w:rPr>
          <w:sz w:val="19"/>
        </w:rPr>
        <w:t>each</w:t>
      </w:r>
      <w:r>
        <w:rPr>
          <w:spacing w:val="28"/>
          <w:sz w:val="19"/>
        </w:rPr>
        <w:t> </w:t>
      </w:r>
      <w:r>
        <w:rPr>
          <w:sz w:val="19"/>
        </w:rPr>
        <w:t>investment</w:t>
      </w:r>
      <w:r>
        <w:rPr>
          <w:spacing w:val="25"/>
          <w:sz w:val="19"/>
        </w:rPr>
        <w:t> </w:t>
      </w:r>
      <w:r>
        <w:rPr>
          <w:sz w:val="19"/>
        </w:rPr>
        <w:t>deal,</w:t>
      </w:r>
      <w:r>
        <w:rPr>
          <w:spacing w:val="12"/>
          <w:sz w:val="19"/>
        </w:rPr>
        <w:t> </w:t>
      </w:r>
      <w:r>
        <w:rPr>
          <w:sz w:val="19"/>
        </w:rPr>
        <w:t>we</w:t>
      </w:r>
      <w:r>
        <w:rPr>
          <w:spacing w:val="22"/>
          <w:sz w:val="19"/>
        </w:rPr>
        <w:t> </w:t>
      </w:r>
      <w:r>
        <w:rPr>
          <w:sz w:val="19"/>
        </w:rPr>
        <w:t>identified</w:t>
      </w:r>
      <w:r>
        <w:rPr>
          <w:spacing w:val="28"/>
          <w:sz w:val="19"/>
        </w:rPr>
        <w:t> </w:t>
      </w:r>
      <w:r>
        <w:rPr>
          <w:sz w:val="19"/>
        </w:rPr>
        <w:t>one</w:t>
      </w:r>
      <w:r>
        <w:rPr>
          <w:spacing w:val="22"/>
          <w:sz w:val="19"/>
        </w:rPr>
        <w:t> </w:t>
      </w:r>
      <w:r>
        <w:rPr>
          <w:sz w:val="19"/>
        </w:rPr>
        <w:t>primary</w:t>
      </w:r>
      <w:r>
        <w:rPr>
          <w:spacing w:val="28"/>
          <w:sz w:val="19"/>
        </w:rPr>
        <w:t> </w:t>
      </w:r>
      <w:r>
        <w:rPr>
          <w:sz w:val="19"/>
        </w:rPr>
        <w:t>SDG.</w:t>
      </w:r>
      <w:r>
        <w:rPr>
          <w:spacing w:val="12"/>
          <w:sz w:val="19"/>
        </w:rPr>
        <w:t> </w:t>
      </w:r>
      <w:r>
        <w:rPr>
          <w:sz w:val="19"/>
        </w:rPr>
        <w:t>This</w:t>
      </w:r>
      <w:r>
        <w:rPr>
          <w:spacing w:val="38"/>
          <w:sz w:val="19"/>
        </w:rPr>
        <w:t> </w:t>
      </w:r>
      <w:r>
        <w:rPr>
          <w:sz w:val="19"/>
        </w:rPr>
        <w:t>was</w:t>
      </w:r>
      <w:r>
        <w:rPr>
          <w:spacing w:val="16"/>
          <w:sz w:val="19"/>
        </w:rPr>
        <w:t> </w:t>
      </w:r>
      <w:r>
        <w:rPr>
          <w:sz w:val="19"/>
        </w:rPr>
        <w:t>done</w:t>
      </w:r>
      <w:r>
        <w:rPr>
          <w:spacing w:val="22"/>
          <w:sz w:val="19"/>
        </w:rPr>
        <w:t> </w:t>
      </w:r>
      <w:r>
        <w:rPr>
          <w:sz w:val="19"/>
        </w:rPr>
        <w:t>by</w:t>
      </w:r>
      <w:r>
        <w:rPr>
          <w:spacing w:val="28"/>
          <w:sz w:val="19"/>
        </w:rPr>
        <w:t> </w:t>
      </w:r>
      <w:r>
        <w:rPr>
          <w:sz w:val="19"/>
        </w:rPr>
        <w:t>linking</w:t>
      </w:r>
      <w:r>
        <w:rPr>
          <w:spacing w:val="28"/>
          <w:sz w:val="19"/>
        </w:rPr>
        <w:t> </w:t>
      </w:r>
      <w:r>
        <w:rPr>
          <w:sz w:val="19"/>
        </w:rPr>
        <w:t>the</w:t>
      </w:r>
      <w:r>
        <w:rPr>
          <w:spacing w:val="22"/>
          <w:sz w:val="19"/>
        </w:rPr>
        <w:t> </w:t>
      </w:r>
      <w:r>
        <w:rPr>
          <w:sz w:val="19"/>
        </w:rPr>
        <w:t>core</w:t>
      </w:r>
      <w:r>
        <w:rPr>
          <w:spacing w:val="22"/>
          <w:sz w:val="19"/>
        </w:rPr>
        <w:t> </w:t>
      </w:r>
      <w:r>
        <w:rPr>
          <w:sz w:val="19"/>
        </w:rPr>
        <w:t>impact</w:t>
      </w:r>
      <w:r>
        <w:rPr>
          <w:spacing w:val="25"/>
          <w:sz w:val="19"/>
        </w:rPr>
        <w:t> </w:t>
      </w:r>
      <w:r>
        <w:rPr>
          <w:sz w:val="19"/>
        </w:rPr>
        <w:t>offered</w:t>
      </w:r>
      <w:r>
        <w:rPr>
          <w:spacing w:val="28"/>
          <w:sz w:val="19"/>
        </w:rPr>
        <w:t> </w:t>
      </w:r>
      <w:r>
        <w:rPr>
          <w:sz w:val="19"/>
        </w:rPr>
        <w:t>by</w:t>
      </w:r>
      <w:r>
        <w:rPr>
          <w:spacing w:val="28"/>
          <w:sz w:val="19"/>
        </w:rPr>
        <w:t> </w:t>
      </w:r>
      <w:r>
        <w:rPr>
          <w:sz w:val="19"/>
        </w:rPr>
        <w:t>each</w:t>
      </w:r>
      <w:r>
        <w:rPr>
          <w:spacing w:val="28"/>
          <w:sz w:val="19"/>
        </w:rPr>
        <w:t> </w:t>
      </w:r>
      <w:r>
        <w:rPr>
          <w:sz w:val="19"/>
        </w:rPr>
        <w:t>investment</w:t>
      </w:r>
      <w:r>
        <w:rPr>
          <w:spacing w:val="64"/>
          <w:sz w:val="19"/>
        </w:rPr>
        <w:t> </w:t>
      </w:r>
      <w:r>
        <w:rPr>
          <w:sz w:val="19"/>
        </w:rPr>
        <w:t>deal (Column</w:t>
      </w:r>
      <w:r>
        <w:rPr>
          <w:spacing w:val="28"/>
          <w:sz w:val="19"/>
        </w:rPr>
        <w:t> </w:t>
      </w:r>
      <w:r>
        <w:rPr>
          <w:sz w:val="19"/>
        </w:rPr>
        <w:t>3)</w:t>
      </w:r>
      <w:r>
        <w:rPr>
          <w:spacing w:val="10"/>
          <w:sz w:val="19"/>
        </w:rPr>
        <w:t> </w:t>
      </w:r>
      <w:r>
        <w:rPr>
          <w:sz w:val="19"/>
        </w:rPr>
        <w:t>to</w:t>
      </w:r>
      <w:r>
        <w:rPr>
          <w:spacing w:val="28"/>
          <w:sz w:val="19"/>
        </w:rPr>
        <w:t> </w:t>
      </w:r>
      <w:r>
        <w:rPr>
          <w:sz w:val="19"/>
        </w:rPr>
        <w:t>a</w:t>
      </w:r>
      <w:r>
        <w:rPr>
          <w:spacing w:val="40"/>
          <w:sz w:val="19"/>
        </w:rPr>
        <w:t> </w:t>
      </w:r>
      <w:r>
        <w:rPr>
          <w:sz w:val="19"/>
        </w:rPr>
        <w:t>specific</w:t>
      </w:r>
      <w:r>
        <w:rPr>
          <w:spacing w:val="22"/>
          <w:sz w:val="19"/>
        </w:rPr>
        <w:t> </w:t>
      </w:r>
      <w:r>
        <w:rPr>
          <w:sz w:val="19"/>
        </w:rPr>
        <w:t>SDG</w:t>
      </w:r>
      <w:r>
        <w:rPr>
          <w:spacing w:val="9"/>
          <w:sz w:val="19"/>
        </w:rPr>
        <w:t> </w:t>
      </w:r>
      <w:r>
        <w:rPr>
          <w:sz w:val="19"/>
        </w:rPr>
        <w:t>target (Column</w:t>
      </w:r>
      <w:r>
        <w:rPr>
          <w:spacing w:val="40"/>
          <w:sz w:val="19"/>
        </w:rPr>
        <w:t> </w:t>
      </w:r>
      <w:r>
        <w:rPr>
          <w:sz w:val="19"/>
        </w:rPr>
        <w:t>4) and,</w:t>
      </w:r>
      <w:r>
        <w:rPr>
          <w:spacing w:val="29"/>
          <w:sz w:val="19"/>
        </w:rPr>
        <w:t> </w:t>
      </w:r>
      <w:r>
        <w:rPr>
          <w:sz w:val="19"/>
        </w:rPr>
        <w:t>thereby,</w:t>
      </w:r>
      <w:r>
        <w:rPr>
          <w:spacing w:val="29"/>
          <w:sz w:val="19"/>
        </w:rPr>
        <w:t> </w:t>
      </w:r>
      <w:r>
        <w:rPr>
          <w:sz w:val="19"/>
        </w:rPr>
        <w:t>the</w:t>
      </w:r>
      <w:r>
        <w:rPr>
          <w:spacing w:val="40"/>
          <w:sz w:val="19"/>
        </w:rPr>
        <w:t> </w:t>
      </w:r>
      <w:r>
        <w:rPr>
          <w:sz w:val="19"/>
        </w:rPr>
        <w:t>corresponding primary</w:t>
      </w:r>
      <w:r>
        <w:rPr>
          <w:spacing w:val="40"/>
          <w:sz w:val="19"/>
        </w:rPr>
        <w:t> </w:t>
      </w:r>
      <w:r>
        <w:rPr>
          <w:sz w:val="19"/>
        </w:rPr>
        <w:t>SDG</w:t>
      </w:r>
      <w:r>
        <w:rPr>
          <w:spacing w:val="40"/>
          <w:sz w:val="19"/>
        </w:rPr>
        <w:t> </w:t>
      </w:r>
      <w:r>
        <w:rPr>
          <w:sz w:val="19"/>
        </w:rPr>
        <w:t>(Column</w:t>
      </w:r>
      <w:r>
        <w:rPr>
          <w:spacing w:val="40"/>
          <w:sz w:val="19"/>
        </w:rPr>
        <w:t> </w:t>
      </w:r>
      <w:r>
        <w:rPr>
          <w:sz w:val="19"/>
        </w:rPr>
        <w:t>5).</w:t>
      </w:r>
    </w:p>
    <w:p>
      <w:pPr>
        <w:pStyle w:val="BodyText"/>
        <w:spacing w:before="4"/>
        <w:ind w:left="0"/>
        <w:jc w:val="left"/>
        <w:rPr>
          <w:sz w:val="18"/>
        </w:rPr>
      </w:pPr>
    </w:p>
    <w:p>
      <w:pPr>
        <w:spacing w:line="264" w:lineRule="auto" w:before="0"/>
        <w:ind w:left="121" w:right="178" w:firstLine="0"/>
        <w:jc w:val="left"/>
        <w:rPr>
          <w:sz w:val="19"/>
        </w:rPr>
      </w:pPr>
      <w:r>
        <w:rPr>
          <w:sz w:val="19"/>
        </w:rPr>
        <w:t>For</w:t>
      </w:r>
      <w:r>
        <w:rPr>
          <w:spacing w:val="40"/>
          <w:sz w:val="19"/>
        </w:rPr>
        <w:t> </w:t>
      </w:r>
      <w:r>
        <w:rPr>
          <w:sz w:val="19"/>
        </w:rPr>
        <w:t>each</w:t>
      </w:r>
      <w:r>
        <w:rPr>
          <w:spacing w:val="40"/>
          <w:sz w:val="19"/>
        </w:rPr>
        <w:t> </w:t>
      </w:r>
      <w:r>
        <w:rPr>
          <w:sz w:val="19"/>
        </w:rPr>
        <w:t>investment</w:t>
      </w:r>
      <w:r>
        <w:rPr>
          <w:spacing w:val="37"/>
          <w:sz w:val="19"/>
        </w:rPr>
        <w:t> </w:t>
      </w:r>
      <w:r>
        <w:rPr>
          <w:sz w:val="19"/>
        </w:rPr>
        <w:t>deal,</w:t>
      </w:r>
      <w:r>
        <w:rPr>
          <w:spacing w:val="21"/>
          <w:sz w:val="19"/>
        </w:rPr>
        <w:t> </w:t>
      </w:r>
      <w:r>
        <w:rPr>
          <w:sz w:val="19"/>
        </w:rPr>
        <w:t>we</w:t>
      </w:r>
      <w:r>
        <w:rPr>
          <w:spacing w:val="34"/>
          <w:sz w:val="19"/>
        </w:rPr>
        <w:t> </w:t>
      </w:r>
      <w:r>
        <w:rPr>
          <w:sz w:val="19"/>
        </w:rPr>
        <w:t>identified</w:t>
      </w:r>
      <w:r>
        <w:rPr>
          <w:spacing w:val="40"/>
          <w:sz w:val="19"/>
        </w:rPr>
        <w:t> </w:t>
      </w:r>
      <w:r>
        <w:rPr>
          <w:sz w:val="19"/>
        </w:rPr>
        <w:t>five</w:t>
      </w:r>
      <w:r>
        <w:rPr>
          <w:spacing w:val="34"/>
          <w:sz w:val="19"/>
        </w:rPr>
        <w:t> </w:t>
      </w:r>
      <w:r>
        <w:rPr>
          <w:sz w:val="19"/>
        </w:rPr>
        <w:t>secondary</w:t>
      </w:r>
      <w:r>
        <w:rPr>
          <w:spacing w:val="40"/>
          <w:sz w:val="19"/>
        </w:rPr>
        <w:t> </w:t>
      </w:r>
      <w:r>
        <w:rPr>
          <w:sz w:val="19"/>
        </w:rPr>
        <w:t>SDGs</w:t>
      </w:r>
      <w:r>
        <w:rPr>
          <w:spacing w:val="27"/>
          <w:sz w:val="19"/>
        </w:rPr>
        <w:t> </w:t>
      </w:r>
      <w:r>
        <w:rPr>
          <w:sz w:val="19"/>
        </w:rPr>
        <w:t>(Columns</w:t>
      </w:r>
      <w:r>
        <w:rPr>
          <w:spacing w:val="27"/>
          <w:sz w:val="19"/>
        </w:rPr>
        <w:t> </w:t>
      </w:r>
      <w:r>
        <w:rPr>
          <w:sz w:val="19"/>
        </w:rPr>
        <w:t>6</w:t>
      </w:r>
      <w:r>
        <w:rPr>
          <w:spacing w:val="-20"/>
          <w:sz w:val="19"/>
        </w:rPr>
        <w:t> </w:t>
      </w:r>
      <w:r>
        <w:rPr>
          <w:sz w:val="19"/>
        </w:rPr>
        <w:t>-10).</w:t>
      </w:r>
      <w:r>
        <w:rPr>
          <w:spacing w:val="21"/>
          <w:sz w:val="19"/>
        </w:rPr>
        <w:t> </w:t>
      </w:r>
      <w:r>
        <w:rPr>
          <w:sz w:val="19"/>
        </w:rPr>
        <w:t>Drawing</w:t>
      </w:r>
      <w:r>
        <w:rPr>
          <w:spacing w:val="40"/>
          <w:sz w:val="19"/>
        </w:rPr>
        <w:t> </w:t>
      </w:r>
      <w:r>
        <w:rPr>
          <w:sz w:val="19"/>
        </w:rPr>
        <w:t>on</w:t>
      </w:r>
      <w:r>
        <w:rPr>
          <w:spacing w:val="40"/>
          <w:sz w:val="19"/>
        </w:rPr>
        <w:t> </w:t>
      </w:r>
      <w:r>
        <w:rPr>
          <w:sz w:val="19"/>
        </w:rPr>
        <w:t>Pham-Truffert</w:t>
      </w:r>
      <w:r>
        <w:rPr>
          <w:spacing w:val="37"/>
          <w:sz w:val="19"/>
        </w:rPr>
        <w:t> </w:t>
      </w:r>
      <w:r>
        <w:rPr>
          <w:sz w:val="19"/>
        </w:rPr>
        <w:t>et</w:t>
      </w:r>
      <w:r>
        <w:rPr>
          <w:spacing w:val="37"/>
          <w:sz w:val="19"/>
        </w:rPr>
        <w:t> </w:t>
      </w:r>
      <w:r>
        <w:rPr>
          <w:sz w:val="19"/>
        </w:rPr>
        <w:t>al.</w:t>
      </w:r>
      <w:r>
        <w:rPr>
          <w:spacing w:val="21"/>
          <w:sz w:val="19"/>
        </w:rPr>
        <w:t> </w:t>
      </w:r>
      <w:r>
        <w:rPr>
          <w:sz w:val="19"/>
        </w:rPr>
        <w:t>(2020),</w:t>
      </w:r>
      <w:r>
        <w:rPr>
          <w:spacing w:val="21"/>
          <w:sz w:val="19"/>
        </w:rPr>
        <w:t> </w:t>
      </w:r>
      <w:r>
        <w:rPr>
          <w:sz w:val="19"/>
        </w:rPr>
        <w:t>secondary</w:t>
      </w:r>
      <w:r>
        <w:rPr>
          <w:spacing w:val="40"/>
          <w:sz w:val="19"/>
        </w:rPr>
        <w:t> </w:t>
      </w:r>
      <w:r>
        <w:rPr>
          <w:sz w:val="19"/>
        </w:rPr>
        <w:t>SDGs</w:t>
      </w:r>
      <w:r>
        <w:rPr>
          <w:spacing w:val="27"/>
          <w:sz w:val="19"/>
        </w:rPr>
        <w:t> </w:t>
      </w:r>
      <w:r>
        <w:rPr>
          <w:sz w:val="19"/>
        </w:rPr>
        <w:t>for</w:t>
      </w:r>
      <w:r>
        <w:rPr>
          <w:spacing w:val="20"/>
          <w:sz w:val="19"/>
        </w:rPr>
        <w:t> </w:t>
      </w:r>
      <w:r>
        <w:rPr>
          <w:sz w:val="19"/>
        </w:rPr>
        <w:t>each</w:t>
      </w:r>
      <w:r>
        <w:rPr>
          <w:spacing w:val="40"/>
          <w:sz w:val="19"/>
        </w:rPr>
        <w:t> </w:t>
      </w:r>
      <w:r>
        <w:rPr>
          <w:sz w:val="19"/>
        </w:rPr>
        <w:t>investment</w:t>
      </w:r>
      <w:r>
        <w:rPr>
          <w:spacing w:val="37"/>
          <w:sz w:val="19"/>
        </w:rPr>
        <w:t> </w:t>
      </w:r>
      <w:r>
        <w:rPr>
          <w:sz w:val="19"/>
        </w:rPr>
        <w:t>deal were identified</w:t>
      </w:r>
      <w:r>
        <w:rPr>
          <w:spacing w:val="27"/>
          <w:sz w:val="19"/>
        </w:rPr>
        <w:t> </w:t>
      </w:r>
      <w:r>
        <w:rPr>
          <w:sz w:val="19"/>
        </w:rPr>
        <w:t>based</w:t>
      </w:r>
      <w:r>
        <w:rPr>
          <w:spacing w:val="27"/>
          <w:sz w:val="19"/>
        </w:rPr>
        <w:t> </w:t>
      </w:r>
      <w:r>
        <w:rPr>
          <w:sz w:val="19"/>
        </w:rPr>
        <w:t>on</w:t>
      </w:r>
      <w:r>
        <w:rPr>
          <w:spacing w:val="27"/>
          <w:sz w:val="19"/>
        </w:rPr>
        <w:t> </w:t>
      </w:r>
      <w:r>
        <w:rPr>
          <w:sz w:val="19"/>
        </w:rPr>
        <w:t>its</w:t>
      </w:r>
      <w:r>
        <w:rPr>
          <w:spacing w:val="15"/>
          <w:sz w:val="19"/>
        </w:rPr>
        <w:t> </w:t>
      </w:r>
      <w:r>
        <w:rPr>
          <w:sz w:val="19"/>
        </w:rPr>
        <w:t>primary</w:t>
      </w:r>
      <w:r>
        <w:rPr>
          <w:spacing w:val="27"/>
          <w:sz w:val="19"/>
        </w:rPr>
        <w:t> </w:t>
      </w:r>
      <w:r>
        <w:rPr>
          <w:sz w:val="19"/>
        </w:rPr>
        <w:t>SDG.</w:t>
      </w:r>
      <w:r>
        <w:rPr>
          <w:spacing w:val="55"/>
          <w:sz w:val="19"/>
        </w:rPr>
        <w:t> </w:t>
      </w:r>
      <w:r>
        <w:rPr>
          <w:sz w:val="19"/>
        </w:rPr>
        <w:t>Here,</w:t>
      </w:r>
      <w:r>
        <w:rPr>
          <w:spacing w:val="11"/>
          <w:sz w:val="19"/>
        </w:rPr>
        <w:t> </w:t>
      </w:r>
      <w:r>
        <w:rPr>
          <w:sz w:val="19"/>
        </w:rPr>
        <w:t>the</w:t>
      </w:r>
      <w:r>
        <w:rPr>
          <w:spacing w:val="21"/>
          <w:sz w:val="19"/>
        </w:rPr>
        <w:t> </w:t>
      </w:r>
      <w:r>
        <w:rPr>
          <w:sz w:val="19"/>
        </w:rPr>
        <w:t>idea</w:t>
      </w:r>
      <w:r>
        <w:rPr>
          <w:spacing w:val="40"/>
          <w:sz w:val="19"/>
        </w:rPr>
        <w:t> </w:t>
      </w:r>
      <w:r>
        <w:rPr>
          <w:sz w:val="19"/>
        </w:rPr>
        <w:t>is</w:t>
      </w:r>
      <w:r>
        <w:rPr>
          <w:spacing w:val="37"/>
          <w:sz w:val="19"/>
        </w:rPr>
        <w:t> </w:t>
      </w:r>
      <w:r>
        <w:rPr>
          <w:sz w:val="19"/>
        </w:rPr>
        <w:t>that</w:t>
      </w:r>
      <w:r>
        <w:rPr>
          <w:spacing w:val="24"/>
          <w:sz w:val="19"/>
        </w:rPr>
        <w:t> </w:t>
      </w:r>
      <w:r>
        <w:rPr>
          <w:sz w:val="19"/>
        </w:rPr>
        <w:t>an</w:t>
      </w:r>
      <w:r>
        <w:rPr>
          <w:spacing w:val="27"/>
          <w:sz w:val="19"/>
        </w:rPr>
        <w:t> </w:t>
      </w:r>
      <w:r>
        <w:rPr>
          <w:sz w:val="19"/>
        </w:rPr>
        <w:t>impact</w:t>
      </w:r>
      <w:r>
        <w:rPr>
          <w:spacing w:val="24"/>
          <w:sz w:val="19"/>
        </w:rPr>
        <w:t> </w:t>
      </w:r>
      <w:r>
        <w:rPr>
          <w:sz w:val="19"/>
        </w:rPr>
        <w:t>investment</w:t>
      </w:r>
      <w:r>
        <w:rPr>
          <w:spacing w:val="24"/>
          <w:sz w:val="19"/>
        </w:rPr>
        <w:t> </w:t>
      </w:r>
      <w:r>
        <w:rPr>
          <w:sz w:val="19"/>
        </w:rPr>
        <w:t>deal contributing to</w:t>
      </w:r>
      <w:r>
        <w:rPr>
          <w:spacing w:val="27"/>
          <w:sz w:val="19"/>
        </w:rPr>
        <w:t> </w:t>
      </w:r>
      <w:r>
        <w:rPr>
          <w:sz w:val="19"/>
        </w:rPr>
        <w:t>the</w:t>
      </w:r>
      <w:r>
        <w:rPr>
          <w:spacing w:val="21"/>
          <w:sz w:val="19"/>
        </w:rPr>
        <w:t> </w:t>
      </w:r>
      <w:r>
        <w:rPr>
          <w:sz w:val="19"/>
        </w:rPr>
        <w:t>progre</w:t>
      </w:r>
      <w:r>
        <w:rPr>
          <w:spacing w:val="-11"/>
          <w:sz w:val="19"/>
        </w:rPr>
        <w:t> </w:t>
      </w:r>
      <w:r>
        <w:rPr>
          <w:sz w:val="19"/>
        </w:rPr>
        <w:t>ss</w:t>
      </w:r>
      <w:r>
        <w:rPr>
          <w:spacing w:val="15"/>
          <w:sz w:val="19"/>
        </w:rPr>
        <w:t> </w:t>
      </w:r>
      <w:r>
        <w:rPr>
          <w:sz w:val="19"/>
        </w:rPr>
        <w:t>of</w:t>
      </w:r>
      <w:r>
        <w:rPr>
          <w:spacing w:val="31"/>
          <w:sz w:val="19"/>
        </w:rPr>
        <w:t> </w:t>
      </w:r>
      <w:r>
        <w:rPr>
          <w:sz w:val="19"/>
        </w:rPr>
        <w:t>a</w:t>
      </w:r>
      <w:r>
        <w:rPr>
          <w:spacing w:val="40"/>
          <w:sz w:val="19"/>
        </w:rPr>
        <w:t> </w:t>
      </w:r>
      <w:r>
        <w:rPr>
          <w:sz w:val="19"/>
        </w:rPr>
        <w:t>specific</w:t>
      </w:r>
      <w:r>
        <w:rPr>
          <w:spacing w:val="21"/>
          <w:sz w:val="19"/>
        </w:rPr>
        <w:t> </w:t>
      </w:r>
      <w:r>
        <w:rPr>
          <w:sz w:val="19"/>
        </w:rPr>
        <w:t>primary</w:t>
      </w:r>
      <w:r>
        <w:rPr>
          <w:spacing w:val="27"/>
          <w:sz w:val="19"/>
        </w:rPr>
        <w:t> </w:t>
      </w:r>
      <w:r>
        <w:rPr>
          <w:sz w:val="19"/>
        </w:rPr>
        <w:t>SDG</w:t>
      </w:r>
      <w:r>
        <w:rPr>
          <w:spacing w:val="8"/>
          <w:sz w:val="19"/>
        </w:rPr>
        <w:t> </w:t>
      </w:r>
      <w:r>
        <w:rPr>
          <w:sz w:val="19"/>
        </w:rPr>
        <w:t>will subsequently</w:t>
      </w:r>
      <w:r>
        <w:rPr>
          <w:spacing w:val="27"/>
          <w:sz w:val="19"/>
        </w:rPr>
        <w:t> </w:t>
      </w:r>
      <w:r>
        <w:rPr>
          <w:sz w:val="19"/>
        </w:rPr>
        <w:t>contribute</w:t>
      </w:r>
      <w:r>
        <w:rPr>
          <w:spacing w:val="21"/>
          <w:sz w:val="19"/>
        </w:rPr>
        <w:t> </w:t>
      </w:r>
      <w:r>
        <w:rPr>
          <w:sz w:val="19"/>
        </w:rPr>
        <w:t>to the</w:t>
      </w:r>
      <w:r>
        <w:rPr>
          <w:spacing w:val="40"/>
          <w:sz w:val="19"/>
        </w:rPr>
        <w:t> </w:t>
      </w:r>
      <w:r>
        <w:rPr>
          <w:sz w:val="19"/>
        </w:rPr>
        <w:t>advancement</w:t>
      </w:r>
      <w:r>
        <w:rPr>
          <w:spacing w:val="40"/>
          <w:sz w:val="19"/>
        </w:rPr>
        <w:t> </w:t>
      </w:r>
      <w:r>
        <w:rPr>
          <w:sz w:val="19"/>
        </w:rPr>
        <w:t>of</w:t>
      </w:r>
      <w:r>
        <w:rPr>
          <w:spacing w:val="40"/>
          <w:sz w:val="19"/>
        </w:rPr>
        <w:t> </w:t>
      </w:r>
      <w:r>
        <w:rPr>
          <w:sz w:val="19"/>
        </w:rPr>
        <w:t>several secondary</w:t>
      </w:r>
      <w:r>
        <w:rPr>
          <w:spacing w:val="40"/>
          <w:sz w:val="19"/>
        </w:rPr>
        <w:t> </w:t>
      </w:r>
      <w:r>
        <w:rPr>
          <w:sz w:val="19"/>
        </w:rPr>
        <w:t>SDGs.</w:t>
      </w:r>
    </w:p>
    <w:p>
      <w:pPr>
        <w:spacing w:after="0" w:line="264" w:lineRule="auto"/>
        <w:jc w:val="left"/>
        <w:rPr>
          <w:sz w:val="19"/>
        </w:rPr>
        <w:sectPr>
          <w:pgSz w:w="16850" w:h="11910" w:orient="landscape"/>
          <w:pgMar w:header="0" w:footer="991" w:top="1340" w:bottom="1180" w:left="1320" w:right="1320"/>
        </w:sectPr>
      </w:pPr>
    </w:p>
    <w:p>
      <w:pPr>
        <w:pStyle w:val="Heading1"/>
        <w:spacing w:before="93"/>
        <w:ind w:left="121"/>
      </w:pPr>
      <w:r>
        <w:rPr/>
        <w:t>Table</w:t>
      </w:r>
      <w:r>
        <w:rPr>
          <w:spacing w:val="-11"/>
        </w:rPr>
        <w:t> </w:t>
      </w:r>
      <w:r>
        <w:rPr/>
        <w:t>2.</w:t>
      </w:r>
      <w:r>
        <w:rPr>
          <w:spacing w:val="-9"/>
        </w:rPr>
        <w:t> </w:t>
      </w:r>
      <w:r>
        <w:rPr/>
        <w:t>Impact</w:t>
      </w:r>
      <w:r>
        <w:rPr>
          <w:spacing w:val="-2"/>
        </w:rPr>
        <w:t> </w:t>
      </w:r>
      <w:r>
        <w:rPr/>
        <w:t>investment</w:t>
      </w:r>
      <w:r>
        <w:rPr>
          <w:spacing w:val="11"/>
        </w:rPr>
        <w:t> </w:t>
      </w:r>
      <w:r>
        <w:rPr/>
        <w:t>deals</w:t>
      </w:r>
      <w:r>
        <w:rPr>
          <w:spacing w:val="-12"/>
        </w:rPr>
        <w:t> </w:t>
      </w:r>
      <w:r>
        <w:rPr/>
        <w:t>and</w:t>
      </w:r>
      <w:r>
        <w:rPr>
          <w:spacing w:val="-8"/>
        </w:rPr>
        <w:t> </w:t>
      </w:r>
      <w:r>
        <w:rPr/>
        <w:t>primary</w:t>
      </w:r>
      <w:r>
        <w:rPr>
          <w:spacing w:val="3"/>
        </w:rPr>
        <w:t> </w:t>
      </w:r>
      <w:r>
        <w:rPr>
          <w:spacing w:val="-4"/>
        </w:rPr>
        <w:t>SDGs</w:t>
      </w:r>
    </w:p>
    <w:p>
      <w:pPr>
        <w:pStyle w:val="BodyText"/>
        <w:spacing w:before="9"/>
        <w:ind w:left="0"/>
        <w:jc w:val="left"/>
        <w:rPr>
          <w:b/>
          <w:sz w:val="21"/>
        </w:rPr>
      </w:pPr>
    </w:p>
    <w:p>
      <w:pPr>
        <w:spacing w:before="0"/>
        <w:ind w:left="121" w:right="0" w:firstLine="0"/>
        <w:jc w:val="left"/>
        <w:rPr>
          <w:b/>
          <w:sz w:val="19"/>
        </w:rPr>
      </w:pPr>
      <w:r>
        <w:rPr>
          <w:b/>
          <w:sz w:val="19"/>
        </w:rPr>
        <w:t>Panel</w:t>
      </w:r>
      <w:r>
        <w:rPr>
          <w:b/>
          <w:spacing w:val="16"/>
          <w:sz w:val="19"/>
        </w:rPr>
        <w:t> </w:t>
      </w:r>
      <w:r>
        <w:rPr>
          <w:b/>
          <w:sz w:val="19"/>
        </w:rPr>
        <w:t>A:</w:t>
      </w:r>
      <w:r>
        <w:rPr>
          <w:b/>
          <w:spacing w:val="42"/>
          <w:sz w:val="19"/>
        </w:rPr>
        <w:t> </w:t>
      </w:r>
      <w:r>
        <w:rPr>
          <w:b/>
          <w:sz w:val="19"/>
        </w:rPr>
        <w:t>Distribution</w:t>
      </w:r>
      <w:r>
        <w:rPr>
          <w:b/>
          <w:spacing w:val="44"/>
          <w:sz w:val="19"/>
        </w:rPr>
        <w:t> </w:t>
      </w:r>
      <w:r>
        <w:rPr>
          <w:b/>
          <w:sz w:val="19"/>
        </w:rPr>
        <w:t>of</w:t>
      </w:r>
      <w:r>
        <w:rPr>
          <w:b/>
          <w:spacing w:val="23"/>
          <w:sz w:val="19"/>
        </w:rPr>
        <w:t> </w:t>
      </w:r>
      <w:r>
        <w:rPr>
          <w:b/>
          <w:sz w:val="19"/>
        </w:rPr>
        <w:t>impact</w:t>
      </w:r>
      <w:r>
        <w:rPr>
          <w:b/>
          <w:spacing w:val="3"/>
          <w:sz w:val="19"/>
        </w:rPr>
        <w:t> </w:t>
      </w:r>
      <w:r>
        <w:rPr>
          <w:b/>
          <w:sz w:val="19"/>
        </w:rPr>
        <w:t>investment</w:t>
      </w:r>
      <w:r>
        <w:rPr>
          <w:b/>
          <w:spacing w:val="23"/>
          <w:sz w:val="19"/>
        </w:rPr>
        <w:t> </w:t>
      </w:r>
      <w:r>
        <w:rPr>
          <w:b/>
          <w:sz w:val="19"/>
        </w:rPr>
        <w:t>deals</w:t>
      </w:r>
      <w:r>
        <w:rPr>
          <w:b/>
          <w:spacing w:val="9"/>
          <w:sz w:val="19"/>
        </w:rPr>
        <w:t> </w:t>
      </w:r>
      <w:r>
        <w:rPr>
          <w:b/>
          <w:sz w:val="19"/>
        </w:rPr>
        <w:t>across</w:t>
      </w:r>
      <w:r>
        <w:rPr>
          <w:b/>
          <w:spacing w:val="9"/>
          <w:sz w:val="19"/>
        </w:rPr>
        <w:t> </w:t>
      </w:r>
      <w:r>
        <w:rPr>
          <w:b/>
          <w:spacing w:val="-4"/>
          <w:sz w:val="19"/>
        </w:rPr>
        <w:t>SDGs</w:t>
      </w:r>
    </w:p>
    <w:p>
      <w:pPr>
        <w:pStyle w:val="BodyText"/>
        <w:spacing w:before="7"/>
        <w:ind w:left="0"/>
        <w:jc w:val="left"/>
        <w:rPr>
          <w:b/>
          <w:sz w:val="22"/>
        </w:rPr>
      </w:pPr>
    </w:p>
    <w:tbl>
      <w:tblPr>
        <w:tblW w:w="0" w:type="auto"/>
        <w:jc w:val="left"/>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561"/>
        <w:gridCol w:w="706"/>
        <w:gridCol w:w="706"/>
        <w:gridCol w:w="856"/>
        <w:gridCol w:w="706"/>
        <w:gridCol w:w="722"/>
        <w:gridCol w:w="707"/>
        <w:gridCol w:w="707"/>
        <w:gridCol w:w="858"/>
        <w:gridCol w:w="708"/>
        <w:gridCol w:w="708"/>
        <w:gridCol w:w="723"/>
        <w:gridCol w:w="723"/>
        <w:gridCol w:w="647"/>
        <w:gridCol w:w="752"/>
        <w:gridCol w:w="722"/>
        <w:gridCol w:w="708"/>
        <w:gridCol w:w="767"/>
      </w:tblGrid>
      <w:tr>
        <w:trPr>
          <w:trHeight w:val="225" w:hRule="atLeast"/>
        </w:trPr>
        <w:tc>
          <w:tcPr>
            <w:tcW w:w="1561" w:type="dxa"/>
          </w:tcPr>
          <w:p>
            <w:pPr>
              <w:pStyle w:val="TableParagraph"/>
              <w:spacing w:line="202" w:lineRule="exact" w:before="3"/>
              <w:ind w:left="127"/>
              <w:jc w:val="left"/>
              <w:rPr>
                <w:sz w:val="19"/>
              </w:rPr>
            </w:pPr>
            <w:r>
              <w:rPr>
                <w:spacing w:val="-4"/>
                <w:sz w:val="19"/>
              </w:rPr>
              <w:t>SDGs</w:t>
            </w:r>
          </w:p>
        </w:tc>
        <w:tc>
          <w:tcPr>
            <w:tcW w:w="706" w:type="dxa"/>
            <w:tcBorders>
              <w:right w:val="single" w:sz="8" w:space="0" w:color="000000"/>
            </w:tcBorders>
          </w:tcPr>
          <w:p>
            <w:pPr>
              <w:pStyle w:val="TableParagraph"/>
              <w:spacing w:line="202" w:lineRule="exact" w:before="3"/>
              <w:ind w:left="25"/>
              <w:rPr>
                <w:sz w:val="19"/>
              </w:rPr>
            </w:pPr>
            <w:r>
              <w:rPr>
                <w:w w:val="102"/>
                <w:sz w:val="19"/>
              </w:rPr>
              <w:t>1</w:t>
            </w:r>
          </w:p>
        </w:tc>
        <w:tc>
          <w:tcPr>
            <w:tcW w:w="706" w:type="dxa"/>
            <w:tcBorders>
              <w:left w:val="single" w:sz="8" w:space="0" w:color="000000"/>
            </w:tcBorders>
          </w:tcPr>
          <w:p>
            <w:pPr>
              <w:pStyle w:val="TableParagraph"/>
              <w:spacing w:line="202" w:lineRule="exact" w:before="3"/>
              <w:ind w:left="19"/>
              <w:rPr>
                <w:sz w:val="19"/>
              </w:rPr>
            </w:pPr>
            <w:r>
              <w:rPr>
                <w:w w:val="102"/>
                <w:sz w:val="19"/>
              </w:rPr>
              <w:t>2</w:t>
            </w:r>
          </w:p>
        </w:tc>
        <w:tc>
          <w:tcPr>
            <w:tcW w:w="856" w:type="dxa"/>
          </w:tcPr>
          <w:p>
            <w:pPr>
              <w:pStyle w:val="TableParagraph"/>
              <w:spacing w:line="202" w:lineRule="exact" w:before="3"/>
              <w:ind w:left="20"/>
              <w:rPr>
                <w:sz w:val="19"/>
              </w:rPr>
            </w:pPr>
            <w:r>
              <w:rPr>
                <w:w w:val="102"/>
                <w:sz w:val="19"/>
              </w:rPr>
              <w:t>3</w:t>
            </w:r>
          </w:p>
        </w:tc>
        <w:tc>
          <w:tcPr>
            <w:tcW w:w="706" w:type="dxa"/>
          </w:tcPr>
          <w:p>
            <w:pPr>
              <w:pStyle w:val="TableParagraph"/>
              <w:spacing w:line="202" w:lineRule="exact" w:before="3"/>
              <w:ind w:left="20"/>
              <w:rPr>
                <w:sz w:val="19"/>
              </w:rPr>
            </w:pPr>
            <w:r>
              <w:rPr>
                <w:w w:val="102"/>
                <w:sz w:val="19"/>
              </w:rPr>
              <w:t>4</w:t>
            </w:r>
          </w:p>
        </w:tc>
        <w:tc>
          <w:tcPr>
            <w:tcW w:w="722" w:type="dxa"/>
          </w:tcPr>
          <w:p>
            <w:pPr>
              <w:pStyle w:val="TableParagraph"/>
              <w:spacing w:line="202" w:lineRule="exact" w:before="3"/>
              <w:ind w:left="33"/>
              <w:rPr>
                <w:sz w:val="19"/>
              </w:rPr>
            </w:pPr>
            <w:r>
              <w:rPr>
                <w:w w:val="102"/>
                <w:sz w:val="19"/>
              </w:rPr>
              <w:t>5</w:t>
            </w:r>
          </w:p>
        </w:tc>
        <w:tc>
          <w:tcPr>
            <w:tcW w:w="707" w:type="dxa"/>
          </w:tcPr>
          <w:p>
            <w:pPr>
              <w:pStyle w:val="TableParagraph"/>
              <w:spacing w:line="202" w:lineRule="exact" w:before="3"/>
              <w:ind w:left="15"/>
              <w:rPr>
                <w:sz w:val="19"/>
              </w:rPr>
            </w:pPr>
            <w:r>
              <w:rPr>
                <w:w w:val="102"/>
                <w:sz w:val="19"/>
              </w:rPr>
              <w:t>6</w:t>
            </w:r>
          </w:p>
        </w:tc>
        <w:tc>
          <w:tcPr>
            <w:tcW w:w="707" w:type="dxa"/>
          </w:tcPr>
          <w:p>
            <w:pPr>
              <w:pStyle w:val="TableParagraph"/>
              <w:spacing w:line="202" w:lineRule="exact" w:before="3"/>
              <w:ind w:left="13"/>
              <w:rPr>
                <w:sz w:val="19"/>
              </w:rPr>
            </w:pPr>
            <w:r>
              <w:rPr>
                <w:w w:val="102"/>
                <w:sz w:val="19"/>
              </w:rPr>
              <w:t>7</w:t>
            </w:r>
          </w:p>
        </w:tc>
        <w:tc>
          <w:tcPr>
            <w:tcW w:w="858" w:type="dxa"/>
          </w:tcPr>
          <w:p>
            <w:pPr>
              <w:pStyle w:val="TableParagraph"/>
              <w:spacing w:line="202" w:lineRule="exact" w:before="3"/>
              <w:ind w:right="18"/>
              <w:rPr>
                <w:sz w:val="19"/>
              </w:rPr>
            </w:pPr>
            <w:r>
              <w:rPr>
                <w:w w:val="102"/>
                <w:sz w:val="19"/>
              </w:rPr>
              <w:t>8</w:t>
            </w:r>
          </w:p>
        </w:tc>
        <w:tc>
          <w:tcPr>
            <w:tcW w:w="708" w:type="dxa"/>
          </w:tcPr>
          <w:p>
            <w:pPr>
              <w:pStyle w:val="TableParagraph"/>
              <w:spacing w:line="202" w:lineRule="exact" w:before="3"/>
              <w:ind w:left="4"/>
              <w:rPr>
                <w:sz w:val="19"/>
              </w:rPr>
            </w:pPr>
            <w:r>
              <w:rPr>
                <w:w w:val="102"/>
                <w:sz w:val="19"/>
              </w:rPr>
              <w:t>9</w:t>
            </w:r>
          </w:p>
        </w:tc>
        <w:tc>
          <w:tcPr>
            <w:tcW w:w="708" w:type="dxa"/>
          </w:tcPr>
          <w:p>
            <w:pPr>
              <w:pStyle w:val="TableParagraph"/>
              <w:spacing w:line="202" w:lineRule="exact" w:before="3"/>
              <w:ind w:left="121" w:right="127"/>
              <w:rPr>
                <w:sz w:val="19"/>
              </w:rPr>
            </w:pPr>
            <w:r>
              <w:rPr>
                <w:spacing w:val="-5"/>
                <w:sz w:val="19"/>
              </w:rPr>
              <w:t>10</w:t>
            </w:r>
          </w:p>
        </w:tc>
        <w:tc>
          <w:tcPr>
            <w:tcW w:w="723" w:type="dxa"/>
          </w:tcPr>
          <w:p>
            <w:pPr>
              <w:pStyle w:val="TableParagraph"/>
              <w:spacing w:line="202" w:lineRule="exact" w:before="3"/>
              <w:ind w:left="143" w:right="141"/>
              <w:rPr>
                <w:sz w:val="19"/>
              </w:rPr>
            </w:pPr>
            <w:r>
              <w:rPr>
                <w:spacing w:val="-5"/>
                <w:sz w:val="19"/>
              </w:rPr>
              <w:t>11</w:t>
            </w:r>
          </w:p>
        </w:tc>
        <w:tc>
          <w:tcPr>
            <w:tcW w:w="723" w:type="dxa"/>
          </w:tcPr>
          <w:p>
            <w:pPr>
              <w:pStyle w:val="TableParagraph"/>
              <w:spacing w:line="202" w:lineRule="exact" w:before="3"/>
              <w:ind w:left="143" w:right="144"/>
              <w:rPr>
                <w:sz w:val="19"/>
              </w:rPr>
            </w:pPr>
            <w:r>
              <w:rPr>
                <w:spacing w:val="-5"/>
                <w:sz w:val="19"/>
              </w:rPr>
              <w:t>12</w:t>
            </w:r>
          </w:p>
        </w:tc>
        <w:tc>
          <w:tcPr>
            <w:tcW w:w="647" w:type="dxa"/>
          </w:tcPr>
          <w:p>
            <w:pPr>
              <w:pStyle w:val="TableParagraph"/>
              <w:spacing w:line="202" w:lineRule="exact" w:before="3"/>
              <w:ind w:left="95" w:right="113"/>
              <w:rPr>
                <w:sz w:val="19"/>
              </w:rPr>
            </w:pPr>
            <w:r>
              <w:rPr>
                <w:spacing w:val="-5"/>
                <w:sz w:val="19"/>
              </w:rPr>
              <w:t>13</w:t>
            </w:r>
          </w:p>
        </w:tc>
        <w:tc>
          <w:tcPr>
            <w:tcW w:w="752" w:type="dxa"/>
          </w:tcPr>
          <w:p>
            <w:pPr>
              <w:pStyle w:val="TableParagraph"/>
              <w:spacing w:line="202" w:lineRule="exact" w:before="3"/>
              <w:ind w:left="154" w:right="160"/>
              <w:rPr>
                <w:sz w:val="19"/>
              </w:rPr>
            </w:pPr>
            <w:r>
              <w:rPr>
                <w:spacing w:val="-5"/>
                <w:sz w:val="19"/>
              </w:rPr>
              <w:t>14</w:t>
            </w:r>
          </w:p>
        </w:tc>
        <w:tc>
          <w:tcPr>
            <w:tcW w:w="722" w:type="dxa"/>
          </w:tcPr>
          <w:p>
            <w:pPr>
              <w:pStyle w:val="TableParagraph"/>
              <w:spacing w:line="202" w:lineRule="exact" w:before="3"/>
              <w:ind w:left="70" w:right="78"/>
              <w:rPr>
                <w:sz w:val="19"/>
              </w:rPr>
            </w:pPr>
            <w:r>
              <w:rPr>
                <w:spacing w:val="-5"/>
                <w:sz w:val="19"/>
              </w:rPr>
              <w:t>15</w:t>
            </w:r>
          </w:p>
        </w:tc>
        <w:tc>
          <w:tcPr>
            <w:tcW w:w="708" w:type="dxa"/>
          </w:tcPr>
          <w:p>
            <w:pPr>
              <w:pStyle w:val="TableParagraph"/>
              <w:spacing w:line="202" w:lineRule="exact" w:before="3"/>
              <w:ind w:left="111" w:right="138"/>
              <w:rPr>
                <w:sz w:val="19"/>
              </w:rPr>
            </w:pPr>
            <w:r>
              <w:rPr>
                <w:spacing w:val="-5"/>
                <w:sz w:val="19"/>
              </w:rPr>
              <w:t>16</w:t>
            </w:r>
          </w:p>
        </w:tc>
        <w:tc>
          <w:tcPr>
            <w:tcW w:w="767" w:type="dxa"/>
          </w:tcPr>
          <w:p>
            <w:pPr>
              <w:pStyle w:val="TableParagraph"/>
              <w:spacing w:line="202" w:lineRule="exact" w:before="3"/>
              <w:ind w:left="149" w:right="180"/>
              <w:rPr>
                <w:sz w:val="19"/>
              </w:rPr>
            </w:pPr>
            <w:r>
              <w:rPr>
                <w:spacing w:val="-5"/>
                <w:sz w:val="19"/>
              </w:rPr>
              <w:t>17</w:t>
            </w:r>
          </w:p>
        </w:tc>
      </w:tr>
      <w:tr>
        <w:trPr>
          <w:trHeight w:val="465" w:hRule="atLeast"/>
        </w:trPr>
        <w:tc>
          <w:tcPr>
            <w:tcW w:w="1561" w:type="dxa"/>
          </w:tcPr>
          <w:p>
            <w:pPr>
              <w:pStyle w:val="TableParagraph"/>
              <w:spacing w:before="2"/>
              <w:ind w:left="127"/>
              <w:jc w:val="left"/>
              <w:rPr>
                <w:sz w:val="19"/>
              </w:rPr>
            </w:pPr>
            <w:r>
              <w:rPr>
                <w:sz w:val="19"/>
              </w:rPr>
              <w:t>Count</w:t>
            </w:r>
            <w:r>
              <w:rPr>
                <w:spacing w:val="26"/>
                <w:sz w:val="19"/>
              </w:rPr>
              <w:t> </w:t>
            </w:r>
            <w:r>
              <w:rPr>
                <w:sz w:val="19"/>
              </w:rPr>
              <w:t>(out</w:t>
            </w:r>
            <w:r>
              <w:rPr>
                <w:spacing w:val="26"/>
                <w:sz w:val="19"/>
              </w:rPr>
              <w:t> </w:t>
            </w:r>
            <w:r>
              <w:rPr>
                <w:spacing w:val="-5"/>
                <w:sz w:val="19"/>
              </w:rPr>
              <w:t>of</w:t>
            </w:r>
          </w:p>
          <w:p>
            <w:pPr>
              <w:pStyle w:val="TableParagraph"/>
              <w:spacing w:line="217" w:lineRule="exact" w:before="7"/>
              <w:ind w:left="127"/>
              <w:jc w:val="left"/>
              <w:rPr>
                <w:sz w:val="19"/>
              </w:rPr>
            </w:pPr>
            <w:r>
              <w:rPr>
                <w:sz w:val="19"/>
              </w:rPr>
              <w:t>292</w:t>
            </w:r>
            <w:r>
              <w:rPr>
                <w:spacing w:val="23"/>
                <w:sz w:val="19"/>
              </w:rPr>
              <w:t> </w:t>
            </w:r>
            <w:r>
              <w:rPr>
                <w:spacing w:val="-2"/>
                <w:sz w:val="19"/>
              </w:rPr>
              <w:t>deals)</w:t>
            </w:r>
          </w:p>
        </w:tc>
        <w:tc>
          <w:tcPr>
            <w:tcW w:w="706" w:type="dxa"/>
            <w:tcBorders>
              <w:right w:val="single" w:sz="8" w:space="0" w:color="000000"/>
            </w:tcBorders>
          </w:tcPr>
          <w:p>
            <w:pPr>
              <w:pStyle w:val="TableParagraph"/>
              <w:spacing w:before="2"/>
              <w:ind w:left="138" w:right="121"/>
              <w:rPr>
                <w:sz w:val="19"/>
              </w:rPr>
            </w:pPr>
            <w:r>
              <w:rPr>
                <w:spacing w:val="-5"/>
                <w:sz w:val="19"/>
              </w:rPr>
              <w:t>15</w:t>
            </w:r>
          </w:p>
        </w:tc>
        <w:tc>
          <w:tcPr>
            <w:tcW w:w="706" w:type="dxa"/>
            <w:tcBorders>
              <w:left w:val="single" w:sz="8" w:space="0" w:color="000000"/>
            </w:tcBorders>
          </w:tcPr>
          <w:p>
            <w:pPr>
              <w:pStyle w:val="TableParagraph"/>
              <w:spacing w:before="2"/>
              <w:ind w:left="138" w:right="127"/>
              <w:rPr>
                <w:sz w:val="19"/>
              </w:rPr>
            </w:pPr>
            <w:r>
              <w:rPr>
                <w:spacing w:val="-5"/>
                <w:sz w:val="19"/>
              </w:rPr>
              <w:t>29</w:t>
            </w:r>
          </w:p>
        </w:tc>
        <w:tc>
          <w:tcPr>
            <w:tcW w:w="856" w:type="dxa"/>
          </w:tcPr>
          <w:p>
            <w:pPr>
              <w:pStyle w:val="TableParagraph"/>
              <w:spacing w:before="2"/>
              <w:ind w:left="172" w:right="129"/>
              <w:rPr>
                <w:sz w:val="19"/>
              </w:rPr>
            </w:pPr>
            <w:r>
              <w:rPr>
                <w:spacing w:val="-5"/>
                <w:sz w:val="19"/>
              </w:rPr>
              <w:t>98</w:t>
            </w:r>
          </w:p>
        </w:tc>
        <w:tc>
          <w:tcPr>
            <w:tcW w:w="706" w:type="dxa"/>
          </w:tcPr>
          <w:p>
            <w:pPr>
              <w:pStyle w:val="TableParagraph"/>
              <w:spacing w:before="2"/>
              <w:ind w:left="140" w:right="127"/>
              <w:rPr>
                <w:sz w:val="19"/>
              </w:rPr>
            </w:pPr>
            <w:r>
              <w:rPr>
                <w:spacing w:val="-5"/>
                <w:sz w:val="19"/>
              </w:rPr>
              <w:t>26</w:t>
            </w:r>
          </w:p>
        </w:tc>
        <w:tc>
          <w:tcPr>
            <w:tcW w:w="722" w:type="dxa"/>
          </w:tcPr>
          <w:p>
            <w:pPr>
              <w:pStyle w:val="TableParagraph"/>
              <w:spacing w:before="2"/>
              <w:ind w:left="33"/>
              <w:rPr>
                <w:sz w:val="19"/>
              </w:rPr>
            </w:pPr>
            <w:r>
              <w:rPr>
                <w:w w:val="102"/>
                <w:sz w:val="19"/>
              </w:rPr>
              <w:t>3</w:t>
            </w:r>
          </w:p>
        </w:tc>
        <w:tc>
          <w:tcPr>
            <w:tcW w:w="707" w:type="dxa"/>
          </w:tcPr>
          <w:p>
            <w:pPr>
              <w:pStyle w:val="TableParagraph"/>
              <w:spacing w:before="2"/>
              <w:ind w:left="15"/>
              <w:rPr>
                <w:sz w:val="19"/>
              </w:rPr>
            </w:pPr>
            <w:r>
              <w:rPr>
                <w:w w:val="102"/>
                <w:sz w:val="19"/>
              </w:rPr>
              <w:t>6</w:t>
            </w:r>
          </w:p>
        </w:tc>
        <w:tc>
          <w:tcPr>
            <w:tcW w:w="707" w:type="dxa"/>
          </w:tcPr>
          <w:p>
            <w:pPr>
              <w:pStyle w:val="TableParagraph"/>
              <w:spacing w:before="2"/>
              <w:ind w:left="127" w:right="122"/>
              <w:rPr>
                <w:sz w:val="19"/>
              </w:rPr>
            </w:pPr>
            <w:r>
              <w:rPr>
                <w:spacing w:val="-5"/>
                <w:sz w:val="19"/>
              </w:rPr>
              <w:t>17</w:t>
            </w:r>
          </w:p>
        </w:tc>
        <w:tc>
          <w:tcPr>
            <w:tcW w:w="858" w:type="dxa"/>
          </w:tcPr>
          <w:p>
            <w:pPr>
              <w:pStyle w:val="TableParagraph"/>
              <w:spacing w:before="2"/>
              <w:ind w:left="154" w:right="152"/>
              <w:rPr>
                <w:sz w:val="19"/>
              </w:rPr>
            </w:pPr>
            <w:r>
              <w:rPr>
                <w:spacing w:val="-5"/>
                <w:sz w:val="19"/>
              </w:rPr>
              <w:t>52</w:t>
            </w:r>
          </w:p>
        </w:tc>
        <w:tc>
          <w:tcPr>
            <w:tcW w:w="708" w:type="dxa"/>
          </w:tcPr>
          <w:p>
            <w:pPr>
              <w:pStyle w:val="TableParagraph"/>
              <w:spacing w:before="2"/>
              <w:ind w:left="4"/>
              <w:rPr>
                <w:sz w:val="19"/>
              </w:rPr>
            </w:pPr>
            <w:r>
              <w:rPr>
                <w:w w:val="102"/>
                <w:sz w:val="19"/>
              </w:rPr>
              <w:t>7</w:t>
            </w:r>
          </w:p>
        </w:tc>
        <w:tc>
          <w:tcPr>
            <w:tcW w:w="708" w:type="dxa"/>
          </w:tcPr>
          <w:p>
            <w:pPr>
              <w:pStyle w:val="TableParagraph"/>
              <w:spacing w:before="2"/>
              <w:ind w:left="121" w:right="127"/>
              <w:rPr>
                <w:sz w:val="19"/>
              </w:rPr>
            </w:pPr>
            <w:r>
              <w:rPr>
                <w:spacing w:val="-5"/>
                <w:sz w:val="19"/>
              </w:rPr>
              <w:t>16</w:t>
            </w:r>
          </w:p>
        </w:tc>
        <w:tc>
          <w:tcPr>
            <w:tcW w:w="723" w:type="dxa"/>
          </w:tcPr>
          <w:p>
            <w:pPr>
              <w:pStyle w:val="TableParagraph"/>
              <w:spacing w:before="2"/>
              <w:ind w:left="143" w:right="141"/>
              <w:rPr>
                <w:sz w:val="19"/>
              </w:rPr>
            </w:pPr>
            <w:r>
              <w:rPr>
                <w:spacing w:val="-5"/>
                <w:sz w:val="19"/>
              </w:rPr>
              <w:t>10</w:t>
            </w:r>
          </w:p>
        </w:tc>
        <w:tc>
          <w:tcPr>
            <w:tcW w:w="723" w:type="dxa"/>
          </w:tcPr>
          <w:p>
            <w:pPr>
              <w:pStyle w:val="TableParagraph"/>
              <w:spacing w:before="2"/>
              <w:ind w:right="22"/>
              <w:rPr>
                <w:sz w:val="19"/>
              </w:rPr>
            </w:pPr>
            <w:r>
              <w:rPr>
                <w:w w:val="102"/>
                <w:sz w:val="19"/>
              </w:rPr>
              <w:t>4</w:t>
            </w:r>
          </w:p>
        </w:tc>
        <w:tc>
          <w:tcPr>
            <w:tcW w:w="647" w:type="dxa"/>
          </w:tcPr>
          <w:p>
            <w:pPr>
              <w:pStyle w:val="TableParagraph"/>
              <w:spacing w:before="2"/>
              <w:ind w:right="41"/>
              <w:rPr>
                <w:sz w:val="19"/>
              </w:rPr>
            </w:pPr>
            <w:r>
              <w:rPr>
                <w:w w:val="102"/>
                <w:sz w:val="19"/>
              </w:rPr>
              <w:t>2</w:t>
            </w:r>
          </w:p>
        </w:tc>
        <w:tc>
          <w:tcPr>
            <w:tcW w:w="752" w:type="dxa"/>
          </w:tcPr>
          <w:p>
            <w:pPr>
              <w:pStyle w:val="TableParagraph"/>
              <w:spacing w:before="2"/>
              <w:ind w:right="29"/>
              <w:rPr>
                <w:sz w:val="19"/>
              </w:rPr>
            </w:pPr>
            <w:r>
              <w:rPr>
                <w:w w:val="102"/>
                <w:sz w:val="19"/>
              </w:rPr>
              <w:t>3</w:t>
            </w:r>
          </w:p>
        </w:tc>
        <w:tc>
          <w:tcPr>
            <w:tcW w:w="722" w:type="dxa"/>
          </w:tcPr>
          <w:p>
            <w:pPr>
              <w:pStyle w:val="TableParagraph"/>
              <w:spacing w:before="2"/>
              <w:ind w:right="1"/>
              <w:rPr>
                <w:sz w:val="19"/>
              </w:rPr>
            </w:pPr>
            <w:r>
              <w:rPr>
                <w:w w:val="102"/>
                <w:sz w:val="19"/>
              </w:rPr>
              <w:t>1</w:t>
            </w:r>
          </w:p>
        </w:tc>
        <w:tc>
          <w:tcPr>
            <w:tcW w:w="708" w:type="dxa"/>
          </w:tcPr>
          <w:p>
            <w:pPr>
              <w:pStyle w:val="TableParagraph"/>
              <w:spacing w:before="2"/>
              <w:ind w:right="20"/>
              <w:rPr>
                <w:sz w:val="19"/>
              </w:rPr>
            </w:pPr>
            <w:r>
              <w:rPr>
                <w:w w:val="102"/>
                <w:sz w:val="19"/>
              </w:rPr>
              <w:t>1</w:t>
            </w:r>
          </w:p>
        </w:tc>
        <w:tc>
          <w:tcPr>
            <w:tcW w:w="767" w:type="dxa"/>
          </w:tcPr>
          <w:p>
            <w:pPr>
              <w:pStyle w:val="TableParagraph"/>
              <w:spacing w:before="2"/>
              <w:ind w:right="24"/>
              <w:rPr>
                <w:sz w:val="19"/>
              </w:rPr>
            </w:pPr>
            <w:r>
              <w:rPr>
                <w:w w:val="102"/>
                <w:sz w:val="19"/>
              </w:rPr>
              <w:t>2</w:t>
            </w:r>
          </w:p>
        </w:tc>
      </w:tr>
      <w:tr>
        <w:trPr>
          <w:trHeight w:val="450" w:hRule="atLeast"/>
        </w:trPr>
        <w:tc>
          <w:tcPr>
            <w:tcW w:w="1561" w:type="dxa"/>
          </w:tcPr>
          <w:p>
            <w:pPr>
              <w:pStyle w:val="TableParagraph"/>
              <w:spacing w:line="206" w:lineRule="exact"/>
              <w:ind w:left="127"/>
              <w:jc w:val="left"/>
              <w:rPr>
                <w:sz w:val="19"/>
              </w:rPr>
            </w:pPr>
            <w:r>
              <w:rPr>
                <w:sz w:val="19"/>
              </w:rPr>
              <w:t>%</w:t>
            </w:r>
            <w:r>
              <w:rPr>
                <w:spacing w:val="7"/>
                <w:sz w:val="19"/>
              </w:rPr>
              <w:t> </w:t>
            </w:r>
            <w:r>
              <w:rPr>
                <w:sz w:val="19"/>
              </w:rPr>
              <w:t>(out</w:t>
            </w:r>
            <w:r>
              <w:rPr>
                <w:spacing w:val="11"/>
                <w:sz w:val="19"/>
              </w:rPr>
              <w:t> </w:t>
            </w:r>
            <w:r>
              <w:rPr>
                <w:sz w:val="19"/>
              </w:rPr>
              <w:t>of</w:t>
            </w:r>
            <w:r>
              <w:rPr>
                <w:spacing w:val="17"/>
                <w:sz w:val="19"/>
              </w:rPr>
              <w:t> </w:t>
            </w:r>
            <w:r>
              <w:rPr>
                <w:spacing w:val="-5"/>
                <w:sz w:val="19"/>
              </w:rPr>
              <w:t>292</w:t>
            </w:r>
          </w:p>
          <w:p>
            <w:pPr>
              <w:pStyle w:val="TableParagraph"/>
              <w:spacing w:line="202" w:lineRule="exact" w:before="22"/>
              <w:ind w:left="127"/>
              <w:jc w:val="left"/>
              <w:rPr>
                <w:sz w:val="19"/>
              </w:rPr>
            </w:pPr>
            <w:r>
              <w:rPr>
                <w:spacing w:val="-2"/>
                <w:sz w:val="19"/>
              </w:rPr>
              <w:t>deals)</w:t>
            </w:r>
          </w:p>
        </w:tc>
        <w:tc>
          <w:tcPr>
            <w:tcW w:w="706" w:type="dxa"/>
            <w:tcBorders>
              <w:right w:val="single" w:sz="8" w:space="0" w:color="000000"/>
            </w:tcBorders>
          </w:tcPr>
          <w:p>
            <w:pPr>
              <w:pStyle w:val="TableParagraph"/>
              <w:spacing w:line="206" w:lineRule="exact"/>
              <w:ind w:left="138" w:right="124"/>
              <w:rPr>
                <w:sz w:val="19"/>
              </w:rPr>
            </w:pPr>
            <w:r>
              <w:rPr>
                <w:spacing w:val="-4"/>
                <w:sz w:val="19"/>
              </w:rPr>
              <w:t>5.1%</w:t>
            </w:r>
          </w:p>
        </w:tc>
        <w:tc>
          <w:tcPr>
            <w:tcW w:w="706" w:type="dxa"/>
            <w:tcBorders>
              <w:left w:val="single" w:sz="8" w:space="0" w:color="000000"/>
            </w:tcBorders>
          </w:tcPr>
          <w:p>
            <w:pPr>
              <w:pStyle w:val="TableParagraph"/>
              <w:spacing w:line="206" w:lineRule="exact"/>
              <w:ind w:left="136" w:right="127"/>
              <w:rPr>
                <w:sz w:val="19"/>
              </w:rPr>
            </w:pPr>
            <w:r>
              <w:rPr>
                <w:spacing w:val="-4"/>
                <w:sz w:val="19"/>
              </w:rPr>
              <w:t>9.9%</w:t>
            </w:r>
          </w:p>
        </w:tc>
        <w:tc>
          <w:tcPr>
            <w:tcW w:w="856" w:type="dxa"/>
          </w:tcPr>
          <w:p>
            <w:pPr>
              <w:pStyle w:val="TableParagraph"/>
              <w:spacing w:line="206" w:lineRule="exact"/>
              <w:ind w:left="172" w:right="147"/>
              <w:rPr>
                <w:sz w:val="19"/>
              </w:rPr>
            </w:pPr>
            <w:r>
              <w:rPr>
                <w:spacing w:val="-2"/>
                <w:sz w:val="19"/>
              </w:rPr>
              <w:t>33.6%</w:t>
            </w:r>
          </w:p>
        </w:tc>
        <w:tc>
          <w:tcPr>
            <w:tcW w:w="706" w:type="dxa"/>
          </w:tcPr>
          <w:p>
            <w:pPr>
              <w:pStyle w:val="TableParagraph"/>
              <w:spacing w:line="206" w:lineRule="exact"/>
              <w:ind w:left="140" w:right="131"/>
              <w:rPr>
                <w:sz w:val="19"/>
              </w:rPr>
            </w:pPr>
            <w:r>
              <w:rPr>
                <w:spacing w:val="-4"/>
                <w:sz w:val="19"/>
              </w:rPr>
              <w:t>8.9%</w:t>
            </w:r>
          </w:p>
        </w:tc>
        <w:tc>
          <w:tcPr>
            <w:tcW w:w="722" w:type="dxa"/>
          </w:tcPr>
          <w:p>
            <w:pPr>
              <w:pStyle w:val="TableParagraph"/>
              <w:spacing w:line="206" w:lineRule="exact"/>
              <w:ind w:left="101" w:right="78"/>
              <w:rPr>
                <w:sz w:val="19"/>
              </w:rPr>
            </w:pPr>
            <w:r>
              <w:rPr>
                <w:spacing w:val="-4"/>
                <w:sz w:val="19"/>
              </w:rPr>
              <w:t>1.0%</w:t>
            </w:r>
          </w:p>
        </w:tc>
        <w:tc>
          <w:tcPr>
            <w:tcW w:w="707" w:type="dxa"/>
          </w:tcPr>
          <w:p>
            <w:pPr>
              <w:pStyle w:val="TableParagraph"/>
              <w:spacing w:line="206" w:lineRule="exact"/>
              <w:ind w:left="127" w:right="122"/>
              <w:rPr>
                <w:sz w:val="19"/>
              </w:rPr>
            </w:pPr>
            <w:r>
              <w:rPr>
                <w:spacing w:val="-4"/>
                <w:sz w:val="19"/>
              </w:rPr>
              <w:t>2.1%</w:t>
            </w:r>
          </w:p>
        </w:tc>
        <w:tc>
          <w:tcPr>
            <w:tcW w:w="707" w:type="dxa"/>
          </w:tcPr>
          <w:p>
            <w:pPr>
              <w:pStyle w:val="TableParagraph"/>
              <w:spacing w:line="206" w:lineRule="exact"/>
              <w:ind w:left="124" w:right="122"/>
              <w:rPr>
                <w:sz w:val="19"/>
              </w:rPr>
            </w:pPr>
            <w:r>
              <w:rPr>
                <w:spacing w:val="-4"/>
                <w:sz w:val="19"/>
              </w:rPr>
              <w:t>5.8%</w:t>
            </w:r>
          </w:p>
        </w:tc>
        <w:tc>
          <w:tcPr>
            <w:tcW w:w="858" w:type="dxa"/>
          </w:tcPr>
          <w:p>
            <w:pPr>
              <w:pStyle w:val="TableParagraph"/>
              <w:spacing w:line="206" w:lineRule="exact"/>
              <w:ind w:left="154" w:right="168"/>
              <w:rPr>
                <w:sz w:val="19"/>
              </w:rPr>
            </w:pPr>
            <w:r>
              <w:rPr>
                <w:spacing w:val="-2"/>
                <w:sz w:val="19"/>
              </w:rPr>
              <w:t>17.8%</w:t>
            </w:r>
          </w:p>
        </w:tc>
        <w:tc>
          <w:tcPr>
            <w:tcW w:w="708" w:type="dxa"/>
          </w:tcPr>
          <w:p>
            <w:pPr>
              <w:pStyle w:val="TableParagraph"/>
              <w:spacing w:line="206" w:lineRule="exact"/>
              <w:ind w:left="121" w:right="124"/>
              <w:rPr>
                <w:sz w:val="19"/>
              </w:rPr>
            </w:pPr>
            <w:r>
              <w:rPr>
                <w:spacing w:val="-4"/>
                <w:sz w:val="19"/>
              </w:rPr>
              <w:t>2.4%</w:t>
            </w:r>
          </w:p>
        </w:tc>
        <w:tc>
          <w:tcPr>
            <w:tcW w:w="708" w:type="dxa"/>
          </w:tcPr>
          <w:p>
            <w:pPr>
              <w:pStyle w:val="TableParagraph"/>
              <w:spacing w:line="206" w:lineRule="exact"/>
              <w:ind w:left="121" w:right="129"/>
              <w:rPr>
                <w:sz w:val="19"/>
              </w:rPr>
            </w:pPr>
            <w:r>
              <w:rPr>
                <w:spacing w:val="-4"/>
                <w:sz w:val="19"/>
              </w:rPr>
              <w:t>5.5%</w:t>
            </w:r>
          </w:p>
        </w:tc>
        <w:tc>
          <w:tcPr>
            <w:tcW w:w="723" w:type="dxa"/>
          </w:tcPr>
          <w:p>
            <w:pPr>
              <w:pStyle w:val="TableParagraph"/>
              <w:spacing w:line="206" w:lineRule="exact"/>
              <w:ind w:left="143" w:right="143"/>
              <w:rPr>
                <w:sz w:val="19"/>
              </w:rPr>
            </w:pPr>
            <w:r>
              <w:rPr>
                <w:spacing w:val="-4"/>
                <w:sz w:val="19"/>
              </w:rPr>
              <w:t>3.4%</w:t>
            </w:r>
          </w:p>
        </w:tc>
        <w:tc>
          <w:tcPr>
            <w:tcW w:w="723" w:type="dxa"/>
          </w:tcPr>
          <w:p>
            <w:pPr>
              <w:pStyle w:val="TableParagraph"/>
              <w:spacing w:line="206" w:lineRule="exact"/>
              <w:ind w:left="142" w:right="144"/>
              <w:rPr>
                <w:sz w:val="19"/>
              </w:rPr>
            </w:pPr>
            <w:r>
              <w:rPr>
                <w:spacing w:val="-4"/>
                <w:sz w:val="19"/>
              </w:rPr>
              <w:t>1.4%</w:t>
            </w:r>
          </w:p>
        </w:tc>
        <w:tc>
          <w:tcPr>
            <w:tcW w:w="647" w:type="dxa"/>
          </w:tcPr>
          <w:p>
            <w:pPr>
              <w:pStyle w:val="TableParagraph"/>
              <w:spacing w:line="206" w:lineRule="exact"/>
              <w:ind w:left="95" w:right="116"/>
              <w:rPr>
                <w:sz w:val="19"/>
              </w:rPr>
            </w:pPr>
            <w:r>
              <w:rPr>
                <w:spacing w:val="-4"/>
                <w:sz w:val="19"/>
              </w:rPr>
              <w:t>0.7%</w:t>
            </w:r>
          </w:p>
        </w:tc>
        <w:tc>
          <w:tcPr>
            <w:tcW w:w="752" w:type="dxa"/>
          </w:tcPr>
          <w:p>
            <w:pPr>
              <w:pStyle w:val="TableParagraph"/>
              <w:spacing w:line="206" w:lineRule="exact"/>
              <w:ind w:left="154" w:right="163"/>
              <w:rPr>
                <w:sz w:val="19"/>
              </w:rPr>
            </w:pPr>
            <w:r>
              <w:rPr>
                <w:spacing w:val="-4"/>
                <w:sz w:val="19"/>
              </w:rPr>
              <w:t>1.0%</w:t>
            </w:r>
          </w:p>
        </w:tc>
        <w:tc>
          <w:tcPr>
            <w:tcW w:w="722" w:type="dxa"/>
          </w:tcPr>
          <w:p>
            <w:pPr>
              <w:pStyle w:val="TableParagraph"/>
              <w:spacing w:line="206" w:lineRule="exact"/>
              <w:ind w:left="66" w:right="78"/>
              <w:rPr>
                <w:sz w:val="19"/>
              </w:rPr>
            </w:pPr>
            <w:r>
              <w:rPr>
                <w:spacing w:val="-4"/>
                <w:sz w:val="19"/>
              </w:rPr>
              <w:t>0.3%</w:t>
            </w:r>
          </w:p>
        </w:tc>
        <w:tc>
          <w:tcPr>
            <w:tcW w:w="708" w:type="dxa"/>
          </w:tcPr>
          <w:p>
            <w:pPr>
              <w:pStyle w:val="TableParagraph"/>
              <w:spacing w:line="206" w:lineRule="exact"/>
              <w:ind w:left="108" w:right="138"/>
              <w:rPr>
                <w:sz w:val="19"/>
              </w:rPr>
            </w:pPr>
            <w:r>
              <w:rPr>
                <w:spacing w:val="-4"/>
                <w:sz w:val="19"/>
              </w:rPr>
              <w:t>0.3%</w:t>
            </w:r>
          </w:p>
        </w:tc>
        <w:tc>
          <w:tcPr>
            <w:tcW w:w="767" w:type="dxa"/>
          </w:tcPr>
          <w:p>
            <w:pPr>
              <w:pStyle w:val="TableParagraph"/>
              <w:spacing w:line="206" w:lineRule="exact"/>
              <w:ind w:left="149" w:right="183"/>
              <w:rPr>
                <w:sz w:val="19"/>
              </w:rPr>
            </w:pPr>
            <w:r>
              <w:rPr>
                <w:spacing w:val="-4"/>
                <w:sz w:val="19"/>
              </w:rPr>
              <w:t>0.7%</w:t>
            </w:r>
          </w:p>
        </w:tc>
      </w:tr>
    </w:tbl>
    <w:p>
      <w:pPr>
        <w:pStyle w:val="BodyText"/>
        <w:spacing w:before="3"/>
        <w:ind w:left="0"/>
        <w:jc w:val="left"/>
        <w:rPr>
          <w:b/>
          <w:sz w:val="21"/>
        </w:rPr>
      </w:pPr>
    </w:p>
    <w:p>
      <w:pPr>
        <w:spacing w:before="0"/>
        <w:ind w:left="121" w:right="0" w:firstLine="0"/>
        <w:jc w:val="left"/>
        <w:rPr>
          <w:b/>
          <w:sz w:val="19"/>
        </w:rPr>
      </w:pPr>
      <w:r>
        <w:rPr>
          <w:b/>
          <w:sz w:val="19"/>
        </w:rPr>
        <w:t>Panel</w:t>
      </w:r>
      <w:r>
        <w:rPr>
          <w:b/>
          <w:spacing w:val="19"/>
          <w:sz w:val="19"/>
        </w:rPr>
        <w:t> </w:t>
      </w:r>
      <w:r>
        <w:rPr>
          <w:b/>
          <w:sz w:val="19"/>
        </w:rPr>
        <w:t>B:</w:t>
      </w:r>
      <w:r>
        <w:rPr>
          <w:b/>
          <w:spacing w:val="25"/>
          <w:sz w:val="19"/>
        </w:rPr>
        <w:t> </w:t>
      </w:r>
      <w:r>
        <w:rPr>
          <w:b/>
          <w:sz w:val="19"/>
        </w:rPr>
        <w:t>Distribution</w:t>
      </w:r>
      <w:r>
        <w:rPr>
          <w:b/>
          <w:spacing w:val="48"/>
          <w:sz w:val="19"/>
        </w:rPr>
        <w:t> </w:t>
      </w:r>
      <w:r>
        <w:rPr>
          <w:b/>
          <w:sz w:val="19"/>
        </w:rPr>
        <w:t>of</w:t>
      </w:r>
      <w:r>
        <w:rPr>
          <w:b/>
          <w:spacing w:val="25"/>
          <w:sz w:val="19"/>
        </w:rPr>
        <w:t> </w:t>
      </w:r>
      <w:r>
        <w:rPr>
          <w:b/>
          <w:sz w:val="19"/>
        </w:rPr>
        <w:t>impact</w:t>
      </w:r>
      <w:r>
        <w:rPr>
          <w:b/>
          <w:spacing w:val="6"/>
          <w:sz w:val="19"/>
        </w:rPr>
        <w:t> </w:t>
      </w:r>
      <w:r>
        <w:rPr>
          <w:b/>
          <w:sz w:val="19"/>
        </w:rPr>
        <w:t>investment</w:t>
      </w:r>
      <w:r>
        <w:rPr>
          <w:b/>
          <w:spacing w:val="46"/>
          <w:sz w:val="19"/>
        </w:rPr>
        <w:t> </w:t>
      </w:r>
      <w:r>
        <w:rPr>
          <w:b/>
          <w:sz w:val="19"/>
        </w:rPr>
        <w:t>deals</w:t>
      </w:r>
      <w:r>
        <w:rPr>
          <w:b/>
          <w:spacing w:val="11"/>
          <w:sz w:val="19"/>
        </w:rPr>
        <w:t> </w:t>
      </w:r>
      <w:r>
        <w:rPr>
          <w:b/>
          <w:sz w:val="19"/>
        </w:rPr>
        <w:t>across</w:t>
      </w:r>
      <w:r>
        <w:rPr>
          <w:b/>
          <w:spacing w:val="11"/>
          <w:sz w:val="19"/>
        </w:rPr>
        <w:t> </w:t>
      </w:r>
      <w:r>
        <w:rPr>
          <w:b/>
          <w:sz w:val="19"/>
        </w:rPr>
        <w:t>regions</w:t>
      </w:r>
      <w:r>
        <w:rPr>
          <w:b/>
          <w:spacing w:val="11"/>
          <w:sz w:val="19"/>
        </w:rPr>
        <w:t> </w:t>
      </w:r>
      <w:r>
        <w:rPr>
          <w:b/>
          <w:sz w:val="19"/>
        </w:rPr>
        <w:t>and</w:t>
      </w:r>
      <w:r>
        <w:rPr>
          <w:b/>
          <w:spacing w:val="7"/>
          <w:sz w:val="19"/>
        </w:rPr>
        <w:t> </w:t>
      </w:r>
      <w:r>
        <w:rPr>
          <w:b/>
          <w:spacing w:val="-4"/>
          <w:sz w:val="19"/>
        </w:rPr>
        <w:t>SDGs</w:t>
      </w:r>
    </w:p>
    <w:p>
      <w:pPr>
        <w:pStyle w:val="BodyText"/>
        <w:spacing w:before="10"/>
        <w:ind w:left="0"/>
        <w:jc w:val="left"/>
        <w:rPr>
          <w:b/>
          <w:sz w:val="23"/>
        </w:rPr>
      </w:pPr>
    </w:p>
    <w:tbl>
      <w:tblPr>
        <w:tblW w:w="0" w:type="auto"/>
        <w:jc w:val="left"/>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56"/>
        <w:gridCol w:w="2777"/>
        <w:gridCol w:w="525"/>
        <w:gridCol w:w="495"/>
        <w:gridCol w:w="510"/>
        <w:gridCol w:w="525"/>
        <w:gridCol w:w="525"/>
        <w:gridCol w:w="510"/>
        <w:gridCol w:w="510"/>
        <w:gridCol w:w="525"/>
        <w:gridCol w:w="510"/>
        <w:gridCol w:w="510"/>
        <w:gridCol w:w="511"/>
        <w:gridCol w:w="526"/>
        <w:gridCol w:w="496"/>
        <w:gridCol w:w="526"/>
        <w:gridCol w:w="526"/>
        <w:gridCol w:w="496"/>
        <w:gridCol w:w="526"/>
      </w:tblGrid>
      <w:tr>
        <w:trPr>
          <w:trHeight w:val="255" w:hRule="atLeast"/>
        </w:trPr>
        <w:tc>
          <w:tcPr>
            <w:tcW w:w="3933" w:type="dxa"/>
            <w:gridSpan w:val="2"/>
            <w:vMerge w:val="restart"/>
          </w:tcPr>
          <w:p>
            <w:pPr>
              <w:pStyle w:val="TableParagraph"/>
              <w:jc w:val="left"/>
              <w:rPr>
                <w:sz w:val="18"/>
              </w:rPr>
            </w:pPr>
          </w:p>
        </w:tc>
        <w:tc>
          <w:tcPr>
            <w:tcW w:w="8752" w:type="dxa"/>
            <w:gridSpan w:val="17"/>
          </w:tcPr>
          <w:p>
            <w:pPr>
              <w:pStyle w:val="TableParagraph"/>
              <w:spacing w:line="206" w:lineRule="exact"/>
              <w:ind w:left="4152" w:right="4105"/>
              <w:rPr>
                <w:sz w:val="19"/>
              </w:rPr>
            </w:pPr>
            <w:r>
              <w:rPr>
                <w:spacing w:val="-4"/>
                <w:sz w:val="19"/>
              </w:rPr>
              <w:t>SDGs</w:t>
            </w:r>
          </w:p>
        </w:tc>
      </w:tr>
      <w:tr>
        <w:trPr>
          <w:trHeight w:val="255" w:hRule="atLeast"/>
        </w:trPr>
        <w:tc>
          <w:tcPr>
            <w:tcW w:w="3933" w:type="dxa"/>
            <w:gridSpan w:val="2"/>
            <w:vMerge/>
            <w:tcBorders>
              <w:top w:val="nil"/>
            </w:tcBorders>
          </w:tcPr>
          <w:p>
            <w:pPr>
              <w:rPr>
                <w:sz w:val="2"/>
                <w:szCs w:val="2"/>
              </w:rPr>
            </w:pPr>
          </w:p>
        </w:tc>
        <w:tc>
          <w:tcPr>
            <w:tcW w:w="525" w:type="dxa"/>
          </w:tcPr>
          <w:p>
            <w:pPr>
              <w:pStyle w:val="TableParagraph"/>
              <w:spacing w:before="2"/>
              <w:ind w:left="217"/>
              <w:jc w:val="left"/>
              <w:rPr>
                <w:sz w:val="19"/>
              </w:rPr>
            </w:pPr>
            <w:r>
              <w:rPr>
                <w:w w:val="102"/>
                <w:sz w:val="19"/>
              </w:rPr>
              <w:t>1</w:t>
            </w:r>
          </w:p>
        </w:tc>
        <w:tc>
          <w:tcPr>
            <w:tcW w:w="495" w:type="dxa"/>
          </w:tcPr>
          <w:p>
            <w:pPr>
              <w:pStyle w:val="TableParagraph"/>
              <w:spacing w:before="2"/>
              <w:ind w:left="24"/>
              <w:rPr>
                <w:sz w:val="19"/>
              </w:rPr>
            </w:pPr>
            <w:r>
              <w:rPr>
                <w:w w:val="102"/>
                <w:sz w:val="19"/>
              </w:rPr>
              <w:t>2</w:t>
            </w:r>
          </w:p>
        </w:tc>
        <w:tc>
          <w:tcPr>
            <w:tcW w:w="510" w:type="dxa"/>
          </w:tcPr>
          <w:p>
            <w:pPr>
              <w:pStyle w:val="TableParagraph"/>
              <w:spacing w:before="2"/>
              <w:ind w:left="10"/>
              <w:rPr>
                <w:sz w:val="19"/>
              </w:rPr>
            </w:pPr>
            <w:r>
              <w:rPr>
                <w:w w:val="102"/>
                <w:sz w:val="19"/>
              </w:rPr>
              <w:t>3</w:t>
            </w:r>
          </w:p>
        </w:tc>
        <w:tc>
          <w:tcPr>
            <w:tcW w:w="525" w:type="dxa"/>
          </w:tcPr>
          <w:p>
            <w:pPr>
              <w:pStyle w:val="TableParagraph"/>
              <w:spacing w:before="2"/>
              <w:ind w:left="218"/>
              <w:jc w:val="left"/>
              <w:rPr>
                <w:sz w:val="19"/>
              </w:rPr>
            </w:pPr>
            <w:r>
              <w:rPr>
                <w:w w:val="102"/>
                <w:sz w:val="19"/>
              </w:rPr>
              <w:t>4</w:t>
            </w:r>
          </w:p>
        </w:tc>
        <w:tc>
          <w:tcPr>
            <w:tcW w:w="525" w:type="dxa"/>
          </w:tcPr>
          <w:p>
            <w:pPr>
              <w:pStyle w:val="TableParagraph"/>
              <w:spacing w:before="2"/>
              <w:ind w:right="190"/>
              <w:jc w:val="right"/>
              <w:rPr>
                <w:sz w:val="19"/>
              </w:rPr>
            </w:pPr>
            <w:r>
              <w:rPr>
                <w:w w:val="102"/>
                <w:sz w:val="19"/>
              </w:rPr>
              <w:t>5</w:t>
            </w:r>
          </w:p>
        </w:tc>
        <w:tc>
          <w:tcPr>
            <w:tcW w:w="510" w:type="dxa"/>
          </w:tcPr>
          <w:p>
            <w:pPr>
              <w:pStyle w:val="TableParagraph"/>
              <w:spacing w:before="2"/>
              <w:ind w:left="12"/>
              <w:rPr>
                <w:sz w:val="19"/>
              </w:rPr>
            </w:pPr>
            <w:r>
              <w:rPr>
                <w:w w:val="102"/>
                <w:sz w:val="19"/>
              </w:rPr>
              <w:t>6</w:t>
            </w:r>
          </w:p>
        </w:tc>
        <w:tc>
          <w:tcPr>
            <w:tcW w:w="510" w:type="dxa"/>
          </w:tcPr>
          <w:p>
            <w:pPr>
              <w:pStyle w:val="TableParagraph"/>
              <w:spacing w:before="2"/>
              <w:ind w:left="13"/>
              <w:rPr>
                <w:sz w:val="19"/>
              </w:rPr>
            </w:pPr>
            <w:r>
              <w:rPr>
                <w:w w:val="102"/>
                <w:sz w:val="19"/>
              </w:rPr>
              <w:t>7</w:t>
            </w:r>
          </w:p>
        </w:tc>
        <w:tc>
          <w:tcPr>
            <w:tcW w:w="525" w:type="dxa"/>
          </w:tcPr>
          <w:p>
            <w:pPr>
              <w:pStyle w:val="TableParagraph"/>
              <w:spacing w:before="2"/>
              <w:ind w:left="220"/>
              <w:jc w:val="left"/>
              <w:rPr>
                <w:sz w:val="19"/>
              </w:rPr>
            </w:pPr>
            <w:r>
              <w:rPr>
                <w:w w:val="102"/>
                <w:sz w:val="19"/>
              </w:rPr>
              <w:t>8</w:t>
            </w:r>
          </w:p>
        </w:tc>
        <w:tc>
          <w:tcPr>
            <w:tcW w:w="510" w:type="dxa"/>
          </w:tcPr>
          <w:p>
            <w:pPr>
              <w:pStyle w:val="TableParagraph"/>
              <w:spacing w:before="2"/>
              <w:ind w:left="206"/>
              <w:jc w:val="left"/>
              <w:rPr>
                <w:sz w:val="19"/>
              </w:rPr>
            </w:pPr>
            <w:r>
              <w:rPr>
                <w:w w:val="102"/>
                <w:sz w:val="19"/>
              </w:rPr>
              <w:t>9</w:t>
            </w:r>
          </w:p>
        </w:tc>
        <w:tc>
          <w:tcPr>
            <w:tcW w:w="510" w:type="dxa"/>
          </w:tcPr>
          <w:p>
            <w:pPr>
              <w:pStyle w:val="TableParagraph"/>
              <w:spacing w:before="2"/>
              <w:ind w:left="161"/>
              <w:jc w:val="left"/>
              <w:rPr>
                <w:sz w:val="19"/>
              </w:rPr>
            </w:pPr>
            <w:r>
              <w:rPr>
                <w:spacing w:val="-5"/>
                <w:sz w:val="19"/>
              </w:rPr>
              <w:t>10</w:t>
            </w:r>
          </w:p>
        </w:tc>
        <w:tc>
          <w:tcPr>
            <w:tcW w:w="511" w:type="dxa"/>
          </w:tcPr>
          <w:p>
            <w:pPr>
              <w:pStyle w:val="TableParagraph"/>
              <w:spacing w:before="2"/>
              <w:ind w:left="157" w:right="119"/>
              <w:rPr>
                <w:sz w:val="19"/>
              </w:rPr>
            </w:pPr>
            <w:r>
              <w:rPr>
                <w:spacing w:val="-5"/>
                <w:sz w:val="19"/>
              </w:rPr>
              <w:t>11</w:t>
            </w:r>
          </w:p>
        </w:tc>
        <w:tc>
          <w:tcPr>
            <w:tcW w:w="526" w:type="dxa"/>
          </w:tcPr>
          <w:p>
            <w:pPr>
              <w:pStyle w:val="TableParagraph"/>
              <w:spacing w:before="2"/>
              <w:ind w:left="177"/>
              <w:jc w:val="left"/>
              <w:rPr>
                <w:sz w:val="19"/>
              </w:rPr>
            </w:pPr>
            <w:r>
              <w:rPr>
                <w:spacing w:val="-5"/>
                <w:sz w:val="19"/>
              </w:rPr>
              <w:t>12</w:t>
            </w:r>
          </w:p>
        </w:tc>
        <w:tc>
          <w:tcPr>
            <w:tcW w:w="496" w:type="dxa"/>
          </w:tcPr>
          <w:p>
            <w:pPr>
              <w:pStyle w:val="TableParagraph"/>
              <w:spacing w:before="2"/>
              <w:ind w:left="146"/>
              <w:jc w:val="left"/>
              <w:rPr>
                <w:sz w:val="19"/>
              </w:rPr>
            </w:pPr>
            <w:r>
              <w:rPr>
                <w:spacing w:val="-5"/>
                <w:sz w:val="19"/>
              </w:rPr>
              <w:t>13</w:t>
            </w:r>
          </w:p>
        </w:tc>
        <w:tc>
          <w:tcPr>
            <w:tcW w:w="526" w:type="dxa"/>
          </w:tcPr>
          <w:p>
            <w:pPr>
              <w:pStyle w:val="TableParagraph"/>
              <w:spacing w:before="2"/>
              <w:ind w:left="153" w:right="133"/>
              <w:rPr>
                <w:sz w:val="19"/>
              </w:rPr>
            </w:pPr>
            <w:r>
              <w:rPr>
                <w:spacing w:val="-5"/>
                <w:sz w:val="19"/>
              </w:rPr>
              <w:t>14</w:t>
            </w:r>
          </w:p>
        </w:tc>
        <w:tc>
          <w:tcPr>
            <w:tcW w:w="526" w:type="dxa"/>
          </w:tcPr>
          <w:p>
            <w:pPr>
              <w:pStyle w:val="TableParagraph"/>
              <w:spacing w:before="2"/>
              <w:ind w:left="152" w:right="133"/>
              <w:rPr>
                <w:sz w:val="19"/>
              </w:rPr>
            </w:pPr>
            <w:r>
              <w:rPr>
                <w:spacing w:val="-5"/>
                <w:sz w:val="19"/>
              </w:rPr>
              <w:t>15</w:t>
            </w:r>
          </w:p>
        </w:tc>
        <w:tc>
          <w:tcPr>
            <w:tcW w:w="496" w:type="dxa"/>
          </w:tcPr>
          <w:p>
            <w:pPr>
              <w:pStyle w:val="TableParagraph"/>
              <w:spacing w:before="2"/>
              <w:ind w:left="135" w:right="117"/>
              <w:rPr>
                <w:sz w:val="19"/>
              </w:rPr>
            </w:pPr>
            <w:r>
              <w:rPr>
                <w:spacing w:val="-5"/>
                <w:sz w:val="19"/>
              </w:rPr>
              <w:t>16</w:t>
            </w:r>
          </w:p>
        </w:tc>
        <w:tc>
          <w:tcPr>
            <w:tcW w:w="526" w:type="dxa"/>
          </w:tcPr>
          <w:p>
            <w:pPr>
              <w:pStyle w:val="TableParagraph"/>
              <w:spacing w:before="2"/>
              <w:ind w:left="150" w:right="133"/>
              <w:rPr>
                <w:sz w:val="19"/>
              </w:rPr>
            </w:pPr>
            <w:r>
              <w:rPr>
                <w:spacing w:val="-5"/>
                <w:sz w:val="19"/>
              </w:rPr>
              <w:t>17</w:t>
            </w:r>
          </w:p>
        </w:tc>
      </w:tr>
      <w:tr>
        <w:trPr>
          <w:trHeight w:val="270" w:hRule="atLeast"/>
        </w:trPr>
        <w:tc>
          <w:tcPr>
            <w:tcW w:w="1156" w:type="dxa"/>
            <w:vMerge w:val="restart"/>
          </w:tcPr>
          <w:p>
            <w:pPr>
              <w:pStyle w:val="TableParagraph"/>
              <w:spacing w:line="247" w:lineRule="auto" w:before="3"/>
              <w:ind w:left="262" w:hanging="105"/>
              <w:jc w:val="left"/>
              <w:rPr>
                <w:sz w:val="19"/>
              </w:rPr>
            </w:pPr>
            <w:r>
              <w:rPr>
                <w:spacing w:val="-2"/>
                <w:sz w:val="19"/>
              </w:rPr>
              <w:t>Developed Regions</w:t>
            </w:r>
          </w:p>
        </w:tc>
        <w:tc>
          <w:tcPr>
            <w:tcW w:w="2777" w:type="dxa"/>
          </w:tcPr>
          <w:p>
            <w:pPr>
              <w:pStyle w:val="TableParagraph"/>
              <w:spacing w:before="3"/>
              <w:ind w:left="112"/>
              <w:jc w:val="left"/>
              <w:rPr>
                <w:sz w:val="19"/>
              </w:rPr>
            </w:pPr>
            <w:r>
              <w:rPr>
                <w:sz w:val="19"/>
              </w:rPr>
              <w:t>US</w:t>
            </w:r>
            <w:r>
              <w:rPr>
                <w:spacing w:val="8"/>
                <w:sz w:val="19"/>
              </w:rPr>
              <w:t> </w:t>
            </w:r>
            <w:r>
              <w:rPr>
                <w:sz w:val="19"/>
              </w:rPr>
              <w:t>&amp;</w:t>
            </w:r>
            <w:r>
              <w:rPr>
                <w:spacing w:val="10"/>
                <w:sz w:val="19"/>
              </w:rPr>
              <w:t> </w:t>
            </w:r>
            <w:r>
              <w:rPr>
                <w:spacing w:val="-2"/>
                <w:sz w:val="19"/>
              </w:rPr>
              <w:t>Canada</w:t>
            </w:r>
          </w:p>
        </w:tc>
        <w:tc>
          <w:tcPr>
            <w:tcW w:w="525" w:type="dxa"/>
          </w:tcPr>
          <w:p>
            <w:pPr>
              <w:pStyle w:val="TableParagraph"/>
              <w:spacing w:before="3"/>
              <w:ind w:left="217"/>
              <w:jc w:val="left"/>
              <w:rPr>
                <w:sz w:val="19"/>
              </w:rPr>
            </w:pPr>
            <w:r>
              <w:rPr>
                <w:w w:val="102"/>
                <w:sz w:val="19"/>
              </w:rPr>
              <w:t>1</w:t>
            </w:r>
          </w:p>
        </w:tc>
        <w:tc>
          <w:tcPr>
            <w:tcW w:w="495" w:type="dxa"/>
          </w:tcPr>
          <w:p>
            <w:pPr>
              <w:pStyle w:val="TableParagraph"/>
              <w:spacing w:before="3"/>
              <w:ind w:left="24"/>
              <w:rPr>
                <w:sz w:val="19"/>
              </w:rPr>
            </w:pPr>
            <w:r>
              <w:rPr>
                <w:w w:val="102"/>
                <w:sz w:val="19"/>
              </w:rPr>
              <w:t>4</w:t>
            </w:r>
          </w:p>
        </w:tc>
        <w:tc>
          <w:tcPr>
            <w:tcW w:w="510" w:type="dxa"/>
          </w:tcPr>
          <w:p>
            <w:pPr>
              <w:pStyle w:val="TableParagraph"/>
              <w:spacing w:before="3"/>
              <w:ind w:left="67" w:right="66"/>
              <w:rPr>
                <w:sz w:val="19"/>
              </w:rPr>
            </w:pPr>
            <w:r>
              <w:rPr>
                <w:spacing w:val="-5"/>
                <w:sz w:val="19"/>
              </w:rPr>
              <w:t>54</w:t>
            </w:r>
          </w:p>
        </w:tc>
        <w:tc>
          <w:tcPr>
            <w:tcW w:w="525" w:type="dxa"/>
          </w:tcPr>
          <w:p>
            <w:pPr>
              <w:pStyle w:val="TableParagraph"/>
              <w:spacing w:before="3"/>
              <w:ind w:left="158"/>
              <w:jc w:val="left"/>
              <w:rPr>
                <w:sz w:val="19"/>
              </w:rPr>
            </w:pPr>
            <w:r>
              <w:rPr>
                <w:spacing w:val="-5"/>
                <w:sz w:val="19"/>
              </w:rPr>
              <w:t>15</w:t>
            </w:r>
          </w:p>
        </w:tc>
        <w:tc>
          <w:tcPr>
            <w:tcW w:w="525" w:type="dxa"/>
          </w:tcPr>
          <w:p>
            <w:pPr>
              <w:pStyle w:val="TableParagraph"/>
              <w:spacing w:before="3"/>
              <w:ind w:right="190"/>
              <w:jc w:val="right"/>
              <w:rPr>
                <w:sz w:val="19"/>
              </w:rPr>
            </w:pPr>
            <w:r>
              <w:rPr>
                <w:w w:val="102"/>
                <w:sz w:val="19"/>
              </w:rPr>
              <w:t>1</w:t>
            </w:r>
          </w:p>
        </w:tc>
        <w:tc>
          <w:tcPr>
            <w:tcW w:w="510" w:type="dxa"/>
          </w:tcPr>
          <w:p>
            <w:pPr>
              <w:pStyle w:val="TableParagraph"/>
              <w:spacing w:before="3"/>
              <w:ind w:left="12"/>
              <w:rPr>
                <w:sz w:val="19"/>
              </w:rPr>
            </w:pPr>
            <w:r>
              <w:rPr>
                <w:w w:val="102"/>
                <w:sz w:val="19"/>
              </w:rPr>
              <w:t>0</w:t>
            </w:r>
          </w:p>
        </w:tc>
        <w:tc>
          <w:tcPr>
            <w:tcW w:w="510" w:type="dxa"/>
          </w:tcPr>
          <w:p>
            <w:pPr>
              <w:pStyle w:val="TableParagraph"/>
              <w:spacing w:before="3"/>
              <w:ind w:left="13"/>
              <w:rPr>
                <w:sz w:val="19"/>
              </w:rPr>
            </w:pPr>
            <w:r>
              <w:rPr>
                <w:w w:val="102"/>
                <w:sz w:val="19"/>
              </w:rPr>
              <w:t>3</w:t>
            </w:r>
          </w:p>
        </w:tc>
        <w:tc>
          <w:tcPr>
            <w:tcW w:w="525" w:type="dxa"/>
          </w:tcPr>
          <w:p>
            <w:pPr>
              <w:pStyle w:val="TableParagraph"/>
              <w:spacing w:before="3"/>
              <w:ind w:left="175"/>
              <w:jc w:val="left"/>
              <w:rPr>
                <w:sz w:val="19"/>
              </w:rPr>
            </w:pPr>
            <w:r>
              <w:rPr>
                <w:spacing w:val="-5"/>
                <w:sz w:val="19"/>
              </w:rPr>
              <w:t>36</w:t>
            </w:r>
          </w:p>
        </w:tc>
        <w:tc>
          <w:tcPr>
            <w:tcW w:w="510" w:type="dxa"/>
          </w:tcPr>
          <w:p>
            <w:pPr>
              <w:pStyle w:val="TableParagraph"/>
              <w:spacing w:before="3"/>
              <w:ind w:left="206"/>
              <w:jc w:val="left"/>
              <w:rPr>
                <w:sz w:val="19"/>
              </w:rPr>
            </w:pPr>
            <w:r>
              <w:rPr>
                <w:w w:val="102"/>
                <w:sz w:val="19"/>
              </w:rPr>
              <w:t>2</w:t>
            </w:r>
          </w:p>
        </w:tc>
        <w:tc>
          <w:tcPr>
            <w:tcW w:w="510" w:type="dxa"/>
          </w:tcPr>
          <w:p>
            <w:pPr>
              <w:pStyle w:val="TableParagraph"/>
              <w:spacing w:before="3"/>
              <w:ind w:left="206"/>
              <w:jc w:val="left"/>
              <w:rPr>
                <w:sz w:val="19"/>
              </w:rPr>
            </w:pPr>
            <w:r>
              <w:rPr>
                <w:w w:val="102"/>
                <w:sz w:val="19"/>
              </w:rPr>
              <w:t>6</w:t>
            </w:r>
          </w:p>
        </w:tc>
        <w:tc>
          <w:tcPr>
            <w:tcW w:w="511" w:type="dxa"/>
          </w:tcPr>
          <w:p>
            <w:pPr>
              <w:pStyle w:val="TableParagraph"/>
              <w:spacing w:before="3"/>
              <w:ind w:left="16"/>
              <w:rPr>
                <w:sz w:val="19"/>
              </w:rPr>
            </w:pPr>
            <w:r>
              <w:rPr>
                <w:w w:val="102"/>
                <w:sz w:val="19"/>
              </w:rPr>
              <w:t>4</w:t>
            </w:r>
          </w:p>
        </w:tc>
        <w:tc>
          <w:tcPr>
            <w:tcW w:w="526" w:type="dxa"/>
          </w:tcPr>
          <w:p>
            <w:pPr>
              <w:pStyle w:val="TableParagraph"/>
              <w:spacing w:before="3"/>
              <w:ind w:left="222"/>
              <w:jc w:val="left"/>
              <w:rPr>
                <w:sz w:val="19"/>
              </w:rPr>
            </w:pPr>
            <w:r>
              <w:rPr>
                <w:w w:val="102"/>
                <w:sz w:val="19"/>
              </w:rPr>
              <w:t>1</w:t>
            </w:r>
          </w:p>
        </w:tc>
        <w:tc>
          <w:tcPr>
            <w:tcW w:w="496" w:type="dxa"/>
          </w:tcPr>
          <w:p>
            <w:pPr>
              <w:pStyle w:val="TableParagraph"/>
              <w:spacing w:before="3"/>
              <w:ind w:left="206"/>
              <w:jc w:val="left"/>
              <w:rPr>
                <w:sz w:val="19"/>
              </w:rPr>
            </w:pPr>
            <w:r>
              <w:rPr>
                <w:w w:val="102"/>
                <w:sz w:val="19"/>
              </w:rPr>
              <w:t>1</w:t>
            </w:r>
          </w:p>
        </w:tc>
        <w:tc>
          <w:tcPr>
            <w:tcW w:w="526" w:type="dxa"/>
          </w:tcPr>
          <w:p>
            <w:pPr>
              <w:pStyle w:val="TableParagraph"/>
              <w:spacing w:before="3"/>
              <w:ind w:left="28"/>
              <w:rPr>
                <w:sz w:val="19"/>
              </w:rPr>
            </w:pPr>
            <w:r>
              <w:rPr>
                <w:w w:val="102"/>
                <w:sz w:val="19"/>
              </w:rPr>
              <w:t>1</w:t>
            </w:r>
          </w:p>
        </w:tc>
        <w:tc>
          <w:tcPr>
            <w:tcW w:w="526" w:type="dxa"/>
          </w:tcPr>
          <w:p>
            <w:pPr>
              <w:pStyle w:val="TableParagraph"/>
              <w:spacing w:before="3"/>
              <w:ind w:right="1"/>
              <w:rPr>
                <w:sz w:val="19"/>
              </w:rPr>
            </w:pPr>
            <w:r>
              <w:rPr>
                <w:w w:val="102"/>
                <w:sz w:val="19"/>
              </w:rPr>
              <w:t>1</w:t>
            </w:r>
          </w:p>
        </w:tc>
        <w:tc>
          <w:tcPr>
            <w:tcW w:w="496" w:type="dxa"/>
          </w:tcPr>
          <w:p>
            <w:pPr>
              <w:pStyle w:val="TableParagraph"/>
              <w:spacing w:before="3"/>
              <w:ind w:left="25"/>
              <w:rPr>
                <w:sz w:val="19"/>
              </w:rPr>
            </w:pPr>
            <w:r>
              <w:rPr>
                <w:w w:val="102"/>
                <w:sz w:val="19"/>
              </w:rPr>
              <w:t>1</w:t>
            </w:r>
          </w:p>
        </w:tc>
        <w:tc>
          <w:tcPr>
            <w:tcW w:w="526" w:type="dxa"/>
          </w:tcPr>
          <w:p>
            <w:pPr>
              <w:pStyle w:val="TableParagraph"/>
              <w:spacing w:before="3"/>
              <w:ind w:left="24"/>
              <w:rPr>
                <w:sz w:val="19"/>
              </w:rPr>
            </w:pPr>
            <w:r>
              <w:rPr>
                <w:w w:val="102"/>
                <w:sz w:val="19"/>
              </w:rPr>
              <w:t>0</w:t>
            </w:r>
          </w:p>
        </w:tc>
      </w:tr>
      <w:tr>
        <w:trPr>
          <w:trHeight w:val="450" w:hRule="atLeast"/>
        </w:trPr>
        <w:tc>
          <w:tcPr>
            <w:tcW w:w="1156" w:type="dxa"/>
            <w:vMerge/>
            <w:tcBorders>
              <w:top w:val="nil"/>
            </w:tcBorders>
          </w:tcPr>
          <w:p>
            <w:pPr>
              <w:rPr>
                <w:sz w:val="2"/>
                <w:szCs w:val="2"/>
              </w:rPr>
            </w:pPr>
          </w:p>
        </w:tc>
        <w:tc>
          <w:tcPr>
            <w:tcW w:w="2777" w:type="dxa"/>
          </w:tcPr>
          <w:p>
            <w:pPr>
              <w:pStyle w:val="TableParagraph"/>
              <w:spacing w:line="206" w:lineRule="exact"/>
              <w:ind w:left="112"/>
              <w:jc w:val="left"/>
              <w:rPr>
                <w:sz w:val="19"/>
              </w:rPr>
            </w:pPr>
            <w:r>
              <w:rPr>
                <w:sz w:val="19"/>
              </w:rPr>
              <w:t>Western,</w:t>
            </w:r>
            <w:r>
              <w:rPr>
                <w:spacing w:val="28"/>
                <w:sz w:val="19"/>
              </w:rPr>
              <w:t> </w:t>
            </w:r>
            <w:r>
              <w:rPr>
                <w:sz w:val="19"/>
              </w:rPr>
              <w:t>Northern,</w:t>
            </w:r>
            <w:r>
              <w:rPr>
                <w:spacing w:val="29"/>
                <w:sz w:val="19"/>
              </w:rPr>
              <w:t> </w:t>
            </w:r>
            <w:r>
              <w:rPr>
                <w:spacing w:val="-5"/>
                <w:sz w:val="19"/>
              </w:rPr>
              <w:t>and</w:t>
            </w:r>
          </w:p>
          <w:p>
            <w:pPr>
              <w:pStyle w:val="TableParagraph"/>
              <w:spacing w:line="202" w:lineRule="exact" w:before="21"/>
              <w:ind w:left="112"/>
              <w:jc w:val="left"/>
              <w:rPr>
                <w:sz w:val="19"/>
              </w:rPr>
            </w:pPr>
            <w:r>
              <w:rPr>
                <w:sz w:val="19"/>
              </w:rPr>
              <w:t>Southern</w:t>
            </w:r>
            <w:r>
              <w:rPr>
                <w:spacing w:val="34"/>
                <w:sz w:val="19"/>
              </w:rPr>
              <w:t> </w:t>
            </w:r>
            <w:r>
              <w:rPr>
                <w:sz w:val="19"/>
              </w:rPr>
              <w:t>Europe</w:t>
            </w:r>
            <w:r>
              <w:rPr>
                <w:spacing w:val="27"/>
                <w:sz w:val="19"/>
              </w:rPr>
              <w:t> </w:t>
            </w:r>
            <w:r>
              <w:rPr>
                <w:spacing w:val="-4"/>
                <w:sz w:val="19"/>
              </w:rPr>
              <w:t>(WNS)</w:t>
            </w:r>
          </w:p>
        </w:tc>
        <w:tc>
          <w:tcPr>
            <w:tcW w:w="525" w:type="dxa"/>
          </w:tcPr>
          <w:p>
            <w:pPr>
              <w:pStyle w:val="TableParagraph"/>
              <w:spacing w:line="206" w:lineRule="exact"/>
              <w:ind w:left="217"/>
              <w:jc w:val="left"/>
              <w:rPr>
                <w:sz w:val="19"/>
              </w:rPr>
            </w:pPr>
            <w:r>
              <w:rPr>
                <w:w w:val="102"/>
                <w:sz w:val="19"/>
              </w:rPr>
              <w:t>0</w:t>
            </w:r>
          </w:p>
        </w:tc>
        <w:tc>
          <w:tcPr>
            <w:tcW w:w="495" w:type="dxa"/>
          </w:tcPr>
          <w:p>
            <w:pPr>
              <w:pStyle w:val="TableParagraph"/>
              <w:spacing w:line="206" w:lineRule="exact"/>
              <w:ind w:left="24"/>
              <w:rPr>
                <w:sz w:val="19"/>
              </w:rPr>
            </w:pPr>
            <w:r>
              <w:rPr>
                <w:w w:val="102"/>
                <w:sz w:val="19"/>
              </w:rPr>
              <w:t>1</w:t>
            </w:r>
          </w:p>
        </w:tc>
        <w:tc>
          <w:tcPr>
            <w:tcW w:w="510" w:type="dxa"/>
          </w:tcPr>
          <w:p>
            <w:pPr>
              <w:pStyle w:val="TableParagraph"/>
              <w:spacing w:line="206" w:lineRule="exact"/>
              <w:ind w:left="10"/>
              <w:rPr>
                <w:sz w:val="19"/>
              </w:rPr>
            </w:pPr>
            <w:r>
              <w:rPr>
                <w:w w:val="102"/>
                <w:sz w:val="19"/>
              </w:rPr>
              <w:t>6</w:t>
            </w:r>
          </w:p>
        </w:tc>
        <w:tc>
          <w:tcPr>
            <w:tcW w:w="525" w:type="dxa"/>
          </w:tcPr>
          <w:p>
            <w:pPr>
              <w:pStyle w:val="TableParagraph"/>
              <w:spacing w:line="206" w:lineRule="exact"/>
              <w:ind w:left="218"/>
              <w:jc w:val="left"/>
              <w:rPr>
                <w:sz w:val="19"/>
              </w:rPr>
            </w:pPr>
            <w:r>
              <w:rPr>
                <w:w w:val="102"/>
                <w:sz w:val="19"/>
              </w:rPr>
              <w:t>1</w:t>
            </w:r>
          </w:p>
        </w:tc>
        <w:tc>
          <w:tcPr>
            <w:tcW w:w="525" w:type="dxa"/>
          </w:tcPr>
          <w:p>
            <w:pPr>
              <w:pStyle w:val="TableParagraph"/>
              <w:spacing w:line="206" w:lineRule="exact"/>
              <w:ind w:right="190"/>
              <w:jc w:val="right"/>
              <w:rPr>
                <w:sz w:val="19"/>
              </w:rPr>
            </w:pPr>
            <w:r>
              <w:rPr>
                <w:w w:val="102"/>
                <w:sz w:val="19"/>
              </w:rPr>
              <w:t>0</w:t>
            </w:r>
          </w:p>
        </w:tc>
        <w:tc>
          <w:tcPr>
            <w:tcW w:w="510" w:type="dxa"/>
          </w:tcPr>
          <w:p>
            <w:pPr>
              <w:pStyle w:val="TableParagraph"/>
              <w:spacing w:line="206" w:lineRule="exact"/>
              <w:ind w:left="12"/>
              <w:rPr>
                <w:sz w:val="19"/>
              </w:rPr>
            </w:pPr>
            <w:r>
              <w:rPr>
                <w:w w:val="102"/>
                <w:sz w:val="19"/>
              </w:rPr>
              <w:t>0</w:t>
            </w:r>
          </w:p>
        </w:tc>
        <w:tc>
          <w:tcPr>
            <w:tcW w:w="510" w:type="dxa"/>
          </w:tcPr>
          <w:p>
            <w:pPr>
              <w:pStyle w:val="TableParagraph"/>
              <w:spacing w:line="206" w:lineRule="exact"/>
              <w:ind w:left="13"/>
              <w:rPr>
                <w:sz w:val="19"/>
              </w:rPr>
            </w:pPr>
            <w:r>
              <w:rPr>
                <w:w w:val="102"/>
                <w:sz w:val="19"/>
              </w:rPr>
              <w:t>0</w:t>
            </w:r>
          </w:p>
        </w:tc>
        <w:tc>
          <w:tcPr>
            <w:tcW w:w="525" w:type="dxa"/>
          </w:tcPr>
          <w:p>
            <w:pPr>
              <w:pStyle w:val="TableParagraph"/>
              <w:spacing w:line="206" w:lineRule="exact"/>
              <w:ind w:left="220"/>
              <w:jc w:val="left"/>
              <w:rPr>
                <w:sz w:val="19"/>
              </w:rPr>
            </w:pPr>
            <w:r>
              <w:rPr>
                <w:w w:val="102"/>
                <w:sz w:val="19"/>
              </w:rPr>
              <w:t>1</w:t>
            </w:r>
          </w:p>
        </w:tc>
        <w:tc>
          <w:tcPr>
            <w:tcW w:w="510" w:type="dxa"/>
          </w:tcPr>
          <w:p>
            <w:pPr>
              <w:pStyle w:val="TableParagraph"/>
              <w:spacing w:line="206" w:lineRule="exact"/>
              <w:ind w:left="206"/>
              <w:jc w:val="left"/>
              <w:rPr>
                <w:sz w:val="19"/>
              </w:rPr>
            </w:pPr>
            <w:r>
              <w:rPr>
                <w:w w:val="102"/>
                <w:sz w:val="19"/>
              </w:rPr>
              <w:t>0</w:t>
            </w:r>
          </w:p>
        </w:tc>
        <w:tc>
          <w:tcPr>
            <w:tcW w:w="510" w:type="dxa"/>
          </w:tcPr>
          <w:p>
            <w:pPr>
              <w:pStyle w:val="TableParagraph"/>
              <w:spacing w:line="206" w:lineRule="exact"/>
              <w:ind w:left="206"/>
              <w:jc w:val="left"/>
              <w:rPr>
                <w:sz w:val="19"/>
              </w:rPr>
            </w:pPr>
            <w:r>
              <w:rPr>
                <w:w w:val="102"/>
                <w:sz w:val="19"/>
              </w:rPr>
              <w:t>1</w:t>
            </w:r>
          </w:p>
        </w:tc>
        <w:tc>
          <w:tcPr>
            <w:tcW w:w="511" w:type="dxa"/>
          </w:tcPr>
          <w:p>
            <w:pPr>
              <w:pStyle w:val="TableParagraph"/>
              <w:spacing w:line="206" w:lineRule="exact"/>
              <w:ind w:left="16"/>
              <w:rPr>
                <w:sz w:val="19"/>
              </w:rPr>
            </w:pPr>
            <w:r>
              <w:rPr>
                <w:w w:val="102"/>
                <w:sz w:val="19"/>
              </w:rPr>
              <w:t>0</w:t>
            </w:r>
          </w:p>
        </w:tc>
        <w:tc>
          <w:tcPr>
            <w:tcW w:w="526" w:type="dxa"/>
          </w:tcPr>
          <w:p>
            <w:pPr>
              <w:pStyle w:val="TableParagraph"/>
              <w:spacing w:line="206" w:lineRule="exact"/>
              <w:ind w:left="222"/>
              <w:jc w:val="left"/>
              <w:rPr>
                <w:sz w:val="19"/>
              </w:rPr>
            </w:pPr>
            <w:r>
              <w:rPr>
                <w:w w:val="102"/>
                <w:sz w:val="19"/>
              </w:rPr>
              <w:t>0</w:t>
            </w:r>
          </w:p>
        </w:tc>
        <w:tc>
          <w:tcPr>
            <w:tcW w:w="496" w:type="dxa"/>
          </w:tcPr>
          <w:p>
            <w:pPr>
              <w:pStyle w:val="TableParagraph"/>
              <w:spacing w:line="206" w:lineRule="exact"/>
              <w:ind w:left="206"/>
              <w:jc w:val="left"/>
              <w:rPr>
                <w:sz w:val="19"/>
              </w:rPr>
            </w:pPr>
            <w:r>
              <w:rPr>
                <w:w w:val="102"/>
                <w:sz w:val="19"/>
              </w:rPr>
              <w:t>0</w:t>
            </w:r>
          </w:p>
        </w:tc>
        <w:tc>
          <w:tcPr>
            <w:tcW w:w="526" w:type="dxa"/>
          </w:tcPr>
          <w:p>
            <w:pPr>
              <w:pStyle w:val="TableParagraph"/>
              <w:spacing w:line="206" w:lineRule="exact"/>
              <w:ind w:left="28"/>
              <w:rPr>
                <w:sz w:val="19"/>
              </w:rPr>
            </w:pPr>
            <w:r>
              <w:rPr>
                <w:w w:val="102"/>
                <w:sz w:val="19"/>
              </w:rPr>
              <w:t>0</w:t>
            </w:r>
          </w:p>
        </w:tc>
        <w:tc>
          <w:tcPr>
            <w:tcW w:w="526" w:type="dxa"/>
          </w:tcPr>
          <w:p>
            <w:pPr>
              <w:pStyle w:val="TableParagraph"/>
              <w:spacing w:line="206" w:lineRule="exact"/>
              <w:ind w:right="1"/>
              <w:rPr>
                <w:sz w:val="19"/>
              </w:rPr>
            </w:pPr>
            <w:r>
              <w:rPr>
                <w:w w:val="102"/>
                <w:sz w:val="19"/>
              </w:rPr>
              <w:t>0</w:t>
            </w:r>
          </w:p>
        </w:tc>
        <w:tc>
          <w:tcPr>
            <w:tcW w:w="496" w:type="dxa"/>
          </w:tcPr>
          <w:p>
            <w:pPr>
              <w:pStyle w:val="TableParagraph"/>
              <w:spacing w:line="206" w:lineRule="exact"/>
              <w:ind w:left="25"/>
              <w:rPr>
                <w:sz w:val="19"/>
              </w:rPr>
            </w:pPr>
            <w:r>
              <w:rPr>
                <w:w w:val="102"/>
                <w:sz w:val="19"/>
              </w:rPr>
              <w:t>0</w:t>
            </w:r>
          </w:p>
        </w:tc>
        <w:tc>
          <w:tcPr>
            <w:tcW w:w="526" w:type="dxa"/>
          </w:tcPr>
          <w:p>
            <w:pPr>
              <w:pStyle w:val="TableParagraph"/>
              <w:spacing w:line="206" w:lineRule="exact"/>
              <w:ind w:left="24"/>
              <w:rPr>
                <w:sz w:val="19"/>
              </w:rPr>
            </w:pPr>
            <w:r>
              <w:rPr>
                <w:w w:val="102"/>
                <w:sz w:val="19"/>
              </w:rPr>
              <w:t>0</w:t>
            </w:r>
          </w:p>
        </w:tc>
      </w:tr>
      <w:tr>
        <w:trPr>
          <w:trHeight w:val="255" w:hRule="atLeast"/>
        </w:trPr>
        <w:tc>
          <w:tcPr>
            <w:tcW w:w="1156" w:type="dxa"/>
            <w:vMerge/>
            <w:tcBorders>
              <w:top w:val="nil"/>
            </w:tcBorders>
          </w:tcPr>
          <w:p>
            <w:pPr>
              <w:rPr>
                <w:sz w:val="2"/>
                <w:szCs w:val="2"/>
              </w:rPr>
            </w:pPr>
          </w:p>
        </w:tc>
        <w:tc>
          <w:tcPr>
            <w:tcW w:w="2777" w:type="dxa"/>
          </w:tcPr>
          <w:p>
            <w:pPr>
              <w:pStyle w:val="TableParagraph"/>
              <w:spacing w:before="3"/>
              <w:ind w:left="112"/>
              <w:jc w:val="left"/>
              <w:rPr>
                <w:sz w:val="19"/>
              </w:rPr>
            </w:pPr>
            <w:r>
              <w:rPr>
                <w:spacing w:val="-2"/>
                <w:sz w:val="19"/>
              </w:rPr>
              <w:t>Oceania</w:t>
            </w:r>
          </w:p>
        </w:tc>
        <w:tc>
          <w:tcPr>
            <w:tcW w:w="525" w:type="dxa"/>
          </w:tcPr>
          <w:p>
            <w:pPr>
              <w:pStyle w:val="TableParagraph"/>
              <w:spacing w:before="3"/>
              <w:ind w:left="217"/>
              <w:jc w:val="left"/>
              <w:rPr>
                <w:sz w:val="19"/>
              </w:rPr>
            </w:pPr>
            <w:r>
              <w:rPr>
                <w:w w:val="102"/>
                <w:sz w:val="19"/>
              </w:rPr>
              <w:t>0</w:t>
            </w:r>
          </w:p>
        </w:tc>
        <w:tc>
          <w:tcPr>
            <w:tcW w:w="495" w:type="dxa"/>
          </w:tcPr>
          <w:p>
            <w:pPr>
              <w:pStyle w:val="TableParagraph"/>
              <w:spacing w:before="3"/>
              <w:ind w:left="24"/>
              <w:rPr>
                <w:sz w:val="19"/>
              </w:rPr>
            </w:pPr>
            <w:r>
              <w:rPr>
                <w:w w:val="102"/>
                <w:sz w:val="19"/>
              </w:rPr>
              <w:t>0</w:t>
            </w:r>
          </w:p>
        </w:tc>
        <w:tc>
          <w:tcPr>
            <w:tcW w:w="510" w:type="dxa"/>
          </w:tcPr>
          <w:p>
            <w:pPr>
              <w:pStyle w:val="TableParagraph"/>
              <w:spacing w:before="3"/>
              <w:ind w:left="10"/>
              <w:rPr>
                <w:sz w:val="19"/>
              </w:rPr>
            </w:pPr>
            <w:r>
              <w:rPr>
                <w:w w:val="102"/>
                <w:sz w:val="19"/>
              </w:rPr>
              <w:t>0</w:t>
            </w:r>
          </w:p>
        </w:tc>
        <w:tc>
          <w:tcPr>
            <w:tcW w:w="525" w:type="dxa"/>
          </w:tcPr>
          <w:p>
            <w:pPr>
              <w:pStyle w:val="TableParagraph"/>
              <w:spacing w:before="3"/>
              <w:ind w:left="218"/>
              <w:jc w:val="left"/>
              <w:rPr>
                <w:sz w:val="19"/>
              </w:rPr>
            </w:pPr>
            <w:r>
              <w:rPr>
                <w:w w:val="102"/>
                <w:sz w:val="19"/>
              </w:rPr>
              <w:t>0</w:t>
            </w:r>
          </w:p>
        </w:tc>
        <w:tc>
          <w:tcPr>
            <w:tcW w:w="525" w:type="dxa"/>
          </w:tcPr>
          <w:p>
            <w:pPr>
              <w:pStyle w:val="TableParagraph"/>
              <w:spacing w:before="3"/>
              <w:ind w:right="190"/>
              <w:jc w:val="right"/>
              <w:rPr>
                <w:sz w:val="19"/>
              </w:rPr>
            </w:pPr>
            <w:r>
              <w:rPr>
                <w:w w:val="102"/>
                <w:sz w:val="19"/>
              </w:rPr>
              <w:t>0</w:t>
            </w:r>
          </w:p>
        </w:tc>
        <w:tc>
          <w:tcPr>
            <w:tcW w:w="510" w:type="dxa"/>
          </w:tcPr>
          <w:p>
            <w:pPr>
              <w:pStyle w:val="TableParagraph"/>
              <w:spacing w:before="3"/>
              <w:ind w:left="12"/>
              <w:rPr>
                <w:sz w:val="19"/>
              </w:rPr>
            </w:pPr>
            <w:r>
              <w:rPr>
                <w:w w:val="102"/>
                <w:sz w:val="19"/>
              </w:rPr>
              <w:t>0</w:t>
            </w:r>
          </w:p>
        </w:tc>
        <w:tc>
          <w:tcPr>
            <w:tcW w:w="510" w:type="dxa"/>
          </w:tcPr>
          <w:p>
            <w:pPr>
              <w:pStyle w:val="TableParagraph"/>
              <w:spacing w:before="3"/>
              <w:ind w:left="13"/>
              <w:rPr>
                <w:sz w:val="19"/>
              </w:rPr>
            </w:pPr>
            <w:r>
              <w:rPr>
                <w:w w:val="102"/>
                <w:sz w:val="19"/>
              </w:rPr>
              <w:t>0</w:t>
            </w:r>
          </w:p>
        </w:tc>
        <w:tc>
          <w:tcPr>
            <w:tcW w:w="525" w:type="dxa"/>
          </w:tcPr>
          <w:p>
            <w:pPr>
              <w:pStyle w:val="TableParagraph"/>
              <w:spacing w:before="3"/>
              <w:ind w:left="220"/>
              <w:jc w:val="left"/>
              <w:rPr>
                <w:sz w:val="19"/>
              </w:rPr>
            </w:pPr>
            <w:r>
              <w:rPr>
                <w:w w:val="102"/>
                <w:sz w:val="19"/>
              </w:rPr>
              <w:t>0</w:t>
            </w:r>
          </w:p>
        </w:tc>
        <w:tc>
          <w:tcPr>
            <w:tcW w:w="510" w:type="dxa"/>
          </w:tcPr>
          <w:p>
            <w:pPr>
              <w:pStyle w:val="TableParagraph"/>
              <w:spacing w:before="3"/>
              <w:ind w:left="206"/>
              <w:jc w:val="left"/>
              <w:rPr>
                <w:sz w:val="19"/>
              </w:rPr>
            </w:pPr>
            <w:r>
              <w:rPr>
                <w:w w:val="102"/>
                <w:sz w:val="19"/>
              </w:rPr>
              <w:t>1</w:t>
            </w:r>
          </w:p>
        </w:tc>
        <w:tc>
          <w:tcPr>
            <w:tcW w:w="510" w:type="dxa"/>
          </w:tcPr>
          <w:p>
            <w:pPr>
              <w:pStyle w:val="TableParagraph"/>
              <w:spacing w:before="3"/>
              <w:ind w:left="206"/>
              <w:jc w:val="left"/>
              <w:rPr>
                <w:sz w:val="19"/>
              </w:rPr>
            </w:pPr>
            <w:r>
              <w:rPr>
                <w:w w:val="102"/>
                <w:sz w:val="19"/>
              </w:rPr>
              <w:t>0</w:t>
            </w:r>
          </w:p>
        </w:tc>
        <w:tc>
          <w:tcPr>
            <w:tcW w:w="511" w:type="dxa"/>
          </w:tcPr>
          <w:p>
            <w:pPr>
              <w:pStyle w:val="TableParagraph"/>
              <w:spacing w:before="3"/>
              <w:ind w:left="16"/>
              <w:rPr>
                <w:sz w:val="19"/>
              </w:rPr>
            </w:pPr>
            <w:r>
              <w:rPr>
                <w:w w:val="102"/>
                <w:sz w:val="19"/>
              </w:rPr>
              <w:t>0</w:t>
            </w:r>
          </w:p>
        </w:tc>
        <w:tc>
          <w:tcPr>
            <w:tcW w:w="526" w:type="dxa"/>
          </w:tcPr>
          <w:p>
            <w:pPr>
              <w:pStyle w:val="TableParagraph"/>
              <w:spacing w:before="3"/>
              <w:ind w:left="222"/>
              <w:jc w:val="left"/>
              <w:rPr>
                <w:sz w:val="19"/>
              </w:rPr>
            </w:pPr>
            <w:r>
              <w:rPr>
                <w:w w:val="102"/>
                <w:sz w:val="19"/>
              </w:rPr>
              <w:t>0</w:t>
            </w:r>
          </w:p>
        </w:tc>
        <w:tc>
          <w:tcPr>
            <w:tcW w:w="496" w:type="dxa"/>
          </w:tcPr>
          <w:p>
            <w:pPr>
              <w:pStyle w:val="TableParagraph"/>
              <w:spacing w:before="3"/>
              <w:ind w:left="206"/>
              <w:jc w:val="left"/>
              <w:rPr>
                <w:sz w:val="19"/>
              </w:rPr>
            </w:pPr>
            <w:r>
              <w:rPr>
                <w:w w:val="102"/>
                <w:sz w:val="19"/>
              </w:rPr>
              <w:t>0</w:t>
            </w:r>
          </w:p>
        </w:tc>
        <w:tc>
          <w:tcPr>
            <w:tcW w:w="526" w:type="dxa"/>
          </w:tcPr>
          <w:p>
            <w:pPr>
              <w:pStyle w:val="TableParagraph"/>
              <w:spacing w:before="3"/>
              <w:ind w:left="28"/>
              <w:rPr>
                <w:sz w:val="19"/>
              </w:rPr>
            </w:pPr>
            <w:r>
              <w:rPr>
                <w:w w:val="102"/>
                <w:sz w:val="19"/>
              </w:rPr>
              <w:t>0</w:t>
            </w:r>
          </w:p>
        </w:tc>
        <w:tc>
          <w:tcPr>
            <w:tcW w:w="526" w:type="dxa"/>
          </w:tcPr>
          <w:p>
            <w:pPr>
              <w:pStyle w:val="TableParagraph"/>
              <w:spacing w:before="3"/>
              <w:ind w:right="1"/>
              <w:rPr>
                <w:sz w:val="19"/>
              </w:rPr>
            </w:pPr>
            <w:r>
              <w:rPr>
                <w:w w:val="102"/>
                <w:sz w:val="19"/>
              </w:rPr>
              <w:t>0</w:t>
            </w:r>
          </w:p>
        </w:tc>
        <w:tc>
          <w:tcPr>
            <w:tcW w:w="496" w:type="dxa"/>
          </w:tcPr>
          <w:p>
            <w:pPr>
              <w:pStyle w:val="TableParagraph"/>
              <w:spacing w:before="3"/>
              <w:ind w:left="25"/>
              <w:rPr>
                <w:sz w:val="19"/>
              </w:rPr>
            </w:pPr>
            <w:r>
              <w:rPr>
                <w:w w:val="102"/>
                <w:sz w:val="19"/>
              </w:rPr>
              <w:t>0</w:t>
            </w:r>
          </w:p>
        </w:tc>
        <w:tc>
          <w:tcPr>
            <w:tcW w:w="526" w:type="dxa"/>
          </w:tcPr>
          <w:p>
            <w:pPr>
              <w:pStyle w:val="TableParagraph"/>
              <w:spacing w:before="3"/>
              <w:ind w:left="24"/>
              <w:rPr>
                <w:sz w:val="19"/>
              </w:rPr>
            </w:pPr>
            <w:r>
              <w:rPr>
                <w:w w:val="102"/>
                <w:sz w:val="19"/>
              </w:rPr>
              <w:t>0</w:t>
            </w:r>
          </w:p>
        </w:tc>
      </w:tr>
      <w:tr>
        <w:trPr>
          <w:trHeight w:val="465" w:hRule="atLeast"/>
        </w:trPr>
        <w:tc>
          <w:tcPr>
            <w:tcW w:w="1156" w:type="dxa"/>
            <w:vMerge w:val="restart"/>
          </w:tcPr>
          <w:p>
            <w:pPr>
              <w:pStyle w:val="TableParagraph"/>
              <w:spacing w:line="247" w:lineRule="auto" w:before="2"/>
              <w:ind w:left="262" w:hanging="60"/>
              <w:jc w:val="left"/>
              <w:rPr>
                <w:sz w:val="19"/>
              </w:rPr>
            </w:pPr>
            <w:r>
              <w:rPr>
                <w:spacing w:val="-2"/>
                <w:sz w:val="19"/>
              </w:rPr>
              <w:t>Emerging Regions</w:t>
            </w:r>
          </w:p>
        </w:tc>
        <w:tc>
          <w:tcPr>
            <w:tcW w:w="2777" w:type="dxa"/>
          </w:tcPr>
          <w:p>
            <w:pPr>
              <w:pStyle w:val="TableParagraph"/>
              <w:spacing w:before="2"/>
              <w:ind w:left="112"/>
              <w:jc w:val="left"/>
              <w:rPr>
                <w:sz w:val="19"/>
              </w:rPr>
            </w:pPr>
            <w:r>
              <w:rPr>
                <w:sz w:val="19"/>
              </w:rPr>
              <w:t>Latin</w:t>
            </w:r>
            <w:r>
              <w:rPr>
                <w:spacing w:val="27"/>
                <w:sz w:val="19"/>
              </w:rPr>
              <w:t> </w:t>
            </w:r>
            <w:r>
              <w:rPr>
                <w:sz w:val="19"/>
              </w:rPr>
              <w:t>America,</w:t>
            </w:r>
            <w:r>
              <w:rPr>
                <w:spacing w:val="11"/>
                <w:sz w:val="19"/>
              </w:rPr>
              <w:t> </w:t>
            </w:r>
            <w:r>
              <w:rPr>
                <w:sz w:val="19"/>
              </w:rPr>
              <w:t>the</w:t>
            </w:r>
            <w:r>
              <w:rPr>
                <w:spacing w:val="21"/>
                <w:sz w:val="19"/>
              </w:rPr>
              <w:t> </w:t>
            </w:r>
            <w:r>
              <w:rPr>
                <w:spacing w:val="-2"/>
                <w:sz w:val="19"/>
              </w:rPr>
              <w:t>Caribbean,</w:t>
            </w:r>
          </w:p>
          <w:p>
            <w:pPr>
              <w:pStyle w:val="TableParagraph"/>
              <w:spacing w:line="217" w:lineRule="exact" w:before="7"/>
              <w:ind w:left="112"/>
              <w:jc w:val="left"/>
              <w:rPr>
                <w:sz w:val="19"/>
              </w:rPr>
            </w:pPr>
            <w:r>
              <w:rPr>
                <w:sz w:val="19"/>
              </w:rPr>
              <w:t>and</w:t>
            </w:r>
            <w:r>
              <w:rPr>
                <w:spacing w:val="28"/>
                <w:sz w:val="19"/>
              </w:rPr>
              <w:t> </w:t>
            </w:r>
            <w:r>
              <w:rPr>
                <w:sz w:val="19"/>
              </w:rPr>
              <w:t>Mexico</w:t>
            </w:r>
            <w:r>
              <w:rPr>
                <w:spacing w:val="29"/>
                <w:sz w:val="19"/>
              </w:rPr>
              <w:t> </w:t>
            </w:r>
            <w:r>
              <w:rPr>
                <w:spacing w:val="-2"/>
                <w:sz w:val="19"/>
              </w:rPr>
              <w:t>(LAC)</w:t>
            </w:r>
          </w:p>
        </w:tc>
        <w:tc>
          <w:tcPr>
            <w:tcW w:w="525" w:type="dxa"/>
          </w:tcPr>
          <w:p>
            <w:pPr>
              <w:pStyle w:val="TableParagraph"/>
              <w:spacing w:before="2"/>
              <w:ind w:left="217"/>
              <w:jc w:val="left"/>
              <w:rPr>
                <w:sz w:val="19"/>
              </w:rPr>
            </w:pPr>
            <w:r>
              <w:rPr>
                <w:w w:val="102"/>
                <w:sz w:val="19"/>
              </w:rPr>
              <w:t>1</w:t>
            </w:r>
          </w:p>
        </w:tc>
        <w:tc>
          <w:tcPr>
            <w:tcW w:w="495" w:type="dxa"/>
          </w:tcPr>
          <w:p>
            <w:pPr>
              <w:pStyle w:val="TableParagraph"/>
              <w:spacing w:before="2"/>
              <w:ind w:left="24"/>
              <w:rPr>
                <w:sz w:val="19"/>
              </w:rPr>
            </w:pPr>
            <w:r>
              <w:rPr>
                <w:w w:val="102"/>
                <w:sz w:val="19"/>
              </w:rPr>
              <w:t>3</w:t>
            </w:r>
          </w:p>
        </w:tc>
        <w:tc>
          <w:tcPr>
            <w:tcW w:w="510" w:type="dxa"/>
          </w:tcPr>
          <w:p>
            <w:pPr>
              <w:pStyle w:val="TableParagraph"/>
              <w:spacing w:before="2"/>
              <w:ind w:left="10"/>
              <w:rPr>
                <w:sz w:val="19"/>
              </w:rPr>
            </w:pPr>
            <w:r>
              <w:rPr>
                <w:w w:val="102"/>
                <w:sz w:val="19"/>
              </w:rPr>
              <w:t>8</w:t>
            </w:r>
          </w:p>
        </w:tc>
        <w:tc>
          <w:tcPr>
            <w:tcW w:w="525" w:type="dxa"/>
          </w:tcPr>
          <w:p>
            <w:pPr>
              <w:pStyle w:val="TableParagraph"/>
              <w:spacing w:before="2"/>
              <w:ind w:left="218"/>
              <w:jc w:val="left"/>
              <w:rPr>
                <w:sz w:val="19"/>
              </w:rPr>
            </w:pPr>
            <w:r>
              <w:rPr>
                <w:w w:val="102"/>
                <w:sz w:val="19"/>
              </w:rPr>
              <w:t>1</w:t>
            </w:r>
          </w:p>
        </w:tc>
        <w:tc>
          <w:tcPr>
            <w:tcW w:w="525" w:type="dxa"/>
          </w:tcPr>
          <w:p>
            <w:pPr>
              <w:pStyle w:val="TableParagraph"/>
              <w:spacing w:before="2"/>
              <w:ind w:right="190"/>
              <w:jc w:val="right"/>
              <w:rPr>
                <w:sz w:val="19"/>
              </w:rPr>
            </w:pPr>
            <w:r>
              <w:rPr>
                <w:w w:val="102"/>
                <w:sz w:val="19"/>
              </w:rPr>
              <w:t>1</w:t>
            </w:r>
          </w:p>
        </w:tc>
        <w:tc>
          <w:tcPr>
            <w:tcW w:w="510" w:type="dxa"/>
          </w:tcPr>
          <w:p>
            <w:pPr>
              <w:pStyle w:val="TableParagraph"/>
              <w:spacing w:before="2"/>
              <w:ind w:left="12"/>
              <w:rPr>
                <w:sz w:val="19"/>
              </w:rPr>
            </w:pPr>
            <w:r>
              <w:rPr>
                <w:w w:val="102"/>
                <w:sz w:val="19"/>
              </w:rPr>
              <w:t>1</w:t>
            </w:r>
          </w:p>
        </w:tc>
        <w:tc>
          <w:tcPr>
            <w:tcW w:w="510" w:type="dxa"/>
          </w:tcPr>
          <w:p>
            <w:pPr>
              <w:pStyle w:val="TableParagraph"/>
              <w:spacing w:before="2"/>
              <w:ind w:left="13"/>
              <w:rPr>
                <w:sz w:val="19"/>
              </w:rPr>
            </w:pPr>
            <w:r>
              <w:rPr>
                <w:w w:val="102"/>
                <w:sz w:val="19"/>
              </w:rPr>
              <w:t>2</w:t>
            </w:r>
          </w:p>
        </w:tc>
        <w:tc>
          <w:tcPr>
            <w:tcW w:w="525" w:type="dxa"/>
          </w:tcPr>
          <w:p>
            <w:pPr>
              <w:pStyle w:val="TableParagraph"/>
              <w:spacing w:before="2"/>
              <w:ind w:left="220"/>
              <w:jc w:val="left"/>
              <w:rPr>
                <w:sz w:val="19"/>
              </w:rPr>
            </w:pPr>
            <w:r>
              <w:rPr>
                <w:w w:val="102"/>
                <w:sz w:val="19"/>
              </w:rPr>
              <w:t>3</w:t>
            </w:r>
          </w:p>
        </w:tc>
        <w:tc>
          <w:tcPr>
            <w:tcW w:w="510" w:type="dxa"/>
          </w:tcPr>
          <w:p>
            <w:pPr>
              <w:pStyle w:val="TableParagraph"/>
              <w:spacing w:before="2"/>
              <w:ind w:left="206"/>
              <w:jc w:val="left"/>
              <w:rPr>
                <w:sz w:val="19"/>
              </w:rPr>
            </w:pPr>
            <w:r>
              <w:rPr>
                <w:w w:val="102"/>
                <w:sz w:val="19"/>
              </w:rPr>
              <w:t>0</w:t>
            </w:r>
          </w:p>
        </w:tc>
        <w:tc>
          <w:tcPr>
            <w:tcW w:w="510" w:type="dxa"/>
          </w:tcPr>
          <w:p>
            <w:pPr>
              <w:pStyle w:val="TableParagraph"/>
              <w:spacing w:before="2"/>
              <w:ind w:left="206"/>
              <w:jc w:val="left"/>
              <w:rPr>
                <w:sz w:val="19"/>
              </w:rPr>
            </w:pPr>
            <w:r>
              <w:rPr>
                <w:w w:val="102"/>
                <w:sz w:val="19"/>
              </w:rPr>
              <w:t>0</w:t>
            </w:r>
          </w:p>
        </w:tc>
        <w:tc>
          <w:tcPr>
            <w:tcW w:w="511" w:type="dxa"/>
          </w:tcPr>
          <w:p>
            <w:pPr>
              <w:pStyle w:val="TableParagraph"/>
              <w:spacing w:before="2"/>
              <w:ind w:left="16"/>
              <w:rPr>
                <w:sz w:val="19"/>
              </w:rPr>
            </w:pPr>
            <w:r>
              <w:rPr>
                <w:w w:val="102"/>
                <w:sz w:val="19"/>
              </w:rPr>
              <w:t>0</w:t>
            </w:r>
          </w:p>
        </w:tc>
        <w:tc>
          <w:tcPr>
            <w:tcW w:w="526" w:type="dxa"/>
          </w:tcPr>
          <w:p>
            <w:pPr>
              <w:pStyle w:val="TableParagraph"/>
              <w:spacing w:before="2"/>
              <w:ind w:left="222"/>
              <w:jc w:val="left"/>
              <w:rPr>
                <w:sz w:val="19"/>
              </w:rPr>
            </w:pPr>
            <w:r>
              <w:rPr>
                <w:w w:val="102"/>
                <w:sz w:val="19"/>
              </w:rPr>
              <w:t>0</w:t>
            </w:r>
          </w:p>
        </w:tc>
        <w:tc>
          <w:tcPr>
            <w:tcW w:w="496" w:type="dxa"/>
          </w:tcPr>
          <w:p>
            <w:pPr>
              <w:pStyle w:val="TableParagraph"/>
              <w:spacing w:before="2"/>
              <w:ind w:left="206"/>
              <w:jc w:val="left"/>
              <w:rPr>
                <w:sz w:val="19"/>
              </w:rPr>
            </w:pPr>
            <w:r>
              <w:rPr>
                <w:w w:val="102"/>
                <w:sz w:val="19"/>
              </w:rPr>
              <w:t>0</w:t>
            </w:r>
          </w:p>
        </w:tc>
        <w:tc>
          <w:tcPr>
            <w:tcW w:w="526" w:type="dxa"/>
          </w:tcPr>
          <w:p>
            <w:pPr>
              <w:pStyle w:val="TableParagraph"/>
              <w:spacing w:before="2"/>
              <w:ind w:left="28"/>
              <w:rPr>
                <w:sz w:val="19"/>
              </w:rPr>
            </w:pPr>
            <w:r>
              <w:rPr>
                <w:w w:val="102"/>
                <w:sz w:val="19"/>
              </w:rPr>
              <w:t>0</w:t>
            </w:r>
          </w:p>
        </w:tc>
        <w:tc>
          <w:tcPr>
            <w:tcW w:w="526" w:type="dxa"/>
          </w:tcPr>
          <w:p>
            <w:pPr>
              <w:pStyle w:val="TableParagraph"/>
              <w:spacing w:before="2"/>
              <w:ind w:right="1"/>
              <w:rPr>
                <w:sz w:val="19"/>
              </w:rPr>
            </w:pPr>
            <w:r>
              <w:rPr>
                <w:w w:val="102"/>
                <w:sz w:val="19"/>
              </w:rPr>
              <w:t>0</w:t>
            </w:r>
          </w:p>
        </w:tc>
        <w:tc>
          <w:tcPr>
            <w:tcW w:w="496" w:type="dxa"/>
          </w:tcPr>
          <w:p>
            <w:pPr>
              <w:pStyle w:val="TableParagraph"/>
              <w:spacing w:before="2"/>
              <w:ind w:left="25"/>
              <w:rPr>
                <w:sz w:val="19"/>
              </w:rPr>
            </w:pPr>
            <w:r>
              <w:rPr>
                <w:w w:val="102"/>
                <w:sz w:val="19"/>
              </w:rPr>
              <w:t>0</w:t>
            </w:r>
          </w:p>
        </w:tc>
        <w:tc>
          <w:tcPr>
            <w:tcW w:w="526" w:type="dxa"/>
          </w:tcPr>
          <w:p>
            <w:pPr>
              <w:pStyle w:val="TableParagraph"/>
              <w:spacing w:before="2"/>
              <w:ind w:left="24"/>
              <w:rPr>
                <w:sz w:val="19"/>
              </w:rPr>
            </w:pPr>
            <w:r>
              <w:rPr>
                <w:w w:val="102"/>
                <w:sz w:val="19"/>
              </w:rPr>
              <w:t>0</w:t>
            </w:r>
          </w:p>
        </w:tc>
      </w:tr>
      <w:tr>
        <w:trPr>
          <w:trHeight w:val="450" w:hRule="atLeast"/>
        </w:trPr>
        <w:tc>
          <w:tcPr>
            <w:tcW w:w="1156" w:type="dxa"/>
            <w:vMerge/>
            <w:tcBorders>
              <w:top w:val="nil"/>
            </w:tcBorders>
          </w:tcPr>
          <w:p>
            <w:pPr>
              <w:rPr>
                <w:sz w:val="2"/>
                <w:szCs w:val="2"/>
              </w:rPr>
            </w:pPr>
          </w:p>
        </w:tc>
        <w:tc>
          <w:tcPr>
            <w:tcW w:w="2777" w:type="dxa"/>
          </w:tcPr>
          <w:p>
            <w:pPr>
              <w:pStyle w:val="TableParagraph"/>
              <w:spacing w:line="207" w:lineRule="exact"/>
              <w:ind w:left="112"/>
              <w:jc w:val="left"/>
              <w:rPr>
                <w:sz w:val="19"/>
              </w:rPr>
            </w:pPr>
            <w:r>
              <w:rPr>
                <w:sz w:val="19"/>
              </w:rPr>
              <w:t>Middle</w:t>
            </w:r>
            <w:r>
              <w:rPr>
                <w:spacing w:val="36"/>
                <w:sz w:val="19"/>
              </w:rPr>
              <w:t> </w:t>
            </w:r>
            <w:r>
              <w:rPr>
                <w:sz w:val="19"/>
              </w:rPr>
              <w:t>East</w:t>
            </w:r>
            <w:r>
              <w:rPr>
                <w:spacing w:val="18"/>
                <w:sz w:val="19"/>
              </w:rPr>
              <w:t> </w:t>
            </w:r>
            <w:r>
              <w:rPr>
                <w:sz w:val="19"/>
              </w:rPr>
              <w:t>and</w:t>
            </w:r>
            <w:r>
              <w:rPr>
                <w:spacing w:val="22"/>
                <w:sz w:val="19"/>
              </w:rPr>
              <w:t> </w:t>
            </w:r>
            <w:r>
              <w:rPr>
                <w:sz w:val="19"/>
              </w:rPr>
              <w:t>North</w:t>
            </w:r>
            <w:r>
              <w:rPr>
                <w:spacing w:val="21"/>
                <w:sz w:val="19"/>
              </w:rPr>
              <w:t> </w:t>
            </w:r>
            <w:r>
              <w:rPr>
                <w:spacing w:val="-2"/>
                <w:sz w:val="19"/>
              </w:rPr>
              <w:t>Africa</w:t>
            </w:r>
          </w:p>
          <w:p>
            <w:pPr>
              <w:pStyle w:val="TableParagraph"/>
              <w:spacing w:line="203" w:lineRule="exact" w:before="21"/>
              <w:ind w:left="112"/>
              <w:jc w:val="left"/>
              <w:rPr>
                <w:sz w:val="19"/>
              </w:rPr>
            </w:pPr>
            <w:r>
              <w:rPr>
                <w:spacing w:val="-2"/>
                <w:sz w:val="19"/>
              </w:rPr>
              <w:t>(MENA)</w:t>
            </w:r>
          </w:p>
        </w:tc>
        <w:tc>
          <w:tcPr>
            <w:tcW w:w="525" w:type="dxa"/>
          </w:tcPr>
          <w:p>
            <w:pPr>
              <w:pStyle w:val="TableParagraph"/>
              <w:spacing w:line="207" w:lineRule="exact"/>
              <w:ind w:left="217"/>
              <w:jc w:val="left"/>
              <w:rPr>
                <w:sz w:val="19"/>
              </w:rPr>
            </w:pPr>
            <w:r>
              <w:rPr>
                <w:w w:val="102"/>
                <w:sz w:val="19"/>
              </w:rPr>
              <w:t>1</w:t>
            </w:r>
          </w:p>
        </w:tc>
        <w:tc>
          <w:tcPr>
            <w:tcW w:w="495" w:type="dxa"/>
          </w:tcPr>
          <w:p>
            <w:pPr>
              <w:pStyle w:val="TableParagraph"/>
              <w:spacing w:line="207" w:lineRule="exact"/>
              <w:ind w:left="24"/>
              <w:rPr>
                <w:sz w:val="19"/>
              </w:rPr>
            </w:pPr>
            <w:r>
              <w:rPr>
                <w:w w:val="102"/>
                <w:sz w:val="19"/>
              </w:rPr>
              <w:t>0</w:t>
            </w:r>
          </w:p>
        </w:tc>
        <w:tc>
          <w:tcPr>
            <w:tcW w:w="510" w:type="dxa"/>
          </w:tcPr>
          <w:p>
            <w:pPr>
              <w:pStyle w:val="TableParagraph"/>
              <w:spacing w:line="207" w:lineRule="exact"/>
              <w:ind w:left="10"/>
              <w:rPr>
                <w:sz w:val="19"/>
              </w:rPr>
            </w:pPr>
            <w:r>
              <w:rPr>
                <w:w w:val="102"/>
                <w:sz w:val="19"/>
              </w:rPr>
              <w:t>3</w:t>
            </w:r>
          </w:p>
        </w:tc>
        <w:tc>
          <w:tcPr>
            <w:tcW w:w="525" w:type="dxa"/>
          </w:tcPr>
          <w:p>
            <w:pPr>
              <w:pStyle w:val="TableParagraph"/>
              <w:spacing w:line="207" w:lineRule="exact"/>
              <w:ind w:left="218"/>
              <w:jc w:val="left"/>
              <w:rPr>
                <w:sz w:val="19"/>
              </w:rPr>
            </w:pPr>
            <w:r>
              <w:rPr>
                <w:w w:val="102"/>
                <w:sz w:val="19"/>
              </w:rPr>
              <w:t>0</w:t>
            </w:r>
          </w:p>
        </w:tc>
        <w:tc>
          <w:tcPr>
            <w:tcW w:w="525" w:type="dxa"/>
          </w:tcPr>
          <w:p>
            <w:pPr>
              <w:pStyle w:val="TableParagraph"/>
              <w:spacing w:line="207" w:lineRule="exact"/>
              <w:ind w:right="190"/>
              <w:jc w:val="right"/>
              <w:rPr>
                <w:sz w:val="19"/>
              </w:rPr>
            </w:pPr>
            <w:r>
              <w:rPr>
                <w:w w:val="102"/>
                <w:sz w:val="19"/>
              </w:rPr>
              <w:t>0</w:t>
            </w:r>
          </w:p>
        </w:tc>
        <w:tc>
          <w:tcPr>
            <w:tcW w:w="510" w:type="dxa"/>
          </w:tcPr>
          <w:p>
            <w:pPr>
              <w:pStyle w:val="TableParagraph"/>
              <w:spacing w:line="207" w:lineRule="exact"/>
              <w:ind w:left="12"/>
              <w:rPr>
                <w:sz w:val="19"/>
              </w:rPr>
            </w:pPr>
            <w:r>
              <w:rPr>
                <w:w w:val="102"/>
                <w:sz w:val="19"/>
              </w:rPr>
              <w:t>0</w:t>
            </w:r>
          </w:p>
        </w:tc>
        <w:tc>
          <w:tcPr>
            <w:tcW w:w="510" w:type="dxa"/>
          </w:tcPr>
          <w:p>
            <w:pPr>
              <w:pStyle w:val="TableParagraph"/>
              <w:spacing w:line="207" w:lineRule="exact"/>
              <w:ind w:left="13"/>
              <w:rPr>
                <w:sz w:val="19"/>
              </w:rPr>
            </w:pPr>
            <w:r>
              <w:rPr>
                <w:w w:val="102"/>
                <w:sz w:val="19"/>
              </w:rPr>
              <w:t>0</w:t>
            </w:r>
          </w:p>
        </w:tc>
        <w:tc>
          <w:tcPr>
            <w:tcW w:w="525" w:type="dxa"/>
          </w:tcPr>
          <w:p>
            <w:pPr>
              <w:pStyle w:val="TableParagraph"/>
              <w:spacing w:line="207" w:lineRule="exact"/>
              <w:ind w:left="220"/>
              <w:jc w:val="left"/>
              <w:rPr>
                <w:sz w:val="19"/>
              </w:rPr>
            </w:pPr>
            <w:r>
              <w:rPr>
                <w:w w:val="102"/>
                <w:sz w:val="19"/>
              </w:rPr>
              <w:t>2</w:t>
            </w:r>
          </w:p>
        </w:tc>
        <w:tc>
          <w:tcPr>
            <w:tcW w:w="510" w:type="dxa"/>
          </w:tcPr>
          <w:p>
            <w:pPr>
              <w:pStyle w:val="TableParagraph"/>
              <w:spacing w:line="207" w:lineRule="exact"/>
              <w:ind w:left="206"/>
              <w:jc w:val="left"/>
              <w:rPr>
                <w:sz w:val="19"/>
              </w:rPr>
            </w:pPr>
            <w:r>
              <w:rPr>
                <w:w w:val="102"/>
                <w:sz w:val="19"/>
              </w:rPr>
              <w:t>0</w:t>
            </w:r>
          </w:p>
        </w:tc>
        <w:tc>
          <w:tcPr>
            <w:tcW w:w="510" w:type="dxa"/>
          </w:tcPr>
          <w:p>
            <w:pPr>
              <w:pStyle w:val="TableParagraph"/>
              <w:spacing w:line="207" w:lineRule="exact"/>
              <w:ind w:left="206"/>
              <w:jc w:val="left"/>
              <w:rPr>
                <w:sz w:val="19"/>
              </w:rPr>
            </w:pPr>
            <w:r>
              <w:rPr>
                <w:w w:val="102"/>
                <w:sz w:val="19"/>
              </w:rPr>
              <w:t>1</w:t>
            </w:r>
          </w:p>
        </w:tc>
        <w:tc>
          <w:tcPr>
            <w:tcW w:w="511" w:type="dxa"/>
          </w:tcPr>
          <w:p>
            <w:pPr>
              <w:pStyle w:val="TableParagraph"/>
              <w:spacing w:line="207" w:lineRule="exact"/>
              <w:ind w:left="16"/>
              <w:rPr>
                <w:sz w:val="19"/>
              </w:rPr>
            </w:pPr>
            <w:r>
              <w:rPr>
                <w:w w:val="102"/>
                <w:sz w:val="19"/>
              </w:rPr>
              <w:t>1</w:t>
            </w:r>
          </w:p>
        </w:tc>
        <w:tc>
          <w:tcPr>
            <w:tcW w:w="526" w:type="dxa"/>
          </w:tcPr>
          <w:p>
            <w:pPr>
              <w:pStyle w:val="TableParagraph"/>
              <w:spacing w:line="207" w:lineRule="exact"/>
              <w:ind w:left="222"/>
              <w:jc w:val="left"/>
              <w:rPr>
                <w:sz w:val="19"/>
              </w:rPr>
            </w:pPr>
            <w:r>
              <w:rPr>
                <w:w w:val="102"/>
                <w:sz w:val="19"/>
              </w:rPr>
              <w:t>1</w:t>
            </w:r>
          </w:p>
        </w:tc>
        <w:tc>
          <w:tcPr>
            <w:tcW w:w="496" w:type="dxa"/>
          </w:tcPr>
          <w:p>
            <w:pPr>
              <w:pStyle w:val="TableParagraph"/>
              <w:spacing w:line="207" w:lineRule="exact"/>
              <w:ind w:left="206"/>
              <w:jc w:val="left"/>
              <w:rPr>
                <w:sz w:val="19"/>
              </w:rPr>
            </w:pPr>
            <w:r>
              <w:rPr>
                <w:w w:val="102"/>
                <w:sz w:val="19"/>
              </w:rPr>
              <w:t>0</w:t>
            </w:r>
          </w:p>
        </w:tc>
        <w:tc>
          <w:tcPr>
            <w:tcW w:w="526" w:type="dxa"/>
          </w:tcPr>
          <w:p>
            <w:pPr>
              <w:pStyle w:val="TableParagraph"/>
              <w:spacing w:line="207" w:lineRule="exact"/>
              <w:ind w:left="28"/>
              <w:rPr>
                <w:sz w:val="19"/>
              </w:rPr>
            </w:pPr>
            <w:r>
              <w:rPr>
                <w:w w:val="102"/>
                <w:sz w:val="19"/>
              </w:rPr>
              <w:t>0</w:t>
            </w:r>
          </w:p>
        </w:tc>
        <w:tc>
          <w:tcPr>
            <w:tcW w:w="526" w:type="dxa"/>
          </w:tcPr>
          <w:p>
            <w:pPr>
              <w:pStyle w:val="TableParagraph"/>
              <w:spacing w:line="207" w:lineRule="exact"/>
              <w:ind w:right="1"/>
              <w:rPr>
                <w:sz w:val="19"/>
              </w:rPr>
            </w:pPr>
            <w:r>
              <w:rPr>
                <w:w w:val="102"/>
                <w:sz w:val="19"/>
              </w:rPr>
              <w:t>0</w:t>
            </w:r>
          </w:p>
        </w:tc>
        <w:tc>
          <w:tcPr>
            <w:tcW w:w="496" w:type="dxa"/>
          </w:tcPr>
          <w:p>
            <w:pPr>
              <w:pStyle w:val="TableParagraph"/>
              <w:spacing w:line="207" w:lineRule="exact"/>
              <w:ind w:left="25"/>
              <w:rPr>
                <w:sz w:val="19"/>
              </w:rPr>
            </w:pPr>
            <w:r>
              <w:rPr>
                <w:w w:val="102"/>
                <w:sz w:val="19"/>
              </w:rPr>
              <w:t>0</w:t>
            </w:r>
          </w:p>
        </w:tc>
        <w:tc>
          <w:tcPr>
            <w:tcW w:w="526" w:type="dxa"/>
          </w:tcPr>
          <w:p>
            <w:pPr>
              <w:pStyle w:val="TableParagraph"/>
              <w:spacing w:line="207" w:lineRule="exact"/>
              <w:ind w:left="24"/>
              <w:rPr>
                <w:sz w:val="19"/>
              </w:rPr>
            </w:pPr>
            <w:r>
              <w:rPr>
                <w:w w:val="102"/>
                <w:sz w:val="19"/>
              </w:rPr>
              <w:t>0</w:t>
            </w:r>
          </w:p>
        </w:tc>
      </w:tr>
      <w:tr>
        <w:trPr>
          <w:trHeight w:val="255" w:hRule="atLeast"/>
        </w:trPr>
        <w:tc>
          <w:tcPr>
            <w:tcW w:w="1156" w:type="dxa"/>
            <w:vMerge/>
            <w:tcBorders>
              <w:top w:val="nil"/>
            </w:tcBorders>
          </w:tcPr>
          <w:p>
            <w:pPr>
              <w:rPr>
                <w:sz w:val="2"/>
                <w:szCs w:val="2"/>
              </w:rPr>
            </w:pPr>
          </w:p>
        </w:tc>
        <w:tc>
          <w:tcPr>
            <w:tcW w:w="2777" w:type="dxa"/>
          </w:tcPr>
          <w:p>
            <w:pPr>
              <w:pStyle w:val="TableParagraph"/>
              <w:spacing w:before="3"/>
              <w:ind w:left="112"/>
              <w:jc w:val="left"/>
              <w:rPr>
                <w:sz w:val="19"/>
              </w:rPr>
            </w:pPr>
            <w:r>
              <w:rPr>
                <w:sz w:val="19"/>
              </w:rPr>
              <w:t>South</w:t>
            </w:r>
            <w:r>
              <w:rPr>
                <w:spacing w:val="27"/>
                <w:sz w:val="19"/>
              </w:rPr>
              <w:t> </w:t>
            </w:r>
            <w:r>
              <w:rPr>
                <w:spacing w:val="-4"/>
                <w:sz w:val="19"/>
              </w:rPr>
              <w:t>Asia</w:t>
            </w:r>
          </w:p>
        </w:tc>
        <w:tc>
          <w:tcPr>
            <w:tcW w:w="525" w:type="dxa"/>
          </w:tcPr>
          <w:p>
            <w:pPr>
              <w:pStyle w:val="TableParagraph"/>
              <w:spacing w:before="3"/>
              <w:ind w:left="217"/>
              <w:jc w:val="left"/>
              <w:rPr>
                <w:sz w:val="19"/>
              </w:rPr>
            </w:pPr>
            <w:r>
              <w:rPr>
                <w:w w:val="102"/>
                <w:sz w:val="19"/>
              </w:rPr>
              <w:t>3</w:t>
            </w:r>
          </w:p>
        </w:tc>
        <w:tc>
          <w:tcPr>
            <w:tcW w:w="495" w:type="dxa"/>
          </w:tcPr>
          <w:p>
            <w:pPr>
              <w:pStyle w:val="TableParagraph"/>
              <w:spacing w:before="3"/>
              <w:ind w:left="24"/>
              <w:rPr>
                <w:sz w:val="19"/>
              </w:rPr>
            </w:pPr>
            <w:r>
              <w:rPr>
                <w:w w:val="102"/>
                <w:sz w:val="19"/>
              </w:rPr>
              <w:t>5</w:t>
            </w:r>
          </w:p>
        </w:tc>
        <w:tc>
          <w:tcPr>
            <w:tcW w:w="510" w:type="dxa"/>
          </w:tcPr>
          <w:p>
            <w:pPr>
              <w:pStyle w:val="TableParagraph"/>
              <w:spacing w:before="3"/>
              <w:ind w:left="10"/>
              <w:rPr>
                <w:sz w:val="19"/>
              </w:rPr>
            </w:pPr>
            <w:r>
              <w:rPr>
                <w:w w:val="102"/>
                <w:sz w:val="19"/>
              </w:rPr>
              <w:t>7</w:t>
            </w:r>
          </w:p>
        </w:tc>
        <w:tc>
          <w:tcPr>
            <w:tcW w:w="525" w:type="dxa"/>
          </w:tcPr>
          <w:p>
            <w:pPr>
              <w:pStyle w:val="TableParagraph"/>
              <w:spacing w:before="3"/>
              <w:ind w:left="218"/>
              <w:jc w:val="left"/>
              <w:rPr>
                <w:sz w:val="19"/>
              </w:rPr>
            </w:pPr>
            <w:r>
              <w:rPr>
                <w:w w:val="102"/>
                <w:sz w:val="19"/>
              </w:rPr>
              <w:t>2</w:t>
            </w:r>
          </w:p>
        </w:tc>
        <w:tc>
          <w:tcPr>
            <w:tcW w:w="525" w:type="dxa"/>
          </w:tcPr>
          <w:p>
            <w:pPr>
              <w:pStyle w:val="TableParagraph"/>
              <w:spacing w:before="3"/>
              <w:ind w:right="190"/>
              <w:jc w:val="right"/>
              <w:rPr>
                <w:sz w:val="19"/>
              </w:rPr>
            </w:pPr>
            <w:r>
              <w:rPr>
                <w:w w:val="102"/>
                <w:sz w:val="19"/>
              </w:rPr>
              <w:t>0</w:t>
            </w:r>
          </w:p>
        </w:tc>
        <w:tc>
          <w:tcPr>
            <w:tcW w:w="510" w:type="dxa"/>
          </w:tcPr>
          <w:p>
            <w:pPr>
              <w:pStyle w:val="TableParagraph"/>
              <w:spacing w:before="3"/>
              <w:ind w:left="12"/>
              <w:rPr>
                <w:sz w:val="19"/>
              </w:rPr>
            </w:pPr>
            <w:r>
              <w:rPr>
                <w:w w:val="102"/>
                <w:sz w:val="19"/>
              </w:rPr>
              <w:t>3</w:t>
            </w:r>
          </w:p>
        </w:tc>
        <w:tc>
          <w:tcPr>
            <w:tcW w:w="510" w:type="dxa"/>
          </w:tcPr>
          <w:p>
            <w:pPr>
              <w:pStyle w:val="TableParagraph"/>
              <w:spacing w:before="3"/>
              <w:ind w:left="13"/>
              <w:rPr>
                <w:sz w:val="19"/>
              </w:rPr>
            </w:pPr>
            <w:r>
              <w:rPr>
                <w:w w:val="102"/>
                <w:sz w:val="19"/>
              </w:rPr>
              <w:t>4</w:t>
            </w:r>
          </w:p>
        </w:tc>
        <w:tc>
          <w:tcPr>
            <w:tcW w:w="525" w:type="dxa"/>
          </w:tcPr>
          <w:p>
            <w:pPr>
              <w:pStyle w:val="TableParagraph"/>
              <w:spacing w:before="3"/>
              <w:ind w:left="220"/>
              <w:jc w:val="left"/>
              <w:rPr>
                <w:sz w:val="19"/>
              </w:rPr>
            </w:pPr>
            <w:r>
              <w:rPr>
                <w:w w:val="102"/>
                <w:sz w:val="19"/>
              </w:rPr>
              <w:t>1</w:t>
            </w:r>
          </w:p>
        </w:tc>
        <w:tc>
          <w:tcPr>
            <w:tcW w:w="510" w:type="dxa"/>
          </w:tcPr>
          <w:p>
            <w:pPr>
              <w:pStyle w:val="TableParagraph"/>
              <w:spacing w:before="3"/>
              <w:ind w:left="206"/>
              <w:jc w:val="left"/>
              <w:rPr>
                <w:sz w:val="19"/>
              </w:rPr>
            </w:pPr>
            <w:r>
              <w:rPr>
                <w:w w:val="102"/>
                <w:sz w:val="19"/>
              </w:rPr>
              <w:t>1</w:t>
            </w:r>
          </w:p>
        </w:tc>
        <w:tc>
          <w:tcPr>
            <w:tcW w:w="510" w:type="dxa"/>
          </w:tcPr>
          <w:p>
            <w:pPr>
              <w:pStyle w:val="TableParagraph"/>
              <w:spacing w:before="3"/>
              <w:ind w:left="206"/>
              <w:jc w:val="left"/>
              <w:rPr>
                <w:sz w:val="19"/>
              </w:rPr>
            </w:pPr>
            <w:r>
              <w:rPr>
                <w:w w:val="102"/>
                <w:sz w:val="19"/>
              </w:rPr>
              <w:t>3</w:t>
            </w:r>
          </w:p>
        </w:tc>
        <w:tc>
          <w:tcPr>
            <w:tcW w:w="511" w:type="dxa"/>
          </w:tcPr>
          <w:p>
            <w:pPr>
              <w:pStyle w:val="TableParagraph"/>
              <w:spacing w:before="3"/>
              <w:ind w:left="16"/>
              <w:rPr>
                <w:sz w:val="19"/>
              </w:rPr>
            </w:pPr>
            <w:r>
              <w:rPr>
                <w:w w:val="102"/>
                <w:sz w:val="19"/>
              </w:rPr>
              <w:t>0</w:t>
            </w:r>
          </w:p>
        </w:tc>
        <w:tc>
          <w:tcPr>
            <w:tcW w:w="526" w:type="dxa"/>
          </w:tcPr>
          <w:p>
            <w:pPr>
              <w:pStyle w:val="TableParagraph"/>
              <w:spacing w:before="3"/>
              <w:ind w:left="222"/>
              <w:jc w:val="left"/>
              <w:rPr>
                <w:sz w:val="19"/>
              </w:rPr>
            </w:pPr>
            <w:r>
              <w:rPr>
                <w:w w:val="102"/>
                <w:sz w:val="19"/>
              </w:rPr>
              <w:t>1</w:t>
            </w:r>
          </w:p>
        </w:tc>
        <w:tc>
          <w:tcPr>
            <w:tcW w:w="496" w:type="dxa"/>
          </w:tcPr>
          <w:p>
            <w:pPr>
              <w:pStyle w:val="TableParagraph"/>
              <w:spacing w:before="3"/>
              <w:ind w:left="206"/>
              <w:jc w:val="left"/>
              <w:rPr>
                <w:sz w:val="19"/>
              </w:rPr>
            </w:pPr>
            <w:r>
              <w:rPr>
                <w:w w:val="102"/>
                <w:sz w:val="19"/>
              </w:rPr>
              <w:t>1</w:t>
            </w:r>
          </w:p>
        </w:tc>
        <w:tc>
          <w:tcPr>
            <w:tcW w:w="526" w:type="dxa"/>
          </w:tcPr>
          <w:p>
            <w:pPr>
              <w:pStyle w:val="TableParagraph"/>
              <w:spacing w:before="3"/>
              <w:ind w:left="28"/>
              <w:rPr>
                <w:sz w:val="19"/>
              </w:rPr>
            </w:pPr>
            <w:r>
              <w:rPr>
                <w:w w:val="102"/>
                <w:sz w:val="19"/>
              </w:rPr>
              <w:t>1</w:t>
            </w:r>
          </w:p>
        </w:tc>
        <w:tc>
          <w:tcPr>
            <w:tcW w:w="526" w:type="dxa"/>
          </w:tcPr>
          <w:p>
            <w:pPr>
              <w:pStyle w:val="TableParagraph"/>
              <w:spacing w:before="3"/>
              <w:ind w:right="1"/>
              <w:rPr>
                <w:sz w:val="19"/>
              </w:rPr>
            </w:pPr>
            <w:r>
              <w:rPr>
                <w:w w:val="102"/>
                <w:sz w:val="19"/>
              </w:rPr>
              <w:t>0</w:t>
            </w:r>
          </w:p>
        </w:tc>
        <w:tc>
          <w:tcPr>
            <w:tcW w:w="496" w:type="dxa"/>
          </w:tcPr>
          <w:p>
            <w:pPr>
              <w:pStyle w:val="TableParagraph"/>
              <w:spacing w:before="3"/>
              <w:ind w:left="25"/>
              <w:rPr>
                <w:sz w:val="19"/>
              </w:rPr>
            </w:pPr>
            <w:r>
              <w:rPr>
                <w:w w:val="102"/>
                <w:sz w:val="19"/>
              </w:rPr>
              <w:t>0</w:t>
            </w:r>
          </w:p>
        </w:tc>
        <w:tc>
          <w:tcPr>
            <w:tcW w:w="526" w:type="dxa"/>
          </w:tcPr>
          <w:p>
            <w:pPr>
              <w:pStyle w:val="TableParagraph"/>
              <w:spacing w:before="3"/>
              <w:ind w:left="24"/>
              <w:rPr>
                <w:sz w:val="19"/>
              </w:rPr>
            </w:pPr>
            <w:r>
              <w:rPr>
                <w:w w:val="102"/>
                <w:sz w:val="19"/>
              </w:rPr>
              <w:t>1</w:t>
            </w:r>
          </w:p>
        </w:tc>
      </w:tr>
      <w:tr>
        <w:trPr>
          <w:trHeight w:val="270" w:hRule="atLeast"/>
        </w:trPr>
        <w:tc>
          <w:tcPr>
            <w:tcW w:w="1156" w:type="dxa"/>
            <w:vMerge/>
            <w:tcBorders>
              <w:top w:val="nil"/>
            </w:tcBorders>
          </w:tcPr>
          <w:p>
            <w:pPr>
              <w:rPr>
                <w:sz w:val="2"/>
                <w:szCs w:val="2"/>
              </w:rPr>
            </w:pPr>
          </w:p>
        </w:tc>
        <w:tc>
          <w:tcPr>
            <w:tcW w:w="2777" w:type="dxa"/>
          </w:tcPr>
          <w:p>
            <w:pPr>
              <w:pStyle w:val="TableParagraph"/>
              <w:spacing w:before="2"/>
              <w:ind w:left="112"/>
              <w:jc w:val="left"/>
              <w:rPr>
                <w:sz w:val="19"/>
              </w:rPr>
            </w:pPr>
            <w:r>
              <w:rPr>
                <w:sz w:val="19"/>
              </w:rPr>
              <w:t>Southeast</w:t>
            </w:r>
            <w:r>
              <w:rPr>
                <w:spacing w:val="57"/>
                <w:sz w:val="19"/>
              </w:rPr>
              <w:t> </w:t>
            </w:r>
            <w:r>
              <w:rPr>
                <w:spacing w:val="-4"/>
                <w:sz w:val="19"/>
              </w:rPr>
              <w:t>Asia</w:t>
            </w:r>
          </w:p>
        </w:tc>
        <w:tc>
          <w:tcPr>
            <w:tcW w:w="525" w:type="dxa"/>
          </w:tcPr>
          <w:p>
            <w:pPr>
              <w:pStyle w:val="TableParagraph"/>
              <w:spacing w:before="2"/>
              <w:ind w:left="217"/>
              <w:jc w:val="left"/>
              <w:rPr>
                <w:sz w:val="19"/>
              </w:rPr>
            </w:pPr>
            <w:r>
              <w:rPr>
                <w:w w:val="102"/>
                <w:sz w:val="19"/>
              </w:rPr>
              <w:t>0</w:t>
            </w:r>
          </w:p>
        </w:tc>
        <w:tc>
          <w:tcPr>
            <w:tcW w:w="495" w:type="dxa"/>
          </w:tcPr>
          <w:p>
            <w:pPr>
              <w:pStyle w:val="TableParagraph"/>
              <w:spacing w:before="2"/>
              <w:ind w:left="24"/>
              <w:rPr>
                <w:sz w:val="19"/>
              </w:rPr>
            </w:pPr>
            <w:r>
              <w:rPr>
                <w:w w:val="102"/>
                <w:sz w:val="19"/>
              </w:rPr>
              <w:t>1</w:t>
            </w:r>
          </w:p>
        </w:tc>
        <w:tc>
          <w:tcPr>
            <w:tcW w:w="510" w:type="dxa"/>
          </w:tcPr>
          <w:p>
            <w:pPr>
              <w:pStyle w:val="TableParagraph"/>
              <w:spacing w:before="2"/>
              <w:ind w:left="10"/>
              <w:rPr>
                <w:sz w:val="19"/>
              </w:rPr>
            </w:pPr>
            <w:r>
              <w:rPr>
                <w:w w:val="102"/>
                <w:sz w:val="19"/>
              </w:rPr>
              <w:t>1</w:t>
            </w:r>
          </w:p>
        </w:tc>
        <w:tc>
          <w:tcPr>
            <w:tcW w:w="525" w:type="dxa"/>
          </w:tcPr>
          <w:p>
            <w:pPr>
              <w:pStyle w:val="TableParagraph"/>
              <w:spacing w:before="2"/>
              <w:ind w:left="218"/>
              <w:jc w:val="left"/>
              <w:rPr>
                <w:sz w:val="19"/>
              </w:rPr>
            </w:pPr>
            <w:r>
              <w:rPr>
                <w:w w:val="102"/>
                <w:sz w:val="19"/>
              </w:rPr>
              <w:t>0</w:t>
            </w:r>
          </w:p>
        </w:tc>
        <w:tc>
          <w:tcPr>
            <w:tcW w:w="525" w:type="dxa"/>
          </w:tcPr>
          <w:p>
            <w:pPr>
              <w:pStyle w:val="TableParagraph"/>
              <w:spacing w:before="2"/>
              <w:ind w:right="190"/>
              <w:jc w:val="right"/>
              <w:rPr>
                <w:sz w:val="19"/>
              </w:rPr>
            </w:pPr>
            <w:r>
              <w:rPr>
                <w:w w:val="102"/>
                <w:sz w:val="19"/>
              </w:rPr>
              <w:t>0</w:t>
            </w:r>
          </w:p>
        </w:tc>
        <w:tc>
          <w:tcPr>
            <w:tcW w:w="510" w:type="dxa"/>
          </w:tcPr>
          <w:p>
            <w:pPr>
              <w:pStyle w:val="TableParagraph"/>
              <w:spacing w:before="2"/>
              <w:ind w:left="12"/>
              <w:rPr>
                <w:sz w:val="19"/>
              </w:rPr>
            </w:pPr>
            <w:r>
              <w:rPr>
                <w:w w:val="102"/>
                <w:sz w:val="19"/>
              </w:rPr>
              <w:t>0</w:t>
            </w:r>
          </w:p>
        </w:tc>
        <w:tc>
          <w:tcPr>
            <w:tcW w:w="510" w:type="dxa"/>
          </w:tcPr>
          <w:p>
            <w:pPr>
              <w:pStyle w:val="TableParagraph"/>
              <w:spacing w:before="2"/>
              <w:ind w:left="13"/>
              <w:rPr>
                <w:sz w:val="19"/>
              </w:rPr>
            </w:pPr>
            <w:r>
              <w:rPr>
                <w:w w:val="102"/>
                <w:sz w:val="19"/>
              </w:rPr>
              <w:t>0</w:t>
            </w:r>
          </w:p>
        </w:tc>
        <w:tc>
          <w:tcPr>
            <w:tcW w:w="525" w:type="dxa"/>
          </w:tcPr>
          <w:p>
            <w:pPr>
              <w:pStyle w:val="TableParagraph"/>
              <w:spacing w:before="2"/>
              <w:ind w:left="220"/>
              <w:jc w:val="left"/>
              <w:rPr>
                <w:sz w:val="19"/>
              </w:rPr>
            </w:pPr>
            <w:r>
              <w:rPr>
                <w:w w:val="102"/>
                <w:sz w:val="19"/>
              </w:rPr>
              <w:t>0</w:t>
            </w:r>
          </w:p>
        </w:tc>
        <w:tc>
          <w:tcPr>
            <w:tcW w:w="510" w:type="dxa"/>
          </w:tcPr>
          <w:p>
            <w:pPr>
              <w:pStyle w:val="TableParagraph"/>
              <w:spacing w:before="2"/>
              <w:ind w:left="206"/>
              <w:jc w:val="left"/>
              <w:rPr>
                <w:sz w:val="19"/>
              </w:rPr>
            </w:pPr>
            <w:r>
              <w:rPr>
                <w:w w:val="102"/>
                <w:sz w:val="19"/>
              </w:rPr>
              <w:t>0</w:t>
            </w:r>
          </w:p>
        </w:tc>
        <w:tc>
          <w:tcPr>
            <w:tcW w:w="510" w:type="dxa"/>
          </w:tcPr>
          <w:p>
            <w:pPr>
              <w:pStyle w:val="TableParagraph"/>
              <w:spacing w:before="2"/>
              <w:ind w:left="206"/>
              <w:jc w:val="left"/>
              <w:rPr>
                <w:sz w:val="19"/>
              </w:rPr>
            </w:pPr>
            <w:r>
              <w:rPr>
                <w:w w:val="102"/>
                <w:sz w:val="19"/>
              </w:rPr>
              <w:t>0</w:t>
            </w:r>
          </w:p>
        </w:tc>
        <w:tc>
          <w:tcPr>
            <w:tcW w:w="511" w:type="dxa"/>
          </w:tcPr>
          <w:p>
            <w:pPr>
              <w:pStyle w:val="TableParagraph"/>
              <w:spacing w:before="2"/>
              <w:ind w:left="16"/>
              <w:rPr>
                <w:sz w:val="19"/>
              </w:rPr>
            </w:pPr>
            <w:r>
              <w:rPr>
                <w:w w:val="102"/>
                <w:sz w:val="19"/>
              </w:rPr>
              <w:t>0</w:t>
            </w:r>
          </w:p>
        </w:tc>
        <w:tc>
          <w:tcPr>
            <w:tcW w:w="526" w:type="dxa"/>
          </w:tcPr>
          <w:p>
            <w:pPr>
              <w:pStyle w:val="TableParagraph"/>
              <w:spacing w:before="2"/>
              <w:ind w:left="222"/>
              <w:jc w:val="left"/>
              <w:rPr>
                <w:sz w:val="19"/>
              </w:rPr>
            </w:pPr>
            <w:r>
              <w:rPr>
                <w:w w:val="102"/>
                <w:sz w:val="19"/>
              </w:rPr>
              <w:t>0</w:t>
            </w:r>
          </w:p>
        </w:tc>
        <w:tc>
          <w:tcPr>
            <w:tcW w:w="496" w:type="dxa"/>
          </w:tcPr>
          <w:p>
            <w:pPr>
              <w:pStyle w:val="TableParagraph"/>
              <w:spacing w:before="2"/>
              <w:ind w:left="206"/>
              <w:jc w:val="left"/>
              <w:rPr>
                <w:sz w:val="19"/>
              </w:rPr>
            </w:pPr>
            <w:r>
              <w:rPr>
                <w:w w:val="102"/>
                <w:sz w:val="19"/>
              </w:rPr>
              <w:t>0</w:t>
            </w:r>
          </w:p>
        </w:tc>
        <w:tc>
          <w:tcPr>
            <w:tcW w:w="526" w:type="dxa"/>
          </w:tcPr>
          <w:p>
            <w:pPr>
              <w:pStyle w:val="TableParagraph"/>
              <w:spacing w:before="2"/>
              <w:ind w:left="28"/>
              <w:rPr>
                <w:sz w:val="19"/>
              </w:rPr>
            </w:pPr>
            <w:r>
              <w:rPr>
                <w:w w:val="102"/>
                <w:sz w:val="19"/>
              </w:rPr>
              <w:t>0</w:t>
            </w:r>
          </w:p>
        </w:tc>
        <w:tc>
          <w:tcPr>
            <w:tcW w:w="526" w:type="dxa"/>
          </w:tcPr>
          <w:p>
            <w:pPr>
              <w:pStyle w:val="TableParagraph"/>
              <w:spacing w:before="2"/>
              <w:ind w:right="1"/>
              <w:rPr>
                <w:sz w:val="19"/>
              </w:rPr>
            </w:pPr>
            <w:r>
              <w:rPr>
                <w:w w:val="102"/>
                <w:sz w:val="19"/>
              </w:rPr>
              <w:t>0</w:t>
            </w:r>
          </w:p>
        </w:tc>
        <w:tc>
          <w:tcPr>
            <w:tcW w:w="496" w:type="dxa"/>
          </w:tcPr>
          <w:p>
            <w:pPr>
              <w:pStyle w:val="TableParagraph"/>
              <w:spacing w:before="2"/>
              <w:ind w:left="25"/>
              <w:rPr>
                <w:sz w:val="19"/>
              </w:rPr>
            </w:pPr>
            <w:r>
              <w:rPr>
                <w:w w:val="102"/>
                <w:sz w:val="19"/>
              </w:rPr>
              <w:t>0</w:t>
            </w:r>
          </w:p>
        </w:tc>
        <w:tc>
          <w:tcPr>
            <w:tcW w:w="526" w:type="dxa"/>
          </w:tcPr>
          <w:p>
            <w:pPr>
              <w:pStyle w:val="TableParagraph"/>
              <w:spacing w:before="2"/>
              <w:ind w:left="24"/>
              <w:rPr>
                <w:sz w:val="19"/>
              </w:rPr>
            </w:pPr>
            <w:r>
              <w:rPr>
                <w:w w:val="102"/>
                <w:sz w:val="19"/>
              </w:rPr>
              <w:t>0</w:t>
            </w:r>
          </w:p>
        </w:tc>
      </w:tr>
      <w:tr>
        <w:trPr>
          <w:trHeight w:val="255" w:hRule="atLeast"/>
        </w:trPr>
        <w:tc>
          <w:tcPr>
            <w:tcW w:w="1156" w:type="dxa"/>
            <w:vMerge/>
            <w:tcBorders>
              <w:top w:val="nil"/>
            </w:tcBorders>
          </w:tcPr>
          <w:p>
            <w:pPr>
              <w:rPr>
                <w:sz w:val="2"/>
                <w:szCs w:val="2"/>
              </w:rPr>
            </w:pPr>
          </w:p>
        </w:tc>
        <w:tc>
          <w:tcPr>
            <w:tcW w:w="2777" w:type="dxa"/>
          </w:tcPr>
          <w:p>
            <w:pPr>
              <w:pStyle w:val="TableParagraph"/>
              <w:spacing w:line="206" w:lineRule="exact"/>
              <w:ind w:left="112"/>
              <w:jc w:val="left"/>
              <w:rPr>
                <w:sz w:val="19"/>
              </w:rPr>
            </w:pPr>
            <w:r>
              <w:rPr>
                <w:sz w:val="19"/>
              </w:rPr>
              <w:t>Sub-Saharan</w:t>
            </w:r>
            <w:r>
              <w:rPr>
                <w:spacing w:val="36"/>
                <w:sz w:val="19"/>
              </w:rPr>
              <w:t> </w:t>
            </w:r>
            <w:r>
              <w:rPr>
                <w:sz w:val="19"/>
              </w:rPr>
              <w:t>Africa</w:t>
            </w:r>
            <w:r>
              <w:rPr>
                <w:spacing w:val="55"/>
                <w:sz w:val="19"/>
              </w:rPr>
              <w:t> </w:t>
            </w:r>
            <w:r>
              <w:rPr>
                <w:spacing w:val="-4"/>
                <w:sz w:val="19"/>
              </w:rPr>
              <w:t>(SSA)</w:t>
            </w:r>
          </w:p>
        </w:tc>
        <w:tc>
          <w:tcPr>
            <w:tcW w:w="525" w:type="dxa"/>
          </w:tcPr>
          <w:p>
            <w:pPr>
              <w:pStyle w:val="TableParagraph"/>
              <w:spacing w:line="206" w:lineRule="exact"/>
              <w:ind w:left="217"/>
              <w:jc w:val="left"/>
              <w:rPr>
                <w:sz w:val="19"/>
              </w:rPr>
            </w:pPr>
            <w:r>
              <w:rPr>
                <w:w w:val="102"/>
                <w:sz w:val="19"/>
              </w:rPr>
              <w:t>9</w:t>
            </w:r>
          </w:p>
        </w:tc>
        <w:tc>
          <w:tcPr>
            <w:tcW w:w="495" w:type="dxa"/>
          </w:tcPr>
          <w:p>
            <w:pPr>
              <w:pStyle w:val="TableParagraph"/>
              <w:spacing w:line="206" w:lineRule="exact"/>
              <w:ind w:left="138" w:right="122"/>
              <w:rPr>
                <w:sz w:val="19"/>
              </w:rPr>
            </w:pPr>
            <w:r>
              <w:rPr>
                <w:spacing w:val="-5"/>
                <w:sz w:val="19"/>
              </w:rPr>
              <w:t>15</w:t>
            </w:r>
          </w:p>
        </w:tc>
        <w:tc>
          <w:tcPr>
            <w:tcW w:w="510" w:type="dxa"/>
          </w:tcPr>
          <w:p>
            <w:pPr>
              <w:pStyle w:val="TableParagraph"/>
              <w:spacing w:line="206" w:lineRule="exact"/>
              <w:ind w:left="67" w:right="66"/>
              <w:rPr>
                <w:sz w:val="19"/>
              </w:rPr>
            </w:pPr>
            <w:r>
              <w:rPr>
                <w:spacing w:val="-5"/>
                <w:sz w:val="19"/>
              </w:rPr>
              <w:t>19</w:t>
            </w:r>
          </w:p>
        </w:tc>
        <w:tc>
          <w:tcPr>
            <w:tcW w:w="525" w:type="dxa"/>
          </w:tcPr>
          <w:p>
            <w:pPr>
              <w:pStyle w:val="TableParagraph"/>
              <w:spacing w:line="206" w:lineRule="exact"/>
              <w:ind w:left="218"/>
              <w:jc w:val="left"/>
              <w:rPr>
                <w:sz w:val="19"/>
              </w:rPr>
            </w:pPr>
            <w:r>
              <w:rPr>
                <w:w w:val="102"/>
                <w:sz w:val="19"/>
              </w:rPr>
              <w:t>7</w:t>
            </w:r>
          </w:p>
        </w:tc>
        <w:tc>
          <w:tcPr>
            <w:tcW w:w="525" w:type="dxa"/>
          </w:tcPr>
          <w:p>
            <w:pPr>
              <w:pStyle w:val="TableParagraph"/>
              <w:spacing w:line="206" w:lineRule="exact"/>
              <w:ind w:right="190"/>
              <w:jc w:val="right"/>
              <w:rPr>
                <w:sz w:val="19"/>
              </w:rPr>
            </w:pPr>
            <w:r>
              <w:rPr>
                <w:w w:val="102"/>
                <w:sz w:val="19"/>
              </w:rPr>
              <w:t>1</w:t>
            </w:r>
          </w:p>
        </w:tc>
        <w:tc>
          <w:tcPr>
            <w:tcW w:w="510" w:type="dxa"/>
          </w:tcPr>
          <w:p>
            <w:pPr>
              <w:pStyle w:val="TableParagraph"/>
              <w:spacing w:line="206" w:lineRule="exact"/>
              <w:ind w:left="12"/>
              <w:rPr>
                <w:sz w:val="19"/>
              </w:rPr>
            </w:pPr>
            <w:r>
              <w:rPr>
                <w:w w:val="102"/>
                <w:sz w:val="19"/>
              </w:rPr>
              <w:t>2</w:t>
            </w:r>
          </w:p>
        </w:tc>
        <w:tc>
          <w:tcPr>
            <w:tcW w:w="510" w:type="dxa"/>
          </w:tcPr>
          <w:p>
            <w:pPr>
              <w:pStyle w:val="TableParagraph"/>
              <w:spacing w:line="206" w:lineRule="exact"/>
              <w:ind w:left="13"/>
              <w:rPr>
                <w:sz w:val="19"/>
              </w:rPr>
            </w:pPr>
            <w:r>
              <w:rPr>
                <w:w w:val="102"/>
                <w:sz w:val="19"/>
              </w:rPr>
              <w:t>8</w:t>
            </w:r>
          </w:p>
        </w:tc>
        <w:tc>
          <w:tcPr>
            <w:tcW w:w="525" w:type="dxa"/>
          </w:tcPr>
          <w:p>
            <w:pPr>
              <w:pStyle w:val="TableParagraph"/>
              <w:spacing w:line="206" w:lineRule="exact"/>
              <w:ind w:left="220"/>
              <w:jc w:val="left"/>
              <w:rPr>
                <w:sz w:val="19"/>
              </w:rPr>
            </w:pPr>
            <w:r>
              <w:rPr>
                <w:w w:val="102"/>
                <w:sz w:val="19"/>
              </w:rPr>
              <w:t>9</w:t>
            </w:r>
          </w:p>
        </w:tc>
        <w:tc>
          <w:tcPr>
            <w:tcW w:w="510" w:type="dxa"/>
          </w:tcPr>
          <w:p>
            <w:pPr>
              <w:pStyle w:val="TableParagraph"/>
              <w:spacing w:line="206" w:lineRule="exact"/>
              <w:ind w:left="206"/>
              <w:jc w:val="left"/>
              <w:rPr>
                <w:sz w:val="19"/>
              </w:rPr>
            </w:pPr>
            <w:r>
              <w:rPr>
                <w:w w:val="102"/>
                <w:sz w:val="19"/>
              </w:rPr>
              <w:t>3</w:t>
            </w:r>
          </w:p>
        </w:tc>
        <w:tc>
          <w:tcPr>
            <w:tcW w:w="510" w:type="dxa"/>
          </w:tcPr>
          <w:p>
            <w:pPr>
              <w:pStyle w:val="TableParagraph"/>
              <w:spacing w:line="206" w:lineRule="exact"/>
              <w:ind w:left="206"/>
              <w:jc w:val="left"/>
              <w:rPr>
                <w:sz w:val="19"/>
              </w:rPr>
            </w:pPr>
            <w:r>
              <w:rPr>
                <w:w w:val="102"/>
                <w:sz w:val="19"/>
              </w:rPr>
              <w:t>5</w:t>
            </w:r>
          </w:p>
        </w:tc>
        <w:tc>
          <w:tcPr>
            <w:tcW w:w="511" w:type="dxa"/>
          </w:tcPr>
          <w:p>
            <w:pPr>
              <w:pStyle w:val="TableParagraph"/>
              <w:spacing w:line="206" w:lineRule="exact"/>
              <w:ind w:left="16"/>
              <w:rPr>
                <w:sz w:val="19"/>
              </w:rPr>
            </w:pPr>
            <w:r>
              <w:rPr>
                <w:w w:val="102"/>
                <w:sz w:val="19"/>
              </w:rPr>
              <w:t>5</w:t>
            </w:r>
          </w:p>
        </w:tc>
        <w:tc>
          <w:tcPr>
            <w:tcW w:w="526" w:type="dxa"/>
          </w:tcPr>
          <w:p>
            <w:pPr>
              <w:pStyle w:val="TableParagraph"/>
              <w:spacing w:line="206" w:lineRule="exact"/>
              <w:ind w:left="222"/>
              <w:jc w:val="left"/>
              <w:rPr>
                <w:sz w:val="19"/>
              </w:rPr>
            </w:pPr>
            <w:r>
              <w:rPr>
                <w:w w:val="102"/>
                <w:sz w:val="19"/>
              </w:rPr>
              <w:t>1</w:t>
            </w:r>
          </w:p>
        </w:tc>
        <w:tc>
          <w:tcPr>
            <w:tcW w:w="496" w:type="dxa"/>
          </w:tcPr>
          <w:p>
            <w:pPr>
              <w:pStyle w:val="TableParagraph"/>
              <w:spacing w:line="206" w:lineRule="exact"/>
              <w:ind w:left="206"/>
              <w:jc w:val="left"/>
              <w:rPr>
                <w:sz w:val="19"/>
              </w:rPr>
            </w:pPr>
            <w:r>
              <w:rPr>
                <w:w w:val="102"/>
                <w:sz w:val="19"/>
              </w:rPr>
              <w:t>0</w:t>
            </w:r>
          </w:p>
        </w:tc>
        <w:tc>
          <w:tcPr>
            <w:tcW w:w="526" w:type="dxa"/>
          </w:tcPr>
          <w:p>
            <w:pPr>
              <w:pStyle w:val="TableParagraph"/>
              <w:spacing w:line="206" w:lineRule="exact"/>
              <w:ind w:left="28"/>
              <w:rPr>
                <w:sz w:val="19"/>
              </w:rPr>
            </w:pPr>
            <w:r>
              <w:rPr>
                <w:w w:val="102"/>
                <w:sz w:val="19"/>
              </w:rPr>
              <w:t>1</w:t>
            </w:r>
          </w:p>
        </w:tc>
        <w:tc>
          <w:tcPr>
            <w:tcW w:w="526" w:type="dxa"/>
          </w:tcPr>
          <w:p>
            <w:pPr>
              <w:pStyle w:val="TableParagraph"/>
              <w:spacing w:line="206" w:lineRule="exact"/>
              <w:ind w:right="1"/>
              <w:rPr>
                <w:sz w:val="19"/>
              </w:rPr>
            </w:pPr>
            <w:r>
              <w:rPr>
                <w:w w:val="102"/>
                <w:sz w:val="19"/>
              </w:rPr>
              <w:t>0</w:t>
            </w:r>
          </w:p>
        </w:tc>
        <w:tc>
          <w:tcPr>
            <w:tcW w:w="496" w:type="dxa"/>
          </w:tcPr>
          <w:p>
            <w:pPr>
              <w:pStyle w:val="TableParagraph"/>
              <w:spacing w:line="206" w:lineRule="exact"/>
              <w:ind w:left="25"/>
              <w:rPr>
                <w:sz w:val="19"/>
              </w:rPr>
            </w:pPr>
            <w:r>
              <w:rPr>
                <w:w w:val="102"/>
                <w:sz w:val="19"/>
              </w:rPr>
              <w:t>0</w:t>
            </w:r>
          </w:p>
        </w:tc>
        <w:tc>
          <w:tcPr>
            <w:tcW w:w="526" w:type="dxa"/>
          </w:tcPr>
          <w:p>
            <w:pPr>
              <w:pStyle w:val="TableParagraph"/>
              <w:spacing w:line="206" w:lineRule="exact"/>
              <w:ind w:left="24"/>
              <w:rPr>
                <w:sz w:val="19"/>
              </w:rPr>
            </w:pPr>
            <w:r>
              <w:rPr>
                <w:w w:val="102"/>
                <w:sz w:val="19"/>
              </w:rPr>
              <w:t>1</w:t>
            </w:r>
          </w:p>
        </w:tc>
      </w:tr>
      <w:tr>
        <w:trPr>
          <w:trHeight w:val="255" w:hRule="atLeast"/>
        </w:trPr>
        <w:tc>
          <w:tcPr>
            <w:tcW w:w="3933" w:type="dxa"/>
            <w:gridSpan w:val="2"/>
          </w:tcPr>
          <w:p>
            <w:pPr>
              <w:pStyle w:val="TableParagraph"/>
              <w:spacing w:before="3"/>
              <w:ind w:left="127"/>
              <w:jc w:val="left"/>
              <w:rPr>
                <w:sz w:val="19"/>
              </w:rPr>
            </w:pPr>
            <w:r>
              <w:rPr>
                <w:sz w:val="19"/>
              </w:rPr>
              <w:t>Total</w:t>
            </w:r>
            <w:r>
              <w:rPr>
                <w:spacing w:val="3"/>
                <w:sz w:val="19"/>
              </w:rPr>
              <w:t> </w:t>
            </w:r>
            <w:r>
              <w:rPr>
                <w:sz w:val="19"/>
              </w:rPr>
              <w:t>(out</w:t>
            </w:r>
            <w:r>
              <w:rPr>
                <w:spacing w:val="23"/>
                <w:sz w:val="19"/>
              </w:rPr>
              <w:t> </w:t>
            </w:r>
            <w:r>
              <w:rPr>
                <w:sz w:val="19"/>
              </w:rPr>
              <w:t>of</w:t>
            </w:r>
            <w:r>
              <w:rPr>
                <w:spacing w:val="30"/>
                <w:sz w:val="19"/>
              </w:rPr>
              <w:t> </w:t>
            </w:r>
            <w:r>
              <w:rPr>
                <w:sz w:val="19"/>
              </w:rPr>
              <w:t>292</w:t>
            </w:r>
            <w:r>
              <w:rPr>
                <w:spacing w:val="27"/>
                <w:sz w:val="19"/>
              </w:rPr>
              <w:t> </w:t>
            </w:r>
            <w:r>
              <w:rPr>
                <w:spacing w:val="-2"/>
                <w:sz w:val="19"/>
              </w:rPr>
              <w:t>deals)</w:t>
            </w:r>
          </w:p>
        </w:tc>
        <w:tc>
          <w:tcPr>
            <w:tcW w:w="525" w:type="dxa"/>
          </w:tcPr>
          <w:p>
            <w:pPr>
              <w:pStyle w:val="TableParagraph"/>
              <w:spacing w:before="3"/>
              <w:ind w:left="172"/>
              <w:jc w:val="left"/>
              <w:rPr>
                <w:sz w:val="19"/>
              </w:rPr>
            </w:pPr>
            <w:r>
              <w:rPr>
                <w:spacing w:val="-5"/>
                <w:sz w:val="19"/>
              </w:rPr>
              <w:t>15</w:t>
            </w:r>
          </w:p>
        </w:tc>
        <w:tc>
          <w:tcPr>
            <w:tcW w:w="495" w:type="dxa"/>
          </w:tcPr>
          <w:p>
            <w:pPr>
              <w:pStyle w:val="TableParagraph"/>
              <w:spacing w:before="3"/>
              <w:ind w:left="138" w:right="122"/>
              <w:rPr>
                <w:sz w:val="19"/>
              </w:rPr>
            </w:pPr>
            <w:r>
              <w:rPr>
                <w:spacing w:val="-5"/>
                <w:sz w:val="19"/>
              </w:rPr>
              <w:t>29</w:t>
            </w:r>
          </w:p>
        </w:tc>
        <w:tc>
          <w:tcPr>
            <w:tcW w:w="510" w:type="dxa"/>
          </w:tcPr>
          <w:p>
            <w:pPr>
              <w:pStyle w:val="TableParagraph"/>
              <w:spacing w:before="3"/>
              <w:ind w:left="67" w:right="66"/>
              <w:rPr>
                <w:sz w:val="19"/>
              </w:rPr>
            </w:pPr>
            <w:r>
              <w:rPr>
                <w:spacing w:val="-5"/>
                <w:sz w:val="19"/>
              </w:rPr>
              <w:t>98</w:t>
            </w:r>
          </w:p>
        </w:tc>
        <w:tc>
          <w:tcPr>
            <w:tcW w:w="525" w:type="dxa"/>
          </w:tcPr>
          <w:p>
            <w:pPr>
              <w:pStyle w:val="TableParagraph"/>
              <w:spacing w:before="3"/>
              <w:ind w:left="158"/>
              <w:jc w:val="left"/>
              <w:rPr>
                <w:sz w:val="19"/>
              </w:rPr>
            </w:pPr>
            <w:r>
              <w:rPr>
                <w:spacing w:val="-5"/>
                <w:sz w:val="19"/>
              </w:rPr>
              <w:t>26</w:t>
            </w:r>
          </w:p>
        </w:tc>
        <w:tc>
          <w:tcPr>
            <w:tcW w:w="525" w:type="dxa"/>
          </w:tcPr>
          <w:p>
            <w:pPr>
              <w:pStyle w:val="TableParagraph"/>
              <w:spacing w:before="3"/>
              <w:ind w:right="190"/>
              <w:jc w:val="right"/>
              <w:rPr>
                <w:sz w:val="19"/>
              </w:rPr>
            </w:pPr>
            <w:r>
              <w:rPr>
                <w:w w:val="102"/>
                <w:sz w:val="19"/>
              </w:rPr>
              <w:t>3</w:t>
            </w:r>
          </w:p>
        </w:tc>
        <w:tc>
          <w:tcPr>
            <w:tcW w:w="510" w:type="dxa"/>
          </w:tcPr>
          <w:p>
            <w:pPr>
              <w:pStyle w:val="TableParagraph"/>
              <w:spacing w:before="3"/>
              <w:ind w:left="12"/>
              <w:rPr>
                <w:sz w:val="19"/>
              </w:rPr>
            </w:pPr>
            <w:r>
              <w:rPr>
                <w:w w:val="102"/>
                <w:sz w:val="19"/>
              </w:rPr>
              <w:t>6</w:t>
            </w:r>
          </w:p>
        </w:tc>
        <w:tc>
          <w:tcPr>
            <w:tcW w:w="510" w:type="dxa"/>
          </w:tcPr>
          <w:p>
            <w:pPr>
              <w:pStyle w:val="TableParagraph"/>
              <w:spacing w:before="3"/>
              <w:ind w:left="102" w:right="66"/>
              <w:rPr>
                <w:sz w:val="19"/>
              </w:rPr>
            </w:pPr>
            <w:r>
              <w:rPr>
                <w:spacing w:val="-5"/>
                <w:sz w:val="19"/>
              </w:rPr>
              <w:t>17</w:t>
            </w:r>
          </w:p>
        </w:tc>
        <w:tc>
          <w:tcPr>
            <w:tcW w:w="525" w:type="dxa"/>
          </w:tcPr>
          <w:p>
            <w:pPr>
              <w:pStyle w:val="TableParagraph"/>
              <w:spacing w:before="3"/>
              <w:ind w:left="175"/>
              <w:jc w:val="left"/>
              <w:rPr>
                <w:sz w:val="19"/>
              </w:rPr>
            </w:pPr>
            <w:r>
              <w:rPr>
                <w:spacing w:val="-5"/>
                <w:sz w:val="19"/>
              </w:rPr>
              <w:t>52</w:t>
            </w:r>
          </w:p>
        </w:tc>
        <w:tc>
          <w:tcPr>
            <w:tcW w:w="510" w:type="dxa"/>
          </w:tcPr>
          <w:p>
            <w:pPr>
              <w:pStyle w:val="TableParagraph"/>
              <w:spacing w:before="3"/>
              <w:ind w:left="206"/>
              <w:jc w:val="left"/>
              <w:rPr>
                <w:sz w:val="19"/>
              </w:rPr>
            </w:pPr>
            <w:r>
              <w:rPr>
                <w:w w:val="102"/>
                <w:sz w:val="19"/>
              </w:rPr>
              <w:t>7</w:t>
            </w:r>
          </w:p>
        </w:tc>
        <w:tc>
          <w:tcPr>
            <w:tcW w:w="510" w:type="dxa"/>
          </w:tcPr>
          <w:p>
            <w:pPr>
              <w:pStyle w:val="TableParagraph"/>
              <w:spacing w:before="3"/>
              <w:ind w:left="161"/>
              <w:jc w:val="left"/>
              <w:rPr>
                <w:sz w:val="19"/>
              </w:rPr>
            </w:pPr>
            <w:r>
              <w:rPr>
                <w:spacing w:val="-5"/>
                <w:sz w:val="19"/>
              </w:rPr>
              <w:t>16</w:t>
            </w:r>
          </w:p>
        </w:tc>
        <w:tc>
          <w:tcPr>
            <w:tcW w:w="511" w:type="dxa"/>
          </w:tcPr>
          <w:p>
            <w:pPr>
              <w:pStyle w:val="TableParagraph"/>
              <w:spacing w:before="3"/>
              <w:ind w:left="157" w:right="119"/>
              <w:rPr>
                <w:sz w:val="19"/>
              </w:rPr>
            </w:pPr>
            <w:r>
              <w:rPr>
                <w:spacing w:val="-5"/>
                <w:sz w:val="19"/>
              </w:rPr>
              <w:t>10</w:t>
            </w:r>
          </w:p>
        </w:tc>
        <w:tc>
          <w:tcPr>
            <w:tcW w:w="526" w:type="dxa"/>
          </w:tcPr>
          <w:p>
            <w:pPr>
              <w:pStyle w:val="TableParagraph"/>
              <w:spacing w:before="3"/>
              <w:ind w:left="222"/>
              <w:jc w:val="left"/>
              <w:rPr>
                <w:sz w:val="19"/>
              </w:rPr>
            </w:pPr>
            <w:r>
              <w:rPr>
                <w:w w:val="102"/>
                <w:sz w:val="19"/>
              </w:rPr>
              <w:t>4</w:t>
            </w:r>
          </w:p>
        </w:tc>
        <w:tc>
          <w:tcPr>
            <w:tcW w:w="496" w:type="dxa"/>
          </w:tcPr>
          <w:p>
            <w:pPr>
              <w:pStyle w:val="TableParagraph"/>
              <w:spacing w:before="3"/>
              <w:ind w:left="206"/>
              <w:jc w:val="left"/>
              <w:rPr>
                <w:sz w:val="19"/>
              </w:rPr>
            </w:pPr>
            <w:r>
              <w:rPr>
                <w:w w:val="102"/>
                <w:sz w:val="19"/>
              </w:rPr>
              <w:t>2</w:t>
            </w:r>
          </w:p>
        </w:tc>
        <w:tc>
          <w:tcPr>
            <w:tcW w:w="526" w:type="dxa"/>
          </w:tcPr>
          <w:p>
            <w:pPr>
              <w:pStyle w:val="TableParagraph"/>
              <w:spacing w:before="3"/>
              <w:ind w:left="28"/>
              <w:rPr>
                <w:sz w:val="19"/>
              </w:rPr>
            </w:pPr>
            <w:r>
              <w:rPr>
                <w:w w:val="102"/>
                <w:sz w:val="19"/>
              </w:rPr>
              <w:t>3</w:t>
            </w:r>
          </w:p>
        </w:tc>
        <w:tc>
          <w:tcPr>
            <w:tcW w:w="526" w:type="dxa"/>
          </w:tcPr>
          <w:p>
            <w:pPr>
              <w:pStyle w:val="TableParagraph"/>
              <w:spacing w:before="3"/>
              <w:ind w:right="1"/>
              <w:rPr>
                <w:sz w:val="19"/>
              </w:rPr>
            </w:pPr>
            <w:r>
              <w:rPr>
                <w:w w:val="102"/>
                <w:sz w:val="19"/>
              </w:rPr>
              <w:t>1</w:t>
            </w:r>
          </w:p>
        </w:tc>
        <w:tc>
          <w:tcPr>
            <w:tcW w:w="496" w:type="dxa"/>
          </w:tcPr>
          <w:p>
            <w:pPr>
              <w:pStyle w:val="TableParagraph"/>
              <w:spacing w:before="3"/>
              <w:ind w:left="25"/>
              <w:rPr>
                <w:sz w:val="19"/>
              </w:rPr>
            </w:pPr>
            <w:r>
              <w:rPr>
                <w:w w:val="102"/>
                <w:sz w:val="19"/>
              </w:rPr>
              <w:t>1</w:t>
            </w:r>
          </w:p>
        </w:tc>
        <w:tc>
          <w:tcPr>
            <w:tcW w:w="526" w:type="dxa"/>
          </w:tcPr>
          <w:p>
            <w:pPr>
              <w:pStyle w:val="TableParagraph"/>
              <w:spacing w:before="3"/>
              <w:ind w:left="24"/>
              <w:rPr>
                <w:sz w:val="19"/>
              </w:rPr>
            </w:pPr>
            <w:r>
              <w:rPr>
                <w:w w:val="102"/>
                <w:sz w:val="19"/>
              </w:rPr>
              <w:t>2</w:t>
            </w:r>
          </w:p>
        </w:tc>
      </w:tr>
    </w:tbl>
    <w:p>
      <w:pPr>
        <w:pStyle w:val="BodyText"/>
        <w:spacing w:before="2"/>
        <w:ind w:left="0"/>
        <w:jc w:val="left"/>
        <w:rPr>
          <w:b/>
          <w:sz w:val="20"/>
        </w:rPr>
      </w:pPr>
    </w:p>
    <w:p>
      <w:pPr>
        <w:spacing w:line="271" w:lineRule="auto" w:before="0"/>
        <w:ind w:left="121" w:right="0" w:firstLine="0"/>
        <w:jc w:val="left"/>
        <w:rPr>
          <w:sz w:val="19"/>
        </w:rPr>
      </w:pPr>
      <w:r>
        <w:rPr>
          <w:sz w:val="19"/>
        </w:rPr>
        <w:t>Notes:</w:t>
      </w:r>
      <w:r>
        <w:rPr>
          <w:spacing w:val="15"/>
          <w:sz w:val="19"/>
        </w:rPr>
        <w:t> </w:t>
      </w:r>
      <w:r>
        <w:rPr>
          <w:sz w:val="19"/>
        </w:rPr>
        <w:t>Here,</w:t>
      </w:r>
      <w:r>
        <w:rPr>
          <w:spacing w:val="23"/>
          <w:sz w:val="19"/>
        </w:rPr>
        <w:t> </w:t>
      </w:r>
      <w:r>
        <w:rPr>
          <w:sz w:val="19"/>
        </w:rPr>
        <w:t>SDG</w:t>
      </w:r>
      <w:r>
        <w:rPr>
          <w:spacing w:val="40"/>
          <w:sz w:val="19"/>
        </w:rPr>
        <w:t> </w:t>
      </w:r>
      <w:r>
        <w:rPr>
          <w:sz w:val="19"/>
        </w:rPr>
        <w:t>1</w:t>
      </w:r>
      <w:r>
        <w:rPr>
          <w:spacing w:val="18"/>
          <w:sz w:val="19"/>
        </w:rPr>
        <w:t> </w:t>
      </w:r>
      <w:r>
        <w:rPr>
          <w:sz w:val="19"/>
        </w:rPr>
        <w:t>=</w:t>
      </w:r>
      <w:r>
        <w:rPr>
          <w:spacing w:val="22"/>
          <w:sz w:val="19"/>
        </w:rPr>
        <w:t> </w:t>
      </w:r>
      <w:r>
        <w:rPr>
          <w:sz w:val="19"/>
        </w:rPr>
        <w:t>No</w:t>
      </w:r>
      <w:r>
        <w:rPr>
          <w:spacing w:val="18"/>
          <w:sz w:val="19"/>
        </w:rPr>
        <w:t> </w:t>
      </w:r>
      <w:r>
        <w:rPr>
          <w:sz w:val="19"/>
        </w:rPr>
        <w:t>poverty;</w:t>
      </w:r>
      <w:r>
        <w:rPr>
          <w:spacing w:val="15"/>
          <w:sz w:val="19"/>
        </w:rPr>
        <w:t> </w:t>
      </w:r>
      <w:r>
        <w:rPr>
          <w:sz w:val="19"/>
        </w:rPr>
        <w:t>SDG</w:t>
      </w:r>
      <w:r>
        <w:rPr>
          <w:spacing w:val="21"/>
          <w:sz w:val="19"/>
        </w:rPr>
        <w:t> </w:t>
      </w:r>
      <w:r>
        <w:rPr>
          <w:sz w:val="19"/>
        </w:rPr>
        <w:t>2</w:t>
      </w:r>
      <w:r>
        <w:rPr>
          <w:spacing w:val="18"/>
          <w:sz w:val="19"/>
        </w:rPr>
        <w:t> </w:t>
      </w:r>
      <w:r>
        <w:rPr>
          <w:sz w:val="19"/>
        </w:rPr>
        <w:t>=</w:t>
      </w:r>
      <w:r>
        <w:rPr>
          <w:spacing w:val="22"/>
          <w:sz w:val="19"/>
        </w:rPr>
        <w:t> </w:t>
      </w:r>
      <w:r>
        <w:rPr>
          <w:sz w:val="19"/>
        </w:rPr>
        <w:t>Zero</w:t>
      </w:r>
      <w:r>
        <w:rPr>
          <w:spacing w:val="18"/>
          <w:sz w:val="19"/>
        </w:rPr>
        <w:t> </w:t>
      </w:r>
      <w:r>
        <w:rPr>
          <w:sz w:val="19"/>
        </w:rPr>
        <w:t>hunger;</w:t>
      </w:r>
      <w:r>
        <w:rPr>
          <w:spacing w:val="35"/>
          <w:sz w:val="19"/>
        </w:rPr>
        <w:t> </w:t>
      </w:r>
      <w:r>
        <w:rPr>
          <w:sz w:val="19"/>
        </w:rPr>
        <w:t>SDG</w:t>
      </w:r>
      <w:r>
        <w:rPr>
          <w:spacing w:val="40"/>
          <w:sz w:val="19"/>
        </w:rPr>
        <w:t> </w:t>
      </w:r>
      <w:r>
        <w:rPr>
          <w:sz w:val="19"/>
        </w:rPr>
        <w:t>3</w:t>
      </w:r>
      <w:r>
        <w:rPr>
          <w:spacing w:val="18"/>
          <w:sz w:val="19"/>
        </w:rPr>
        <w:t> </w:t>
      </w:r>
      <w:r>
        <w:rPr>
          <w:sz w:val="19"/>
        </w:rPr>
        <w:t>= Good</w:t>
      </w:r>
      <w:r>
        <w:rPr>
          <w:spacing w:val="18"/>
          <w:sz w:val="19"/>
        </w:rPr>
        <w:t> </w:t>
      </w:r>
      <w:r>
        <w:rPr>
          <w:sz w:val="19"/>
        </w:rPr>
        <w:t>health</w:t>
      </w:r>
      <w:r>
        <w:rPr>
          <w:spacing w:val="18"/>
          <w:sz w:val="19"/>
        </w:rPr>
        <w:t> </w:t>
      </w:r>
      <w:r>
        <w:rPr>
          <w:sz w:val="19"/>
        </w:rPr>
        <w:t>and</w:t>
      </w:r>
      <w:r>
        <w:rPr>
          <w:spacing w:val="18"/>
          <w:sz w:val="19"/>
        </w:rPr>
        <w:t> </w:t>
      </w:r>
      <w:r>
        <w:rPr>
          <w:sz w:val="19"/>
        </w:rPr>
        <w:t>well-being;</w:t>
      </w:r>
      <w:r>
        <w:rPr>
          <w:spacing w:val="35"/>
          <w:sz w:val="19"/>
        </w:rPr>
        <w:t> </w:t>
      </w:r>
      <w:r>
        <w:rPr>
          <w:sz w:val="19"/>
        </w:rPr>
        <w:t>SDG</w:t>
      </w:r>
      <w:r>
        <w:rPr>
          <w:spacing w:val="40"/>
          <w:sz w:val="19"/>
        </w:rPr>
        <w:t> </w:t>
      </w:r>
      <w:r>
        <w:rPr>
          <w:sz w:val="19"/>
        </w:rPr>
        <w:t>4</w:t>
      </w:r>
      <w:r>
        <w:rPr>
          <w:spacing w:val="18"/>
          <w:sz w:val="19"/>
        </w:rPr>
        <w:t> </w:t>
      </w:r>
      <w:r>
        <w:rPr>
          <w:sz w:val="19"/>
        </w:rPr>
        <w:t>=</w:t>
      </w:r>
      <w:r>
        <w:rPr>
          <w:spacing w:val="22"/>
          <w:sz w:val="19"/>
        </w:rPr>
        <w:t> </w:t>
      </w:r>
      <w:r>
        <w:rPr>
          <w:sz w:val="19"/>
        </w:rPr>
        <w:t>Quality</w:t>
      </w:r>
      <w:r>
        <w:rPr>
          <w:spacing w:val="18"/>
          <w:sz w:val="19"/>
        </w:rPr>
        <w:t> </w:t>
      </w:r>
      <w:r>
        <w:rPr>
          <w:sz w:val="19"/>
        </w:rPr>
        <w:t>education;</w:t>
      </w:r>
      <w:r>
        <w:rPr>
          <w:spacing w:val="15"/>
          <w:sz w:val="19"/>
        </w:rPr>
        <w:t> </w:t>
      </w:r>
      <w:r>
        <w:rPr>
          <w:sz w:val="19"/>
        </w:rPr>
        <w:t>SDG 5</w:t>
      </w:r>
      <w:r>
        <w:rPr>
          <w:spacing w:val="18"/>
          <w:sz w:val="19"/>
        </w:rPr>
        <w:t> </w:t>
      </w:r>
      <w:r>
        <w:rPr>
          <w:sz w:val="19"/>
        </w:rPr>
        <w:t>=</w:t>
      </w:r>
      <w:r>
        <w:rPr>
          <w:spacing w:val="22"/>
          <w:sz w:val="19"/>
        </w:rPr>
        <w:t> </w:t>
      </w:r>
      <w:r>
        <w:rPr>
          <w:sz w:val="19"/>
        </w:rPr>
        <w:t>Gender equality;</w:t>
      </w:r>
      <w:r>
        <w:rPr>
          <w:spacing w:val="15"/>
          <w:sz w:val="19"/>
        </w:rPr>
        <w:t> </w:t>
      </w:r>
      <w:r>
        <w:rPr>
          <w:sz w:val="19"/>
        </w:rPr>
        <w:t>SDG</w:t>
      </w:r>
      <w:r>
        <w:rPr>
          <w:spacing w:val="21"/>
          <w:sz w:val="19"/>
        </w:rPr>
        <w:t> </w:t>
      </w:r>
      <w:r>
        <w:rPr>
          <w:sz w:val="19"/>
        </w:rPr>
        <w:t>6</w:t>
      </w:r>
      <w:r>
        <w:rPr>
          <w:spacing w:val="18"/>
          <w:sz w:val="19"/>
        </w:rPr>
        <w:t> </w:t>
      </w:r>
      <w:r>
        <w:rPr>
          <w:sz w:val="19"/>
        </w:rPr>
        <w:t>=</w:t>
      </w:r>
      <w:r>
        <w:rPr>
          <w:spacing w:val="22"/>
          <w:sz w:val="19"/>
        </w:rPr>
        <w:t> </w:t>
      </w:r>
      <w:r>
        <w:rPr>
          <w:sz w:val="19"/>
        </w:rPr>
        <w:t>Clean</w:t>
      </w:r>
      <w:r>
        <w:rPr>
          <w:spacing w:val="18"/>
          <w:sz w:val="19"/>
        </w:rPr>
        <w:t> </w:t>
      </w:r>
      <w:r>
        <w:rPr>
          <w:sz w:val="19"/>
        </w:rPr>
        <w:t>water and</w:t>
      </w:r>
      <w:r>
        <w:rPr>
          <w:spacing w:val="35"/>
          <w:sz w:val="19"/>
        </w:rPr>
        <w:t> </w:t>
      </w:r>
      <w:r>
        <w:rPr>
          <w:sz w:val="19"/>
        </w:rPr>
        <w:t>sanitation;</w:t>
      </w:r>
      <w:r>
        <w:rPr>
          <w:spacing w:val="32"/>
          <w:sz w:val="19"/>
        </w:rPr>
        <w:t> </w:t>
      </w:r>
      <w:r>
        <w:rPr>
          <w:sz w:val="19"/>
        </w:rPr>
        <w:t>SDG</w:t>
      </w:r>
      <w:r>
        <w:rPr>
          <w:spacing w:val="14"/>
          <w:sz w:val="19"/>
        </w:rPr>
        <w:t> </w:t>
      </w:r>
      <w:r>
        <w:rPr>
          <w:sz w:val="19"/>
        </w:rPr>
        <w:t>7</w:t>
      </w:r>
      <w:r>
        <w:rPr>
          <w:spacing w:val="35"/>
          <w:sz w:val="19"/>
        </w:rPr>
        <w:t> </w:t>
      </w:r>
      <w:r>
        <w:rPr>
          <w:sz w:val="19"/>
        </w:rPr>
        <w:t>=</w:t>
      </w:r>
      <w:r>
        <w:rPr>
          <w:spacing w:val="16"/>
          <w:sz w:val="19"/>
        </w:rPr>
        <w:t> </w:t>
      </w:r>
      <w:r>
        <w:rPr>
          <w:sz w:val="19"/>
        </w:rPr>
        <w:t>Affordable</w:t>
      </w:r>
      <w:r>
        <w:rPr>
          <w:spacing w:val="29"/>
          <w:sz w:val="19"/>
        </w:rPr>
        <w:t> </w:t>
      </w:r>
      <w:r>
        <w:rPr>
          <w:sz w:val="19"/>
        </w:rPr>
        <w:t>and</w:t>
      </w:r>
      <w:r>
        <w:rPr>
          <w:spacing w:val="35"/>
          <w:sz w:val="19"/>
        </w:rPr>
        <w:t> </w:t>
      </w:r>
      <w:r>
        <w:rPr>
          <w:sz w:val="19"/>
        </w:rPr>
        <w:t>clean</w:t>
      </w:r>
      <w:r>
        <w:rPr>
          <w:spacing w:val="35"/>
          <w:sz w:val="19"/>
        </w:rPr>
        <w:t> </w:t>
      </w:r>
      <w:r>
        <w:rPr>
          <w:sz w:val="19"/>
        </w:rPr>
        <w:t>energy;</w:t>
      </w:r>
      <w:r>
        <w:rPr>
          <w:spacing w:val="32"/>
          <w:sz w:val="19"/>
        </w:rPr>
        <w:t> </w:t>
      </w:r>
      <w:r>
        <w:rPr>
          <w:sz w:val="19"/>
        </w:rPr>
        <w:t>SDG</w:t>
      </w:r>
      <w:r>
        <w:rPr>
          <w:spacing w:val="14"/>
          <w:sz w:val="19"/>
        </w:rPr>
        <w:t> </w:t>
      </w:r>
      <w:r>
        <w:rPr>
          <w:sz w:val="19"/>
        </w:rPr>
        <w:t>8</w:t>
      </w:r>
      <w:r>
        <w:rPr>
          <w:spacing w:val="35"/>
          <w:sz w:val="19"/>
        </w:rPr>
        <w:t> </w:t>
      </w:r>
      <w:r>
        <w:rPr>
          <w:sz w:val="19"/>
        </w:rPr>
        <w:t>=</w:t>
      </w:r>
      <w:r>
        <w:rPr>
          <w:spacing w:val="16"/>
          <w:sz w:val="19"/>
        </w:rPr>
        <w:t> </w:t>
      </w:r>
      <w:r>
        <w:rPr>
          <w:sz w:val="19"/>
        </w:rPr>
        <w:t>Decent</w:t>
      </w:r>
      <w:r>
        <w:rPr>
          <w:spacing w:val="32"/>
          <w:sz w:val="19"/>
        </w:rPr>
        <w:t> </w:t>
      </w:r>
      <w:r>
        <w:rPr>
          <w:sz w:val="19"/>
        </w:rPr>
        <w:t>work</w:t>
      </w:r>
      <w:r>
        <w:rPr>
          <w:spacing w:val="35"/>
          <w:sz w:val="19"/>
        </w:rPr>
        <w:t> </w:t>
      </w:r>
      <w:r>
        <w:rPr>
          <w:sz w:val="19"/>
        </w:rPr>
        <w:t>and</w:t>
      </w:r>
      <w:r>
        <w:rPr>
          <w:spacing w:val="35"/>
          <w:sz w:val="19"/>
        </w:rPr>
        <w:t> </w:t>
      </w:r>
      <w:r>
        <w:rPr>
          <w:sz w:val="19"/>
        </w:rPr>
        <w:t>economic</w:t>
      </w:r>
      <w:r>
        <w:rPr>
          <w:spacing w:val="29"/>
          <w:sz w:val="19"/>
        </w:rPr>
        <w:t> </w:t>
      </w:r>
      <w:r>
        <w:rPr>
          <w:sz w:val="19"/>
        </w:rPr>
        <w:t>growth;</w:t>
      </w:r>
      <w:r>
        <w:rPr>
          <w:spacing w:val="40"/>
          <w:sz w:val="19"/>
        </w:rPr>
        <w:t> </w:t>
      </w:r>
      <w:r>
        <w:rPr>
          <w:sz w:val="19"/>
        </w:rPr>
        <w:t>SDG</w:t>
      </w:r>
      <w:r>
        <w:rPr>
          <w:spacing w:val="39"/>
          <w:sz w:val="19"/>
        </w:rPr>
        <w:t> </w:t>
      </w:r>
      <w:r>
        <w:rPr>
          <w:sz w:val="19"/>
        </w:rPr>
        <w:t>9</w:t>
      </w:r>
      <w:r>
        <w:rPr>
          <w:spacing w:val="35"/>
          <w:sz w:val="19"/>
        </w:rPr>
        <w:t> </w:t>
      </w:r>
      <w:r>
        <w:rPr>
          <w:sz w:val="19"/>
        </w:rPr>
        <w:t>=</w:t>
      </w:r>
      <w:r>
        <w:rPr>
          <w:spacing w:val="40"/>
          <w:sz w:val="19"/>
        </w:rPr>
        <w:t> </w:t>
      </w:r>
      <w:r>
        <w:rPr>
          <w:sz w:val="19"/>
        </w:rPr>
        <w:t>Industry,</w:t>
      </w:r>
      <w:r>
        <w:rPr>
          <w:spacing w:val="18"/>
          <w:sz w:val="19"/>
        </w:rPr>
        <w:t> </w:t>
      </w:r>
      <w:r>
        <w:rPr>
          <w:sz w:val="19"/>
        </w:rPr>
        <w:t>innovation</w:t>
      </w:r>
      <w:r>
        <w:rPr>
          <w:spacing w:val="35"/>
          <w:sz w:val="19"/>
        </w:rPr>
        <w:t> </w:t>
      </w:r>
      <w:r>
        <w:rPr>
          <w:sz w:val="19"/>
        </w:rPr>
        <w:t>and</w:t>
      </w:r>
      <w:r>
        <w:rPr>
          <w:spacing w:val="35"/>
          <w:sz w:val="19"/>
        </w:rPr>
        <w:t> </w:t>
      </w:r>
      <w:r>
        <w:rPr>
          <w:sz w:val="19"/>
        </w:rPr>
        <w:t>infrastructure;</w:t>
      </w:r>
      <w:r>
        <w:rPr>
          <w:spacing w:val="32"/>
          <w:sz w:val="19"/>
        </w:rPr>
        <w:t> </w:t>
      </w:r>
      <w:r>
        <w:rPr>
          <w:sz w:val="19"/>
        </w:rPr>
        <w:t>SDG</w:t>
      </w:r>
      <w:r>
        <w:rPr>
          <w:spacing w:val="14"/>
          <w:sz w:val="19"/>
        </w:rPr>
        <w:t> </w:t>
      </w:r>
      <w:r>
        <w:rPr>
          <w:sz w:val="19"/>
        </w:rPr>
        <w:t>10</w:t>
      </w:r>
      <w:r>
        <w:rPr>
          <w:spacing w:val="35"/>
          <w:sz w:val="19"/>
        </w:rPr>
        <w:t> </w:t>
      </w:r>
      <w:r>
        <w:rPr>
          <w:sz w:val="19"/>
        </w:rPr>
        <w:t>=</w:t>
      </w:r>
      <w:r>
        <w:rPr>
          <w:spacing w:val="16"/>
          <w:sz w:val="19"/>
        </w:rPr>
        <w:t> </w:t>
      </w:r>
      <w:r>
        <w:rPr>
          <w:sz w:val="19"/>
        </w:rPr>
        <w:t>Reduced inequalities;</w:t>
      </w:r>
      <w:r>
        <w:rPr>
          <w:spacing w:val="40"/>
          <w:sz w:val="19"/>
        </w:rPr>
        <w:t> </w:t>
      </w:r>
      <w:r>
        <w:rPr>
          <w:sz w:val="19"/>
        </w:rPr>
        <w:t>SDG</w:t>
      </w:r>
      <w:r>
        <w:rPr>
          <w:spacing w:val="62"/>
          <w:sz w:val="19"/>
        </w:rPr>
        <w:t> </w:t>
      </w:r>
      <w:r>
        <w:rPr>
          <w:sz w:val="19"/>
        </w:rPr>
        <w:t>11</w:t>
      </w:r>
      <w:r>
        <w:rPr>
          <w:spacing w:val="35"/>
          <w:sz w:val="19"/>
        </w:rPr>
        <w:t> </w:t>
      </w:r>
      <w:r>
        <w:rPr>
          <w:sz w:val="19"/>
        </w:rPr>
        <w:t>=</w:t>
      </w:r>
      <w:r>
        <w:rPr>
          <w:spacing w:val="16"/>
          <w:sz w:val="19"/>
        </w:rPr>
        <w:t> </w:t>
      </w:r>
      <w:r>
        <w:rPr>
          <w:sz w:val="19"/>
        </w:rPr>
        <w:t>Sustainable</w:t>
      </w:r>
      <w:r>
        <w:rPr>
          <w:spacing w:val="29"/>
          <w:sz w:val="19"/>
        </w:rPr>
        <w:t> </w:t>
      </w:r>
      <w:r>
        <w:rPr>
          <w:sz w:val="19"/>
        </w:rPr>
        <w:t>cities</w:t>
      </w:r>
      <w:r>
        <w:rPr>
          <w:spacing w:val="22"/>
          <w:sz w:val="19"/>
        </w:rPr>
        <w:t> </w:t>
      </w:r>
      <w:r>
        <w:rPr>
          <w:sz w:val="19"/>
        </w:rPr>
        <w:t>and</w:t>
      </w:r>
      <w:r>
        <w:rPr>
          <w:spacing w:val="35"/>
          <w:sz w:val="19"/>
        </w:rPr>
        <w:t> </w:t>
      </w:r>
      <w:r>
        <w:rPr>
          <w:sz w:val="19"/>
        </w:rPr>
        <w:t>communities;</w:t>
      </w:r>
      <w:r>
        <w:rPr>
          <w:spacing w:val="32"/>
          <w:sz w:val="19"/>
        </w:rPr>
        <w:t> </w:t>
      </w:r>
      <w:r>
        <w:rPr>
          <w:sz w:val="19"/>
        </w:rPr>
        <w:t>SDG</w:t>
      </w:r>
      <w:r>
        <w:rPr>
          <w:spacing w:val="14"/>
          <w:sz w:val="19"/>
        </w:rPr>
        <w:t> </w:t>
      </w:r>
      <w:r>
        <w:rPr>
          <w:sz w:val="19"/>
        </w:rPr>
        <w:t>12</w:t>
      </w:r>
      <w:r>
        <w:rPr>
          <w:spacing w:val="35"/>
          <w:sz w:val="19"/>
        </w:rPr>
        <w:t> </w:t>
      </w:r>
      <w:r>
        <w:rPr>
          <w:sz w:val="19"/>
        </w:rPr>
        <w:t>=</w:t>
      </w:r>
      <w:r>
        <w:rPr>
          <w:spacing w:val="40"/>
          <w:sz w:val="19"/>
        </w:rPr>
        <w:t> </w:t>
      </w:r>
      <w:r>
        <w:rPr>
          <w:sz w:val="19"/>
        </w:rPr>
        <w:t>Responsible</w:t>
      </w:r>
      <w:r>
        <w:rPr>
          <w:spacing w:val="29"/>
          <w:sz w:val="19"/>
        </w:rPr>
        <w:t> </w:t>
      </w:r>
      <w:r>
        <w:rPr>
          <w:sz w:val="19"/>
        </w:rPr>
        <w:t>consumption</w:t>
      </w:r>
      <w:r>
        <w:rPr>
          <w:spacing w:val="35"/>
          <w:sz w:val="19"/>
        </w:rPr>
        <w:t> </w:t>
      </w:r>
      <w:r>
        <w:rPr>
          <w:sz w:val="19"/>
        </w:rPr>
        <w:t>and</w:t>
      </w:r>
      <w:r>
        <w:rPr>
          <w:spacing w:val="35"/>
          <w:sz w:val="19"/>
        </w:rPr>
        <w:t> </w:t>
      </w:r>
      <w:r>
        <w:rPr>
          <w:sz w:val="19"/>
        </w:rPr>
        <w:t>production;</w:t>
      </w:r>
      <w:r>
        <w:rPr>
          <w:spacing w:val="32"/>
          <w:sz w:val="19"/>
        </w:rPr>
        <w:t> </w:t>
      </w:r>
      <w:r>
        <w:rPr>
          <w:sz w:val="19"/>
        </w:rPr>
        <w:t>SDG</w:t>
      </w:r>
      <w:r>
        <w:rPr>
          <w:spacing w:val="14"/>
          <w:sz w:val="19"/>
        </w:rPr>
        <w:t> </w:t>
      </w:r>
      <w:r>
        <w:rPr>
          <w:sz w:val="19"/>
        </w:rPr>
        <w:t>13</w:t>
      </w:r>
      <w:r>
        <w:rPr>
          <w:spacing w:val="35"/>
          <w:sz w:val="19"/>
        </w:rPr>
        <w:t> </w:t>
      </w:r>
      <w:r>
        <w:rPr>
          <w:sz w:val="19"/>
        </w:rPr>
        <w:t>=</w:t>
      </w:r>
      <w:r>
        <w:rPr>
          <w:spacing w:val="16"/>
          <w:sz w:val="19"/>
        </w:rPr>
        <w:t> </w:t>
      </w:r>
      <w:r>
        <w:rPr>
          <w:sz w:val="19"/>
        </w:rPr>
        <w:t>Climate</w:t>
      </w:r>
      <w:r>
        <w:rPr>
          <w:spacing w:val="69"/>
          <w:sz w:val="19"/>
        </w:rPr>
        <w:t> </w:t>
      </w:r>
      <w:r>
        <w:rPr>
          <w:sz w:val="19"/>
        </w:rPr>
        <w:t>action;</w:t>
      </w:r>
      <w:r>
        <w:rPr>
          <w:spacing w:val="32"/>
          <w:sz w:val="19"/>
        </w:rPr>
        <w:t> </w:t>
      </w:r>
      <w:r>
        <w:rPr>
          <w:sz w:val="19"/>
        </w:rPr>
        <w:t>SDG</w:t>
      </w:r>
      <w:r>
        <w:rPr>
          <w:spacing w:val="14"/>
          <w:sz w:val="19"/>
        </w:rPr>
        <w:t> </w:t>
      </w:r>
      <w:r>
        <w:rPr>
          <w:sz w:val="19"/>
        </w:rPr>
        <w:t>14</w:t>
      </w:r>
      <w:r>
        <w:rPr>
          <w:spacing w:val="35"/>
          <w:sz w:val="19"/>
        </w:rPr>
        <w:t> </w:t>
      </w:r>
      <w:r>
        <w:rPr>
          <w:sz w:val="19"/>
        </w:rPr>
        <w:t>=</w:t>
      </w:r>
      <w:r>
        <w:rPr>
          <w:spacing w:val="16"/>
          <w:sz w:val="19"/>
        </w:rPr>
        <w:t> </w:t>
      </w:r>
      <w:r>
        <w:rPr>
          <w:sz w:val="19"/>
        </w:rPr>
        <w:t>Life</w:t>
      </w:r>
      <w:r>
        <w:rPr>
          <w:spacing w:val="29"/>
          <w:sz w:val="19"/>
        </w:rPr>
        <w:t> </w:t>
      </w:r>
      <w:r>
        <w:rPr>
          <w:sz w:val="19"/>
        </w:rPr>
        <w:t>below</w:t>
      </w:r>
      <w:r>
        <w:rPr>
          <w:spacing w:val="14"/>
          <w:sz w:val="19"/>
        </w:rPr>
        <w:t> </w:t>
      </w:r>
      <w:r>
        <w:rPr>
          <w:sz w:val="19"/>
        </w:rPr>
        <w:t>water;</w:t>
      </w:r>
    </w:p>
    <w:p>
      <w:pPr>
        <w:spacing w:line="214" w:lineRule="exact" w:before="0"/>
        <w:ind w:left="121" w:right="0" w:firstLine="0"/>
        <w:jc w:val="left"/>
        <w:rPr>
          <w:sz w:val="19"/>
        </w:rPr>
      </w:pPr>
      <w:r>
        <w:rPr>
          <w:sz w:val="19"/>
        </w:rPr>
        <w:t>SDG</w:t>
      </w:r>
      <w:r>
        <w:rPr>
          <w:spacing w:val="40"/>
          <w:sz w:val="19"/>
        </w:rPr>
        <w:t> </w:t>
      </w:r>
      <w:r>
        <w:rPr>
          <w:sz w:val="19"/>
        </w:rPr>
        <w:t>15</w:t>
      </w:r>
      <w:r>
        <w:rPr>
          <w:spacing w:val="18"/>
          <w:sz w:val="19"/>
        </w:rPr>
        <w:t> </w:t>
      </w:r>
      <w:r>
        <w:rPr>
          <w:sz w:val="19"/>
        </w:rPr>
        <w:t>=</w:t>
      </w:r>
      <w:r>
        <w:rPr>
          <w:spacing w:val="22"/>
          <w:sz w:val="19"/>
        </w:rPr>
        <w:t> </w:t>
      </w:r>
      <w:r>
        <w:rPr>
          <w:sz w:val="19"/>
        </w:rPr>
        <w:t>Life</w:t>
      </w:r>
      <w:r>
        <w:rPr>
          <w:spacing w:val="13"/>
          <w:sz w:val="19"/>
        </w:rPr>
        <w:t> </w:t>
      </w:r>
      <w:r>
        <w:rPr>
          <w:sz w:val="19"/>
        </w:rPr>
        <w:t>on</w:t>
      </w:r>
      <w:r>
        <w:rPr>
          <w:spacing w:val="19"/>
          <w:sz w:val="19"/>
        </w:rPr>
        <w:t> </w:t>
      </w:r>
      <w:r>
        <w:rPr>
          <w:sz w:val="19"/>
        </w:rPr>
        <w:t>land;</w:t>
      </w:r>
      <w:r>
        <w:rPr>
          <w:spacing w:val="15"/>
          <w:sz w:val="19"/>
        </w:rPr>
        <w:t> </w:t>
      </w:r>
      <w:r>
        <w:rPr>
          <w:sz w:val="19"/>
        </w:rPr>
        <w:t>SDG</w:t>
      </w:r>
      <w:r>
        <w:rPr>
          <w:spacing w:val="21"/>
          <w:sz w:val="19"/>
        </w:rPr>
        <w:t> </w:t>
      </w:r>
      <w:r>
        <w:rPr>
          <w:sz w:val="19"/>
        </w:rPr>
        <w:t>16</w:t>
      </w:r>
      <w:r>
        <w:rPr>
          <w:spacing w:val="25"/>
          <w:sz w:val="19"/>
        </w:rPr>
        <w:t> </w:t>
      </w:r>
      <w:r>
        <w:rPr>
          <w:sz w:val="19"/>
        </w:rPr>
        <w:t>=</w:t>
      </w:r>
      <w:r>
        <w:rPr>
          <w:spacing w:val="3"/>
          <w:sz w:val="19"/>
        </w:rPr>
        <w:t> </w:t>
      </w:r>
      <w:r>
        <w:rPr>
          <w:sz w:val="19"/>
        </w:rPr>
        <w:t>Peace,</w:t>
      </w:r>
      <w:r>
        <w:rPr>
          <w:spacing w:val="4"/>
          <w:sz w:val="19"/>
        </w:rPr>
        <w:t> </w:t>
      </w:r>
      <w:r>
        <w:rPr>
          <w:sz w:val="19"/>
        </w:rPr>
        <w:t>justice</w:t>
      </w:r>
      <w:r>
        <w:rPr>
          <w:spacing w:val="13"/>
          <w:sz w:val="19"/>
        </w:rPr>
        <w:t> </w:t>
      </w:r>
      <w:r>
        <w:rPr>
          <w:sz w:val="19"/>
        </w:rPr>
        <w:t>and</w:t>
      </w:r>
      <w:r>
        <w:rPr>
          <w:spacing w:val="19"/>
          <w:sz w:val="19"/>
        </w:rPr>
        <w:t> </w:t>
      </w:r>
      <w:r>
        <w:rPr>
          <w:sz w:val="19"/>
        </w:rPr>
        <w:t>strong</w:t>
      </w:r>
      <w:r>
        <w:rPr>
          <w:spacing w:val="-1"/>
          <w:sz w:val="19"/>
        </w:rPr>
        <w:t> </w:t>
      </w:r>
      <w:r>
        <w:rPr>
          <w:sz w:val="19"/>
        </w:rPr>
        <w:t>institutions;</w:t>
      </w:r>
      <w:r>
        <w:rPr>
          <w:spacing w:val="16"/>
          <w:sz w:val="19"/>
        </w:rPr>
        <w:t> </w:t>
      </w:r>
      <w:r>
        <w:rPr>
          <w:sz w:val="19"/>
        </w:rPr>
        <w:t>SDG</w:t>
      </w:r>
      <w:r>
        <w:rPr>
          <w:spacing w:val="40"/>
          <w:sz w:val="19"/>
        </w:rPr>
        <w:t> </w:t>
      </w:r>
      <w:r>
        <w:rPr>
          <w:sz w:val="19"/>
        </w:rPr>
        <w:t>17</w:t>
      </w:r>
      <w:r>
        <w:rPr>
          <w:spacing w:val="18"/>
          <w:sz w:val="19"/>
        </w:rPr>
        <w:t> </w:t>
      </w:r>
      <w:r>
        <w:rPr>
          <w:sz w:val="19"/>
        </w:rPr>
        <w:t>=</w:t>
      </w:r>
      <w:r>
        <w:rPr>
          <w:spacing w:val="3"/>
          <w:sz w:val="19"/>
        </w:rPr>
        <w:t> </w:t>
      </w:r>
      <w:r>
        <w:rPr>
          <w:sz w:val="19"/>
        </w:rPr>
        <w:t>Partnerships</w:t>
      </w:r>
      <w:r>
        <w:rPr>
          <w:spacing w:val="27"/>
          <w:sz w:val="19"/>
        </w:rPr>
        <w:t> </w:t>
      </w:r>
      <w:r>
        <w:rPr>
          <w:sz w:val="19"/>
        </w:rPr>
        <w:t>for</w:t>
      </w:r>
      <w:r>
        <w:rPr>
          <w:spacing w:val="3"/>
          <w:sz w:val="19"/>
        </w:rPr>
        <w:t> </w:t>
      </w:r>
      <w:r>
        <w:rPr>
          <w:sz w:val="19"/>
        </w:rPr>
        <w:t>the</w:t>
      </w:r>
      <w:r>
        <w:rPr>
          <w:spacing w:val="13"/>
          <w:sz w:val="19"/>
        </w:rPr>
        <w:t> </w:t>
      </w:r>
      <w:r>
        <w:rPr>
          <w:spacing w:val="-2"/>
          <w:sz w:val="19"/>
        </w:rPr>
        <w:t>goals.</w:t>
      </w:r>
    </w:p>
    <w:p>
      <w:pPr>
        <w:pStyle w:val="BodyText"/>
        <w:spacing w:before="6"/>
        <w:ind w:left="0"/>
        <w:jc w:val="left"/>
        <w:rPr>
          <w:sz w:val="17"/>
        </w:rPr>
      </w:pPr>
    </w:p>
    <w:p>
      <w:pPr>
        <w:spacing w:line="247" w:lineRule="auto" w:before="1"/>
        <w:ind w:left="121" w:right="0" w:firstLine="0"/>
        <w:jc w:val="left"/>
        <w:rPr>
          <w:sz w:val="19"/>
        </w:rPr>
      </w:pPr>
      <w:r>
        <w:rPr>
          <w:sz w:val="19"/>
        </w:rPr>
        <w:t>Panel A</w:t>
      </w:r>
      <w:r>
        <w:rPr>
          <w:spacing w:val="33"/>
          <w:sz w:val="19"/>
        </w:rPr>
        <w:t> </w:t>
      </w:r>
      <w:r>
        <w:rPr>
          <w:sz w:val="19"/>
        </w:rPr>
        <w:t>presents</w:t>
      </w:r>
      <w:r>
        <w:rPr>
          <w:spacing w:val="18"/>
          <w:sz w:val="19"/>
        </w:rPr>
        <w:t> </w:t>
      </w:r>
      <w:r>
        <w:rPr>
          <w:sz w:val="19"/>
        </w:rPr>
        <w:t>the</w:t>
      </w:r>
      <w:r>
        <w:rPr>
          <w:spacing w:val="24"/>
          <w:sz w:val="19"/>
        </w:rPr>
        <w:t> </w:t>
      </w:r>
      <w:r>
        <w:rPr>
          <w:sz w:val="19"/>
        </w:rPr>
        <w:t>distribution</w:t>
      </w:r>
      <w:r>
        <w:rPr>
          <w:spacing w:val="30"/>
          <w:sz w:val="19"/>
        </w:rPr>
        <w:t> </w:t>
      </w:r>
      <w:r>
        <w:rPr>
          <w:sz w:val="19"/>
        </w:rPr>
        <w:t>of</w:t>
      </w:r>
      <w:r>
        <w:rPr>
          <w:spacing w:val="35"/>
          <w:sz w:val="19"/>
        </w:rPr>
        <w:t> </w:t>
      </w:r>
      <w:r>
        <w:rPr>
          <w:sz w:val="19"/>
        </w:rPr>
        <w:t>impact</w:t>
      </w:r>
      <w:r>
        <w:rPr>
          <w:spacing w:val="27"/>
          <w:sz w:val="19"/>
        </w:rPr>
        <w:t> </w:t>
      </w:r>
      <w:r>
        <w:rPr>
          <w:sz w:val="19"/>
        </w:rPr>
        <w:t>investment</w:t>
      </w:r>
      <w:r>
        <w:rPr>
          <w:spacing w:val="27"/>
          <w:sz w:val="19"/>
        </w:rPr>
        <w:t> </w:t>
      </w:r>
      <w:r>
        <w:rPr>
          <w:sz w:val="19"/>
        </w:rPr>
        <w:t>deals</w:t>
      </w:r>
      <w:r>
        <w:rPr>
          <w:spacing w:val="18"/>
          <w:sz w:val="19"/>
        </w:rPr>
        <w:t> </w:t>
      </w:r>
      <w:r>
        <w:rPr>
          <w:sz w:val="19"/>
        </w:rPr>
        <w:t>across</w:t>
      </w:r>
      <w:r>
        <w:rPr>
          <w:spacing w:val="18"/>
          <w:sz w:val="19"/>
        </w:rPr>
        <w:t> </w:t>
      </w:r>
      <w:r>
        <w:rPr>
          <w:sz w:val="19"/>
        </w:rPr>
        <w:t>SDGs</w:t>
      </w:r>
      <w:r>
        <w:rPr>
          <w:spacing w:val="18"/>
          <w:sz w:val="19"/>
        </w:rPr>
        <w:t> </w:t>
      </w:r>
      <w:r>
        <w:rPr>
          <w:sz w:val="19"/>
        </w:rPr>
        <w:t>when</w:t>
      </w:r>
      <w:r>
        <w:rPr>
          <w:spacing w:val="30"/>
          <w:sz w:val="19"/>
        </w:rPr>
        <w:t> </w:t>
      </w:r>
      <w:r>
        <w:rPr>
          <w:sz w:val="19"/>
        </w:rPr>
        <w:t>a</w:t>
      </w:r>
      <w:r>
        <w:rPr>
          <w:spacing w:val="40"/>
          <w:sz w:val="19"/>
        </w:rPr>
        <w:t> </w:t>
      </w:r>
      <w:r>
        <w:rPr>
          <w:sz w:val="19"/>
        </w:rPr>
        <w:t>deal’s</w:t>
      </w:r>
      <w:r>
        <w:rPr>
          <w:spacing w:val="18"/>
          <w:sz w:val="19"/>
        </w:rPr>
        <w:t> </w:t>
      </w:r>
      <w:r>
        <w:rPr>
          <w:sz w:val="19"/>
        </w:rPr>
        <w:t>primary</w:t>
      </w:r>
      <w:r>
        <w:rPr>
          <w:spacing w:val="30"/>
          <w:sz w:val="19"/>
        </w:rPr>
        <w:t> </w:t>
      </w:r>
      <w:r>
        <w:rPr>
          <w:sz w:val="19"/>
        </w:rPr>
        <w:t>SDG</w:t>
      </w:r>
      <w:r>
        <w:rPr>
          <w:spacing w:val="10"/>
          <w:sz w:val="19"/>
        </w:rPr>
        <w:t> </w:t>
      </w:r>
      <w:r>
        <w:rPr>
          <w:sz w:val="19"/>
        </w:rPr>
        <w:t>is</w:t>
      </w:r>
      <w:r>
        <w:rPr>
          <w:spacing w:val="62"/>
          <w:sz w:val="19"/>
        </w:rPr>
        <w:t> </w:t>
      </w:r>
      <w:r>
        <w:rPr>
          <w:sz w:val="19"/>
        </w:rPr>
        <w:t>considered.</w:t>
      </w:r>
      <w:r>
        <w:rPr>
          <w:spacing w:val="13"/>
          <w:sz w:val="19"/>
        </w:rPr>
        <w:t> </w:t>
      </w:r>
      <w:r>
        <w:rPr>
          <w:sz w:val="19"/>
        </w:rPr>
        <w:t>Panel B</w:t>
      </w:r>
      <w:r>
        <w:rPr>
          <w:spacing w:val="26"/>
          <w:sz w:val="19"/>
        </w:rPr>
        <w:t> </w:t>
      </w:r>
      <w:r>
        <w:rPr>
          <w:sz w:val="19"/>
        </w:rPr>
        <w:t>pro</w:t>
      </w:r>
      <w:r>
        <w:rPr>
          <w:spacing w:val="-3"/>
          <w:sz w:val="19"/>
        </w:rPr>
        <w:t> </w:t>
      </w:r>
      <w:r>
        <w:rPr>
          <w:sz w:val="19"/>
        </w:rPr>
        <w:t>vides</w:t>
      </w:r>
      <w:r>
        <w:rPr>
          <w:spacing w:val="18"/>
          <w:sz w:val="19"/>
        </w:rPr>
        <w:t> </w:t>
      </w:r>
      <w:r>
        <w:rPr>
          <w:sz w:val="19"/>
        </w:rPr>
        <w:t>the</w:t>
      </w:r>
      <w:r>
        <w:rPr>
          <w:spacing w:val="24"/>
          <w:sz w:val="19"/>
        </w:rPr>
        <w:t> </w:t>
      </w:r>
      <w:r>
        <w:rPr>
          <w:sz w:val="19"/>
        </w:rPr>
        <w:t>distribution</w:t>
      </w:r>
      <w:r>
        <w:rPr>
          <w:spacing w:val="40"/>
          <w:sz w:val="19"/>
        </w:rPr>
        <w:t> </w:t>
      </w:r>
      <w:r>
        <w:rPr>
          <w:sz w:val="19"/>
        </w:rPr>
        <w:t>of</w:t>
      </w:r>
      <w:r>
        <w:rPr>
          <w:spacing w:val="35"/>
          <w:sz w:val="19"/>
        </w:rPr>
        <w:t> </w:t>
      </w:r>
      <w:r>
        <w:rPr>
          <w:sz w:val="19"/>
        </w:rPr>
        <w:t>impact</w:t>
      </w:r>
      <w:r>
        <w:rPr>
          <w:spacing w:val="27"/>
          <w:sz w:val="19"/>
        </w:rPr>
        <w:t> </w:t>
      </w:r>
      <w:r>
        <w:rPr>
          <w:sz w:val="19"/>
        </w:rPr>
        <w:t>investment deals</w:t>
      </w:r>
      <w:r>
        <w:rPr>
          <w:spacing w:val="18"/>
          <w:sz w:val="19"/>
        </w:rPr>
        <w:t> </w:t>
      </w:r>
      <w:r>
        <w:rPr>
          <w:sz w:val="19"/>
        </w:rPr>
        <w:t>across</w:t>
      </w:r>
      <w:r>
        <w:rPr>
          <w:spacing w:val="18"/>
          <w:sz w:val="19"/>
        </w:rPr>
        <w:t> </w:t>
      </w:r>
      <w:r>
        <w:rPr>
          <w:sz w:val="19"/>
        </w:rPr>
        <w:t>regions</w:t>
      </w:r>
      <w:r>
        <w:rPr>
          <w:spacing w:val="40"/>
          <w:sz w:val="19"/>
        </w:rPr>
        <w:t> </w:t>
      </w:r>
      <w:r>
        <w:rPr>
          <w:sz w:val="19"/>
        </w:rPr>
        <w:t>and</w:t>
      </w:r>
      <w:r>
        <w:rPr>
          <w:spacing w:val="31"/>
          <w:sz w:val="19"/>
        </w:rPr>
        <w:t> </w:t>
      </w:r>
      <w:r>
        <w:rPr>
          <w:sz w:val="19"/>
        </w:rPr>
        <w:t>SDGs</w:t>
      </w:r>
      <w:r>
        <w:rPr>
          <w:spacing w:val="40"/>
          <w:sz w:val="19"/>
        </w:rPr>
        <w:t> </w:t>
      </w:r>
      <w:r>
        <w:rPr>
          <w:sz w:val="19"/>
        </w:rPr>
        <w:t>when</w:t>
      </w:r>
      <w:r>
        <w:rPr>
          <w:spacing w:val="31"/>
          <w:sz w:val="19"/>
        </w:rPr>
        <w:t> </w:t>
      </w:r>
      <w:r>
        <w:rPr>
          <w:sz w:val="19"/>
        </w:rPr>
        <w:t>a</w:t>
      </w:r>
      <w:r>
        <w:rPr>
          <w:spacing w:val="40"/>
          <w:sz w:val="19"/>
        </w:rPr>
        <w:t> </w:t>
      </w:r>
      <w:r>
        <w:rPr>
          <w:sz w:val="19"/>
        </w:rPr>
        <w:t>deal’s</w:t>
      </w:r>
      <w:r>
        <w:rPr>
          <w:spacing w:val="18"/>
          <w:sz w:val="19"/>
        </w:rPr>
        <w:t> </w:t>
      </w:r>
      <w:r>
        <w:rPr>
          <w:sz w:val="19"/>
        </w:rPr>
        <w:t>primary</w:t>
      </w:r>
      <w:r>
        <w:rPr>
          <w:spacing w:val="31"/>
          <w:sz w:val="19"/>
        </w:rPr>
        <w:t> </w:t>
      </w:r>
      <w:r>
        <w:rPr>
          <w:sz w:val="19"/>
        </w:rPr>
        <w:t>SDG</w:t>
      </w:r>
      <w:r>
        <w:rPr>
          <w:spacing w:val="34"/>
          <w:sz w:val="19"/>
        </w:rPr>
        <w:t> </w:t>
      </w:r>
      <w:r>
        <w:rPr>
          <w:sz w:val="19"/>
        </w:rPr>
        <w:t>is</w:t>
      </w:r>
      <w:r>
        <w:rPr>
          <w:spacing w:val="40"/>
          <w:sz w:val="19"/>
        </w:rPr>
        <w:t> </w:t>
      </w:r>
      <w:r>
        <w:rPr>
          <w:sz w:val="19"/>
        </w:rPr>
        <w:t>considered</w:t>
      </w:r>
      <w:r>
        <w:rPr>
          <w:spacing w:val="31"/>
          <w:sz w:val="19"/>
        </w:rPr>
        <w:t> </w:t>
      </w:r>
      <w:r>
        <w:rPr>
          <w:sz w:val="19"/>
        </w:rPr>
        <w:t>(see</w:t>
      </w:r>
      <w:r>
        <w:rPr>
          <w:spacing w:val="40"/>
          <w:sz w:val="19"/>
        </w:rPr>
        <w:t> </w:t>
      </w:r>
      <w:r>
        <w:rPr>
          <w:sz w:val="19"/>
        </w:rPr>
        <w:t>Table</w:t>
      </w:r>
      <w:r>
        <w:rPr>
          <w:spacing w:val="24"/>
          <w:sz w:val="19"/>
        </w:rPr>
        <w:t> </w:t>
      </w:r>
      <w:r>
        <w:rPr>
          <w:sz w:val="19"/>
        </w:rPr>
        <w:t>1</w:t>
      </w:r>
      <w:r>
        <w:rPr>
          <w:spacing w:val="31"/>
          <w:sz w:val="19"/>
        </w:rPr>
        <w:t> </w:t>
      </w:r>
      <w:r>
        <w:rPr>
          <w:sz w:val="19"/>
        </w:rPr>
        <w:t>for</w:t>
      </w:r>
      <w:r>
        <w:rPr>
          <w:spacing w:val="12"/>
          <w:sz w:val="19"/>
        </w:rPr>
        <w:t> </w:t>
      </w:r>
      <w:r>
        <w:rPr>
          <w:sz w:val="19"/>
        </w:rPr>
        <w:t>how</w:t>
      </w:r>
      <w:r>
        <w:rPr>
          <w:spacing w:val="11"/>
          <w:sz w:val="19"/>
        </w:rPr>
        <w:t> </w:t>
      </w:r>
      <w:r>
        <w:rPr>
          <w:sz w:val="19"/>
        </w:rPr>
        <w:t>geographic</w:t>
      </w:r>
      <w:r>
        <w:rPr>
          <w:spacing w:val="40"/>
          <w:sz w:val="19"/>
        </w:rPr>
        <w:t> </w:t>
      </w:r>
      <w:r>
        <w:rPr>
          <w:sz w:val="19"/>
        </w:rPr>
        <w:t>regions</w:t>
      </w:r>
      <w:r>
        <w:rPr>
          <w:spacing w:val="40"/>
          <w:sz w:val="19"/>
        </w:rPr>
        <w:t> </w:t>
      </w:r>
      <w:r>
        <w:rPr>
          <w:sz w:val="19"/>
        </w:rPr>
        <w:t>of</w:t>
      </w:r>
      <w:r>
        <w:rPr>
          <w:spacing w:val="35"/>
          <w:sz w:val="19"/>
        </w:rPr>
        <w:t> </w:t>
      </w:r>
      <w:r>
        <w:rPr>
          <w:sz w:val="19"/>
        </w:rPr>
        <w:t>impact</w:t>
      </w:r>
      <w:r>
        <w:rPr>
          <w:spacing w:val="27"/>
          <w:sz w:val="19"/>
        </w:rPr>
        <w:t> </w:t>
      </w:r>
      <w:r>
        <w:rPr>
          <w:sz w:val="19"/>
        </w:rPr>
        <w:t>investment</w:t>
      </w:r>
      <w:r>
        <w:rPr>
          <w:spacing w:val="27"/>
          <w:sz w:val="19"/>
        </w:rPr>
        <w:t> </w:t>
      </w:r>
      <w:r>
        <w:rPr>
          <w:sz w:val="19"/>
        </w:rPr>
        <w:t>d</w:t>
      </w:r>
      <w:r>
        <w:rPr>
          <w:spacing w:val="-3"/>
          <w:sz w:val="19"/>
        </w:rPr>
        <w:t> </w:t>
      </w:r>
      <w:r>
        <w:rPr>
          <w:sz w:val="19"/>
        </w:rPr>
        <w:t>eals</w:t>
      </w:r>
      <w:r>
        <w:rPr>
          <w:spacing w:val="18"/>
          <w:sz w:val="19"/>
        </w:rPr>
        <w:t> </w:t>
      </w:r>
      <w:r>
        <w:rPr>
          <w:sz w:val="19"/>
        </w:rPr>
        <w:t>were</w:t>
      </w:r>
      <w:r>
        <w:rPr>
          <w:spacing w:val="24"/>
          <w:sz w:val="19"/>
        </w:rPr>
        <w:t> </w:t>
      </w:r>
      <w:r>
        <w:rPr>
          <w:sz w:val="19"/>
        </w:rPr>
        <w:t>determined).</w:t>
      </w:r>
    </w:p>
    <w:p>
      <w:pPr>
        <w:spacing w:after="0" w:line="247" w:lineRule="auto"/>
        <w:jc w:val="left"/>
        <w:rPr>
          <w:sz w:val="19"/>
        </w:rPr>
        <w:sectPr>
          <w:pgSz w:w="16850" w:h="11910" w:orient="landscape"/>
          <w:pgMar w:header="0" w:footer="991" w:top="1340" w:bottom="1180" w:left="1320" w:right="1320"/>
        </w:sectPr>
      </w:pPr>
    </w:p>
    <w:p>
      <w:pPr>
        <w:pStyle w:val="Heading1"/>
        <w:spacing w:before="93"/>
        <w:ind w:left="121"/>
      </w:pPr>
      <w:r>
        <w:rPr/>
        <w:t>Table</w:t>
      </w:r>
      <w:r>
        <w:rPr>
          <w:spacing w:val="-10"/>
        </w:rPr>
        <w:t> </w:t>
      </w:r>
      <w:r>
        <w:rPr/>
        <w:t>3.</w:t>
      </w:r>
      <w:r>
        <w:rPr>
          <w:spacing w:val="-9"/>
        </w:rPr>
        <w:t> </w:t>
      </w:r>
      <w:r>
        <w:rPr/>
        <w:t>Impact investment</w:t>
      </w:r>
      <w:r>
        <w:rPr>
          <w:spacing w:val="13"/>
        </w:rPr>
        <w:t> </w:t>
      </w:r>
      <w:r>
        <w:rPr/>
        <w:t>deals</w:t>
      </w:r>
      <w:r>
        <w:rPr>
          <w:spacing w:val="-12"/>
        </w:rPr>
        <w:t> </w:t>
      </w:r>
      <w:r>
        <w:rPr/>
        <w:t>and</w:t>
      </w:r>
      <w:r>
        <w:rPr>
          <w:spacing w:val="-7"/>
        </w:rPr>
        <w:t> </w:t>
      </w:r>
      <w:r>
        <w:rPr/>
        <w:t>secondary</w:t>
      </w:r>
      <w:r>
        <w:rPr>
          <w:spacing w:val="4"/>
        </w:rPr>
        <w:t> </w:t>
      </w:r>
      <w:r>
        <w:rPr>
          <w:spacing w:val="-4"/>
        </w:rPr>
        <w:t>SDGs</w:t>
      </w:r>
    </w:p>
    <w:p>
      <w:pPr>
        <w:pStyle w:val="BodyText"/>
        <w:spacing w:before="9"/>
        <w:ind w:left="0"/>
        <w:jc w:val="left"/>
        <w:rPr>
          <w:b/>
          <w:sz w:val="21"/>
        </w:rPr>
      </w:pPr>
    </w:p>
    <w:p>
      <w:pPr>
        <w:spacing w:before="0"/>
        <w:ind w:left="121" w:right="0" w:firstLine="0"/>
        <w:jc w:val="left"/>
        <w:rPr>
          <w:b/>
          <w:sz w:val="19"/>
        </w:rPr>
      </w:pPr>
      <w:r>
        <w:rPr>
          <w:b/>
          <w:sz w:val="19"/>
        </w:rPr>
        <w:t>Panel</w:t>
      </w:r>
      <w:r>
        <w:rPr>
          <w:b/>
          <w:spacing w:val="17"/>
          <w:sz w:val="19"/>
        </w:rPr>
        <w:t> </w:t>
      </w:r>
      <w:r>
        <w:rPr>
          <w:b/>
          <w:sz w:val="19"/>
        </w:rPr>
        <w:t>A:</w:t>
      </w:r>
      <w:r>
        <w:rPr>
          <w:b/>
          <w:spacing w:val="44"/>
          <w:sz w:val="19"/>
        </w:rPr>
        <w:t> </w:t>
      </w:r>
      <w:r>
        <w:rPr>
          <w:b/>
          <w:sz w:val="19"/>
        </w:rPr>
        <w:t>Distribution</w:t>
      </w:r>
      <w:r>
        <w:rPr>
          <w:b/>
          <w:spacing w:val="45"/>
          <w:sz w:val="19"/>
        </w:rPr>
        <w:t> </w:t>
      </w:r>
      <w:r>
        <w:rPr>
          <w:b/>
          <w:sz w:val="19"/>
        </w:rPr>
        <w:t>of</w:t>
      </w:r>
      <w:r>
        <w:rPr>
          <w:b/>
          <w:spacing w:val="25"/>
          <w:sz w:val="19"/>
        </w:rPr>
        <w:t> </w:t>
      </w:r>
      <w:r>
        <w:rPr>
          <w:b/>
          <w:sz w:val="19"/>
        </w:rPr>
        <w:t>impact</w:t>
      </w:r>
      <w:r>
        <w:rPr>
          <w:b/>
          <w:spacing w:val="4"/>
          <w:sz w:val="19"/>
        </w:rPr>
        <w:t> </w:t>
      </w:r>
      <w:r>
        <w:rPr>
          <w:b/>
          <w:sz w:val="19"/>
        </w:rPr>
        <w:t>investment</w:t>
      </w:r>
      <w:r>
        <w:rPr>
          <w:b/>
          <w:spacing w:val="24"/>
          <w:sz w:val="19"/>
        </w:rPr>
        <w:t> </w:t>
      </w:r>
      <w:r>
        <w:rPr>
          <w:b/>
          <w:sz w:val="19"/>
        </w:rPr>
        <w:t>deals</w:t>
      </w:r>
      <w:r>
        <w:rPr>
          <w:b/>
          <w:spacing w:val="10"/>
          <w:sz w:val="19"/>
        </w:rPr>
        <w:t> </w:t>
      </w:r>
      <w:r>
        <w:rPr>
          <w:b/>
          <w:sz w:val="19"/>
        </w:rPr>
        <w:t>across</w:t>
      </w:r>
      <w:r>
        <w:rPr>
          <w:b/>
          <w:spacing w:val="10"/>
          <w:sz w:val="19"/>
        </w:rPr>
        <w:t> </w:t>
      </w:r>
      <w:r>
        <w:rPr>
          <w:b/>
          <w:spacing w:val="-4"/>
          <w:sz w:val="19"/>
        </w:rPr>
        <w:t>SDGs</w:t>
      </w:r>
    </w:p>
    <w:p>
      <w:pPr>
        <w:pStyle w:val="BodyText"/>
        <w:spacing w:before="7"/>
        <w:ind w:left="0"/>
        <w:jc w:val="left"/>
        <w:rPr>
          <w:b/>
          <w:sz w:val="22"/>
        </w:rPr>
      </w:pPr>
    </w:p>
    <w:tbl>
      <w:tblPr>
        <w:tblW w:w="0" w:type="auto"/>
        <w:jc w:val="left"/>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381"/>
        <w:gridCol w:w="750"/>
        <w:gridCol w:w="721"/>
        <w:gridCol w:w="826"/>
        <w:gridCol w:w="646"/>
        <w:gridCol w:w="781"/>
        <w:gridCol w:w="737"/>
        <w:gridCol w:w="826"/>
        <w:gridCol w:w="842"/>
        <w:gridCol w:w="722"/>
        <w:gridCol w:w="722"/>
        <w:gridCol w:w="707"/>
        <w:gridCol w:w="707"/>
        <w:gridCol w:w="871"/>
        <w:gridCol w:w="631"/>
        <w:gridCol w:w="736"/>
        <w:gridCol w:w="735"/>
        <w:gridCol w:w="630"/>
      </w:tblGrid>
      <w:tr>
        <w:trPr>
          <w:trHeight w:val="285" w:hRule="atLeast"/>
        </w:trPr>
        <w:tc>
          <w:tcPr>
            <w:tcW w:w="1381" w:type="dxa"/>
          </w:tcPr>
          <w:p>
            <w:pPr>
              <w:pStyle w:val="TableParagraph"/>
              <w:spacing w:before="3"/>
              <w:ind w:left="127"/>
              <w:jc w:val="left"/>
              <w:rPr>
                <w:sz w:val="19"/>
              </w:rPr>
            </w:pPr>
            <w:r>
              <w:rPr>
                <w:spacing w:val="-4"/>
                <w:sz w:val="19"/>
              </w:rPr>
              <w:t>SDGs</w:t>
            </w:r>
          </w:p>
        </w:tc>
        <w:tc>
          <w:tcPr>
            <w:tcW w:w="750" w:type="dxa"/>
          </w:tcPr>
          <w:p>
            <w:pPr>
              <w:pStyle w:val="TableParagraph"/>
              <w:spacing w:line="221" w:lineRule="exact"/>
              <w:ind w:left="105" w:right="101"/>
              <w:rPr>
                <w:rFonts w:ascii="Symbol" w:hAnsi="Symbol"/>
                <w:sz w:val="18"/>
              </w:rPr>
            </w:pPr>
            <w:r>
              <w:rPr>
                <w:spacing w:val="-5"/>
                <w:sz w:val="19"/>
              </w:rPr>
              <w:t>1</w:t>
            </w:r>
            <w:r>
              <w:rPr>
                <w:rFonts w:ascii="Symbol" w:hAnsi="Symbol"/>
                <w:spacing w:val="-5"/>
                <w:sz w:val="18"/>
              </w:rPr>
              <w:t></w:t>
            </w:r>
          </w:p>
        </w:tc>
        <w:tc>
          <w:tcPr>
            <w:tcW w:w="721" w:type="dxa"/>
          </w:tcPr>
          <w:p>
            <w:pPr>
              <w:pStyle w:val="TableParagraph"/>
              <w:spacing w:line="221" w:lineRule="exact"/>
              <w:ind w:left="105" w:right="71"/>
              <w:rPr>
                <w:rFonts w:ascii="Symbol" w:hAnsi="Symbol"/>
                <w:sz w:val="18"/>
              </w:rPr>
            </w:pPr>
            <w:r>
              <w:rPr>
                <w:spacing w:val="-5"/>
                <w:sz w:val="19"/>
              </w:rPr>
              <w:t>2</w:t>
            </w:r>
            <w:r>
              <w:rPr>
                <w:rFonts w:ascii="Symbol" w:hAnsi="Symbol"/>
                <w:spacing w:val="-5"/>
                <w:sz w:val="18"/>
              </w:rPr>
              <w:t></w:t>
            </w:r>
          </w:p>
        </w:tc>
        <w:tc>
          <w:tcPr>
            <w:tcW w:w="826" w:type="dxa"/>
          </w:tcPr>
          <w:p>
            <w:pPr>
              <w:pStyle w:val="TableParagraph"/>
              <w:spacing w:line="221" w:lineRule="exact"/>
              <w:ind w:left="155" w:right="107"/>
              <w:rPr>
                <w:rFonts w:ascii="Symbol" w:hAnsi="Symbol"/>
                <w:sz w:val="18"/>
              </w:rPr>
            </w:pPr>
            <w:r>
              <w:rPr>
                <w:spacing w:val="-5"/>
                <w:sz w:val="19"/>
              </w:rPr>
              <w:t>3</w:t>
            </w:r>
            <w:r>
              <w:rPr>
                <w:rFonts w:ascii="Symbol" w:hAnsi="Symbol"/>
                <w:spacing w:val="-5"/>
                <w:sz w:val="18"/>
              </w:rPr>
              <w:t></w:t>
            </w:r>
          </w:p>
        </w:tc>
        <w:tc>
          <w:tcPr>
            <w:tcW w:w="646" w:type="dxa"/>
          </w:tcPr>
          <w:p>
            <w:pPr>
              <w:pStyle w:val="TableParagraph"/>
              <w:spacing w:line="221" w:lineRule="exact"/>
              <w:ind w:left="126" w:right="78"/>
              <w:rPr>
                <w:rFonts w:ascii="Symbol" w:hAnsi="Symbol"/>
                <w:sz w:val="18"/>
              </w:rPr>
            </w:pPr>
            <w:r>
              <w:rPr>
                <w:spacing w:val="-5"/>
                <w:sz w:val="19"/>
              </w:rPr>
              <w:t>4</w:t>
            </w:r>
            <w:r>
              <w:rPr>
                <w:rFonts w:ascii="Symbol" w:hAnsi="Symbol"/>
                <w:spacing w:val="-5"/>
                <w:sz w:val="18"/>
              </w:rPr>
              <w:t></w:t>
            </w:r>
          </w:p>
        </w:tc>
        <w:tc>
          <w:tcPr>
            <w:tcW w:w="781" w:type="dxa"/>
          </w:tcPr>
          <w:p>
            <w:pPr>
              <w:pStyle w:val="TableParagraph"/>
              <w:spacing w:line="221" w:lineRule="exact"/>
              <w:ind w:left="127" w:right="95"/>
              <w:rPr>
                <w:rFonts w:ascii="Symbol" w:hAnsi="Symbol"/>
                <w:sz w:val="18"/>
              </w:rPr>
            </w:pPr>
            <w:r>
              <w:rPr>
                <w:spacing w:val="-5"/>
                <w:sz w:val="19"/>
              </w:rPr>
              <w:t>5</w:t>
            </w:r>
            <w:r>
              <w:rPr>
                <w:rFonts w:ascii="Symbol" w:hAnsi="Symbol"/>
                <w:spacing w:val="-5"/>
                <w:sz w:val="18"/>
              </w:rPr>
              <w:t></w:t>
            </w:r>
          </w:p>
        </w:tc>
        <w:tc>
          <w:tcPr>
            <w:tcW w:w="737" w:type="dxa"/>
          </w:tcPr>
          <w:p>
            <w:pPr>
              <w:pStyle w:val="TableParagraph"/>
              <w:spacing w:line="221" w:lineRule="exact"/>
              <w:ind w:left="92" w:right="88"/>
              <w:rPr>
                <w:rFonts w:ascii="Symbol" w:hAnsi="Symbol"/>
                <w:sz w:val="18"/>
              </w:rPr>
            </w:pPr>
            <w:r>
              <w:rPr>
                <w:spacing w:val="-5"/>
                <w:sz w:val="19"/>
              </w:rPr>
              <w:t>6</w:t>
            </w:r>
            <w:r>
              <w:rPr>
                <w:rFonts w:ascii="Symbol" w:hAnsi="Symbol"/>
                <w:spacing w:val="-5"/>
                <w:sz w:val="18"/>
              </w:rPr>
              <w:t></w:t>
            </w:r>
          </w:p>
        </w:tc>
        <w:tc>
          <w:tcPr>
            <w:tcW w:w="826" w:type="dxa"/>
          </w:tcPr>
          <w:p>
            <w:pPr>
              <w:pStyle w:val="TableParagraph"/>
              <w:spacing w:line="221" w:lineRule="exact"/>
              <w:ind w:left="118" w:right="116"/>
              <w:rPr>
                <w:rFonts w:ascii="Symbol" w:hAnsi="Symbol"/>
                <w:sz w:val="18"/>
              </w:rPr>
            </w:pPr>
            <w:r>
              <w:rPr>
                <w:spacing w:val="-5"/>
                <w:sz w:val="19"/>
              </w:rPr>
              <w:t>7</w:t>
            </w:r>
            <w:r>
              <w:rPr>
                <w:rFonts w:ascii="Symbol" w:hAnsi="Symbol"/>
                <w:spacing w:val="-5"/>
                <w:sz w:val="18"/>
              </w:rPr>
              <w:t></w:t>
            </w:r>
          </w:p>
        </w:tc>
        <w:tc>
          <w:tcPr>
            <w:tcW w:w="842" w:type="dxa"/>
          </w:tcPr>
          <w:p>
            <w:pPr>
              <w:pStyle w:val="TableParagraph"/>
              <w:spacing w:line="221" w:lineRule="exact"/>
              <w:ind w:left="155" w:right="128"/>
              <w:rPr>
                <w:rFonts w:ascii="Symbol" w:hAnsi="Symbol"/>
                <w:sz w:val="18"/>
              </w:rPr>
            </w:pPr>
            <w:r>
              <w:rPr>
                <w:spacing w:val="-5"/>
                <w:sz w:val="19"/>
              </w:rPr>
              <w:t>8</w:t>
            </w:r>
            <w:r>
              <w:rPr>
                <w:rFonts w:ascii="Symbol" w:hAnsi="Symbol"/>
                <w:spacing w:val="-5"/>
                <w:sz w:val="18"/>
              </w:rPr>
              <w:t></w:t>
            </w:r>
          </w:p>
        </w:tc>
        <w:tc>
          <w:tcPr>
            <w:tcW w:w="722" w:type="dxa"/>
          </w:tcPr>
          <w:p>
            <w:pPr>
              <w:pStyle w:val="TableParagraph"/>
              <w:spacing w:line="221" w:lineRule="exact"/>
              <w:ind w:left="102" w:right="78"/>
              <w:rPr>
                <w:rFonts w:ascii="Symbol" w:hAnsi="Symbol"/>
                <w:sz w:val="18"/>
              </w:rPr>
            </w:pPr>
            <w:r>
              <w:rPr>
                <w:spacing w:val="-5"/>
                <w:sz w:val="19"/>
              </w:rPr>
              <w:t>9</w:t>
            </w:r>
            <w:r>
              <w:rPr>
                <w:rFonts w:ascii="Symbol" w:hAnsi="Symbol"/>
                <w:spacing w:val="-5"/>
                <w:sz w:val="18"/>
              </w:rPr>
              <w:t></w:t>
            </w:r>
          </w:p>
        </w:tc>
        <w:tc>
          <w:tcPr>
            <w:tcW w:w="722" w:type="dxa"/>
          </w:tcPr>
          <w:p>
            <w:pPr>
              <w:pStyle w:val="TableParagraph"/>
              <w:spacing w:line="221" w:lineRule="exact"/>
              <w:ind w:left="84" w:right="78"/>
              <w:rPr>
                <w:rFonts w:ascii="Symbol" w:hAnsi="Symbol"/>
                <w:sz w:val="18"/>
              </w:rPr>
            </w:pPr>
            <w:r>
              <w:rPr>
                <w:spacing w:val="-5"/>
                <w:sz w:val="19"/>
              </w:rPr>
              <w:t>10</w:t>
            </w:r>
            <w:r>
              <w:rPr>
                <w:rFonts w:ascii="Symbol" w:hAnsi="Symbol"/>
                <w:spacing w:val="-5"/>
                <w:sz w:val="18"/>
              </w:rPr>
              <w:t></w:t>
            </w:r>
          </w:p>
        </w:tc>
        <w:tc>
          <w:tcPr>
            <w:tcW w:w="707" w:type="dxa"/>
          </w:tcPr>
          <w:p>
            <w:pPr>
              <w:pStyle w:val="TableParagraph"/>
              <w:spacing w:line="221" w:lineRule="exact"/>
              <w:ind w:left="135" w:right="116"/>
              <w:rPr>
                <w:rFonts w:ascii="Symbol" w:hAnsi="Symbol"/>
                <w:sz w:val="18"/>
              </w:rPr>
            </w:pPr>
            <w:r>
              <w:rPr>
                <w:spacing w:val="-5"/>
                <w:sz w:val="19"/>
              </w:rPr>
              <w:t>11</w:t>
            </w:r>
            <w:r>
              <w:rPr>
                <w:rFonts w:ascii="Symbol" w:hAnsi="Symbol"/>
                <w:spacing w:val="-5"/>
                <w:sz w:val="18"/>
              </w:rPr>
              <w:t></w:t>
            </w:r>
          </w:p>
        </w:tc>
        <w:tc>
          <w:tcPr>
            <w:tcW w:w="707" w:type="dxa"/>
          </w:tcPr>
          <w:p>
            <w:pPr>
              <w:pStyle w:val="TableParagraph"/>
              <w:spacing w:line="221" w:lineRule="exact"/>
              <w:ind w:left="127" w:right="122"/>
              <w:rPr>
                <w:rFonts w:ascii="Symbol" w:hAnsi="Symbol"/>
                <w:sz w:val="18"/>
              </w:rPr>
            </w:pPr>
            <w:r>
              <w:rPr>
                <w:spacing w:val="-5"/>
                <w:sz w:val="19"/>
              </w:rPr>
              <w:t>12</w:t>
            </w:r>
            <w:r>
              <w:rPr>
                <w:rFonts w:ascii="Symbol" w:hAnsi="Symbol"/>
                <w:spacing w:val="-5"/>
                <w:sz w:val="18"/>
              </w:rPr>
              <w:t></w:t>
            </w:r>
          </w:p>
        </w:tc>
        <w:tc>
          <w:tcPr>
            <w:tcW w:w="871" w:type="dxa"/>
          </w:tcPr>
          <w:p>
            <w:pPr>
              <w:pStyle w:val="TableParagraph"/>
              <w:spacing w:line="221" w:lineRule="exact"/>
              <w:ind w:left="223"/>
              <w:jc w:val="left"/>
              <w:rPr>
                <w:rFonts w:ascii="Symbol" w:hAnsi="Symbol"/>
                <w:sz w:val="18"/>
              </w:rPr>
            </w:pPr>
            <w:r>
              <w:rPr>
                <w:spacing w:val="-5"/>
                <w:sz w:val="19"/>
              </w:rPr>
              <w:t>13</w:t>
            </w:r>
            <w:r>
              <w:rPr>
                <w:rFonts w:ascii="Symbol" w:hAnsi="Symbol"/>
                <w:spacing w:val="-5"/>
                <w:sz w:val="18"/>
              </w:rPr>
              <w:t></w:t>
            </w:r>
          </w:p>
        </w:tc>
        <w:tc>
          <w:tcPr>
            <w:tcW w:w="631" w:type="dxa"/>
          </w:tcPr>
          <w:p>
            <w:pPr>
              <w:pStyle w:val="TableParagraph"/>
              <w:spacing w:line="221" w:lineRule="exact"/>
              <w:ind w:left="74" w:right="83"/>
              <w:rPr>
                <w:rFonts w:ascii="Symbol" w:hAnsi="Symbol"/>
                <w:sz w:val="18"/>
              </w:rPr>
            </w:pPr>
            <w:r>
              <w:rPr>
                <w:spacing w:val="-5"/>
                <w:sz w:val="19"/>
              </w:rPr>
              <w:t>14</w:t>
            </w:r>
            <w:r>
              <w:rPr>
                <w:rFonts w:ascii="Symbol" w:hAnsi="Symbol"/>
                <w:spacing w:val="-5"/>
                <w:sz w:val="18"/>
              </w:rPr>
              <w:t></w:t>
            </w:r>
          </w:p>
        </w:tc>
        <w:tc>
          <w:tcPr>
            <w:tcW w:w="736" w:type="dxa"/>
          </w:tcPr>
          <w:p>
            <w:pPr>
              <w:pStyle w:val="TableParagraph"/>
              <w:spacing w:line="221" w:lineRule="exact"/>
              <w:ind w:left="147"/>
              <w:jc w:val="left"/>
              <w:rPr>
                <w:rFonts w:ascii="Symbol" w:hAnsi="Symbol"/>
                <w:sz w:val="18"/>
              </w:rPr>
            </w:pPr>
            <w:r>
              <w:rPr>
                <w:spacing w:val="-5"/>
                <w:sz w:val="19"/>
              </w:rPr>
              <w:t>15</w:t>
            </w:r>
            <w:r>
              <w:rPr>
                <w:rFonts w:ascii="Symbol" w:hAnsi="Symbol"/>
                <w:spacing w:val="-5"/>
                <w:sz w:val="18"/>
              </w:rPr>
              <w:t></w:t>
            </w:r>
          </w:p>
        </w:tc>
        <w:tc>
          <w:tcPr>
            <w:tcW w:w="735" w:type="dxa"/>
          </w:tcPr>
          <w:p>
            <w:pPr>
              <w:pStyle w:val="TableParagraph"/>
              <w:spacing w:line="221" w:lineRule="exact"/>
              <w:ind w:left="46" w:right="71"/>
              <w:rPr>
                <w:rFonts w:ascii="Symbol" w:hAnsi="Symbol"/>
                <w:sz w:val="18"/>
              </w:rPr>
            </w:pPr>
            <w:r>
              <w:rPr>
                <w:spacing w:val="-5"/>
                <w:sz w:val="19"/>
              </w:rPr>
              <w:t>16</w:t>
            </w:r>
            <w:r>
              <w:rPr>
                <w:rFonts w:ascii="Symbol" w:hAnsi="Symbol"/>
                <w:spacing w:val="-5"/>
                <w:sz w:val="18"/>
              </w:rPr>
              <w:t></w:t>
            </w:r>
          </w:p>
        </w:tc>
        <w:tc>
          <w:tcPr>
            <w:tcW w:w="630" w:type="dxa"/>
          </w:tcPr>
          <w:p>
            <w:pPr>
              <w:pStyle w:val="TableParagraph"/>
              <w:spacing w:line="221" w:lineRule="exact"/>
              <w:ind w:left="81" w:right="81"/>
              <w:rPr>
                <w:rFonts w:ascii="Symbol" w:hAnsi="Symbol"/>
                <w:sz w:val="18"/>
              </w:rPr>
            </w:pPr>
            <w:r>
              <w:rPr>
                <w:spacing w:val="-5"/>
                <w:sz w:val="19"/>
              </w:rPr>
              <w:t>17</w:t>
            </w:r>
            <w:r>
              <w:rPr>
                <w:rFonts w:ascii="Symbol" w:hAnsi="Symbol"/>
                <w:spacing w:val="-5"/>
                <w:sz w:val="18"/>
              </w:rPr>
              <w:t></w:t>
            </w:r>
          </w:p>
        </w:tc>
      </w:tr>
      <w:tr>
        <w:trPr>
          <w:trHeight w:val="450" w:hRule="atLeast"/>
        </w:trPr>
        <w:tc>
          <w:tcPr>
            <w:tcW w:w="1381" w:type="dxa"/>
          </w:tcPr>
          <w:p>
            <w:pPr>
              <w:pStyle w:val="TableParagraph"/>
              <w:spacing w:line="206" w:lineRule="exact"/>
              <w:ind w:left="127"/>
              <w:jc w:val="left"/>
              <w:rPr>
                <w:sz w:val="19"/>
              </w:rPr>
            </w:pPr>
            <w:r>
              <w:rPr>
                <w:sz w:val="19"/>
              </w:rPr>
              <w:t>Count</w:t>
            </w:r>
            <w:r>
              <w:rPr>
                <w:spacing w:val="26"/>
                <w:sz w:val="19"/>
              </w:rPr>
              <w:t> </w:t>
            </w:r>
            <w:r>
              <w:rPr>
                <w:sz w:val="19"/>
              </w:rPr>
              <w:t>(out</w:t>
            </w:r>
            <w:r>
              <w:rPr>
                <w:spacing w:val="26"/>
                <w:sz w:val="19"/>
              </w:rPr>
              <w:t> </w:t>
            </w:r>
            <w:r>
              <w:rPr>
                <w:spacing w:val="-5"/>
                <w:sz w:val="19"/>
              </w:rPr>
              <w:t>of</w:t>
            </w:r>
          </w:p>
          <w:p>
            <w:pPr>
              <w:pStyle w:val="TableParagraph"/>
              <w:spacing w:line="202" w:lineRule="exact" w:before="22"/>
              <w:ind w:left="127"/>
              <w:jc w:val="left"/>
              <w:rPr>
                <w:sz w:val="19"/>
              </w:rPr>
            </w:pPr>
            <w:r>
              <w:rPr>
                <w:sz w:val="19"/>
              </w:rPr>
              <w:t>292</w:t>
            </w:r>
            <w:r>
              <w:rPr>
                <w:spacing w:val="23"/>
                <w:sz w:val="19"/>
              </w:rPr>
              <w:t> </w:t>
            </w:r>
            <w:r>
              <w:rPr>
                <w:spacing w:val="-2"/>
                <w:sz w:val="19"/>
              </w:rPr>
              <w:t>deals)</w:t>
            </w:r>
          </w:p>
        </w:tc>
        <w:tc>
          <w:tcPr>
            <w:tcW w:w="750" w:type="dxa"/>
          </w:tcPr>
          <w:p>
            <w:pPr>
              <w:pStyle w:val="TableParagraph"/>
              <w:spacing w:before="108"/>
              <w:ind w:left="113" w:right="98"/>
              <w:rPr>
                <w:sz w:val="19"/>
              </w:rPr>
            </w:pPr>
            <w:r>
              <w:rPr>
                <w:spacing w:val="-5"/>
                <w:sz w:val="19"/>
              </w:rPr>
              <w:t>270</w:t>
            </w:r>
          </w:p>
        </w:tc>
        <w:tc>
          <w:tcPr>
            <w:tcW w:w="721" w:type="dxa"/>
          </w:tcPr>
          <w:p>
            <w:pPr>
              <w:pStyle w:val="TableParagraph"/>
              <w:spacing w:before="108"/>
              <w:ind w:left="87" w:right="71"/>
              <w:rPr>
                <w:sz w:val="19"/>
              </w:rPr>
            </w:pPr>
            <w:r>
              <w:rPr>
                <w:spacing w:val="-5"/>
                <w:sz w:val="19"/>
              </w:rPr>
              <w:t>205</w:t>
            </w:r>
          </w:p>
        </w:tc>
        <w:tc>
          <w:tcPr>
            <w:tcW w:w="826" w:type="dxa"/>
          </w:tcPr>
          <w:p>
            <w:pPr>
              <w:pStyle w:val="TableParagraph"/>
              <w:spacing w:before="108"/>
              <w:ind w:left="155" w:right="95"/>
              <w:rPr>
                <w:sz w:val="19"/>
              </w:rPr>
            </w:pPr>
            <w:r>
              <w:rPr>
                <w:spacing w:val="-5"/>
                <w:sz w:val="19"/>
              </w:rPr>
              <w:t>177</w:t>
            </w:r>
          </w:p>
        </w:tc>
        <w:tc>
          <w:tcPr>
            <w:tcW w:w="646" w:type="dxa"/>
          </w:tcPr>
          <w:p>
            <w:pPr>
              <w:pStyle w:val="TableParagraph"/>
              <w:spacing w:before="108"/>
              <w:ind w:left="21"/>
              <w:rPr>
                <w:sz w:val="19"/>
              </w:rPr>
            </w:pPr>
            <w:r>
              <w:rPr>
                <w:w w:val="102"/>
                <w:sz w:val="19"/>
              </w:rPr>
              <w:t>3</w:t>
            </w:r>
          </w:p>
        </w:tc>
        <w:tc>
          <w:tcPr>
            <w:tcW w:w="781" w:type="dxa"/>
          </w:tcPr>
          <w:p>
            <w:pPr>
              <w:pStyle w:val="TableParagraph"/>
              <w:spacing w:before="108"/>
              <w:ind w:left="127" w:right="114"/>
              <w:rPr>
                <w:sz w:val="19"/>
              </w:rPr>
            </w:pPr>
            <w:r>
              <w:rPr>
                <w:spacing w:val="-5"/>
                <w:sz w:val="19"/>
              </w:rPr>
              <w:t>169</w:t>
            </w:r>
          </w:p>
        </w:tc>
        <w:tc>
          <w:tcPr>
            <w:tcW w:w="737" w:type="dxa"/>
          </w:tcPr>
          <w:p>
            <w:pPr>
              <w:pStyle w:val="TableParagraph"/>
              <w:spacing w:before="108"/>
              <w:ind w:left="100" w:right="88"/>
              <w:rPr>
                <w:sz w:val="19"/>
              </w:rPr>
            </w:pPr>
            <w:r>
              <w:rPr>
                <w:spacing w:val="-5"/>
                <w:sz w:val="19"/>
              </w:rPr>
              <w:t>38</w:t>
            </w:r>
          </w:p>
        </w:tc>
        <w:tc>
          <w:tcPr>
            <w:tcW w:w="826" w:type="dxa"/>
          </w:tcPr>
          <w:p>
            <w:pPr>
              <w:pStyle w:val="TableParagraph"/>
              <w:spacing w:before="108"/>
              <w:ind w:left="126" w:right="116"/>
              <w:rPr>
                <w:sz w:val="19"/>
              </w:rPr>
            </w:pPr>
            <w:r>
              <w:rPr>
                <w:spacing w:val="-5"/>
                <w:sz w:val="19"/>
              </w:rPr>
              <w:t>66</w:t>
            </w:r>
          </w:p>
        </w:tc>
        <w:tc>
          <w:tcPr>
            <w:tcW w:w="842" w:type="dxa"/>
          </w:tcPr>
          <w:p>
            <w:pPr>
              <w:pStyle w:val="TableParagraph"/>
              <w:spacing w:before="108"/>
              <w:ind w:left="155" w:right="146"/>
              <w:rPr>
                <w:sz w:val="19"/>
              </w:rPr>
            </w:pPr>
            <w:r>
              <w:rPr>
                <w:spacing w:val="-5"/>
                <w:sz w:val="19"/>
              </w:rPr>
              <w:t>210</w:t>
            </w:r>
          </w:p>
        </w:tc>
        <w:tc>
          <w:tcPr>
            <w:tcW w:w="722" w:type="dxa"/>
          </w:tcPr>
          <w:p>
            <w:pPr>
              <w:pStyle w:val="TableParagraph"/>
              <w:spacing w:before="108"/>
              <w:ind w:left="28"/>
              <w:rPr>
                <w:sz w:val="19"/>
              </w:rPr>
            </w:pPr>
            <w:r>
              <w:rPr>
                <w:w w:val="102"/>
                <w:sz w:val="19"/>
              </w:rPr>
              <w:t>2</w:t>
            </w:r>
          </w:p>
        </w:tc>
        <w:tc>
          <w:tcPr>
            <w:tcW w:w="722" w:type="dxa"/>
          </w:tcPr>
          <w:p>
            <w:pPr>
              <w:pStyle w:val="TableParagraph"/>
              <w:spacing w:before="108"/>
              <w:ind w:left="80" w:right="78"/>
              <w:rPr>
                <w:sz w:val="19"/>
              </w:rPr>
            </w:pPr>
            <w:r>
              <w:rPr>
                <w:spacing w:val="-5"/>
                <w:sz w:val="19"/>
              </w:rPr>
              <w:t>134</w:t>
            </w:r>
          </w:p>
        </w:tc>
        <w:tc>
          <w:tcPr>
            <w:tcW w:w="707" w:type="dxa"/>
          </w:tcPr>
          <w:p>
            <w:pPr>
              <w:pStyle w:val="TableParagraph"/>
              <w:spacing w:before="108"/>
              <w:ind w:left="8"/>
              <w:rPr>
                <w:sz w:val="19"/>
              </w:rPr>
            </w:pPr>
            <w:r>
              <w:rPr>
                <w:w w:val="102"/>
                <w:sz w:val="19"/>
              </w:rPr>
              <w:t>2</w:t>
            </w:r>
          </w:p>
        </w:tc>
        <w:tc>
          <w:tcPr>
            <w:tcW w:w="707" w:type="dxa"/>
          </w:tcPr>
          <w:p>
            <w:pPr>
              <w:pStyle w:val="TableParagraph"/>
              <w:spacing w:before="108"/>
              <w:ind w:left="121" w:right="122"/>
              <w:rPr>
                <w:sz w:val="19"/>
              </w:rPr>
            </w:pPr>
            <w:r>
              <w:rPr>
                <w:spacing w:val="-5"/>
                <w:sz w:val="19"/>
              </w:rPr>
              <w:t>10</w:t>
            </w:r>
          </w:p>
        </w:tc>
        <w:tc>
          <w:tcPr>
            <w:tcW w:w="871" w:type="dxa"/>
          </w:tcPr>
          <w:p>
            <w:pPr>
              <w:pStyle w:val="TableParagraph"/>
              <w:spacing w:before="108"/>
              <w:ind w:left="323" w:right="312"/>
              <w:rPr>
                <w:sz w:val="19"/>
              </w:rPr>
            </w:pPr>
            <w:r>
              <w:rPr>
                <w:spacing w:val="-5"/>
                <w:sz w:val="19"/>
              </w:rPr>
              <w:t>62</w:t>
            </w:r>
          </w:p>
        </w:tc>
        <w:tc>
          <w:tcPr>
            <w:tcW w:w="631" w:type="dxa"/>
          </w:tcPr>
          <w:p>
            <w:pPr>
              <w:pStyle w:val="TableParagraph"/>
              <w:spacing w:before="108"/>
              <w:ind w:right="9"/>
              <w:rPr>
                <w:sz w:val="19"/>
              </w:rPr>
            </w:pPr>
            <w:r>
              <w:rPr>
                <w:w w:val="102"/>
                <w:sz w:val="19"/>
              </w:rPr>
              <w:t>4</w:t>
            </w:r>
          </w:p>
        </w:tc>
        <w:tc>
          <w:tcPr>
            <w:tcW w:w="736" w:type="dxa"/>
          </w:tcPr>
          <w:p>
            <w:pPr>
              <w:pStyle w:val="TableParagraph"/>
              <w:spacing w:before="108"/>
              <w:ind w:left="69" w:right="71"/>
              <w:rPr>
                <w:sz w:val="19"/>
              </w:rPr>
            </w:pPr>
            <w:r>
              <w:rPr>
                <w:spacing w:val="-5"/>
                <w:sz w:val="19"/>
              </w:rPr>
              <w:t>77</w:t>
            </w:r>
          </w:p>
        </w:tc>
        <w:tc>
          <w:tcPr>
            <w:tcW w:w="735" w:type="dxa"/>
          </w:tcPr>
          <w:p>
            <w:pPr>
              <w:pStyle w:val="TableParagraph"/>
              <w:spacing w:before="108"/>
              <w:ind w:left="69" w:right="71"/>
              <w:rPr>
                <w:sz w:val="19"/>
              </w:rPr>
            </w:pPr>
            <w:r>
              <w:rPr>
                <w:spacing w:val="-5"/>
                <w:sz w:val="19"/>
              </w:rPr>
              <w:t>31</w:t>
            </w:r>
          </w:p>
        </w:tc>
        <w:tc>
          <w:tcPr>
            <w:tcW w:w="630" w:type="dxa"/>
          </w:tcPr>
          <w:p>
            <w:pPr>
              <w:pStyle w:val="TableParagraph"/>
              <w:spacing w:before="108"/>
              <w:ind w:right="9"/>
              <w:rPr>
                <w:sz w:val="19"/>
              </w:rPr>
            </w:pPr>
            <w:r>
              <w:rPr>
                <w:w w:val="102"/>
                <w:sz w:val="19"/>
              </w:rPr>
              <w:t>0</w:t>
            </w:r>
          </w:p>
        </w:tc>
      </w:tr>
      <w:tr>
        <w:trPr>
          <w:trHeight w:val="450" w:hRule="atLeast"/>
        </w:trPr>
        <w:tc>
          <w:tcPr>
            <w:tcW w:w="1381" w:type="dxa"/>
          </w:tcPr>
          <w:p>
            <w:pPr>
              <w:pStyle w:val="TableParagraph"/>
              <w:spacing w:line="226" w:lineRule="exact"/>
              <w:ind w:left="127"/>
              <w:jc w:val="left"/>
              <w:rPr>
                <w:sz w:val="19"/>
              </w:rPr>
            </w:pPr>
            <w:r>
              <w:rPr>
                <w:sz w:val="19"/>
              </w:rPr>
              <w:t>% (out of </w:t>
            </w:r>
            <w:r>
              <w:rPr>
                <w:sz w:val="19"/>
              </w:rPr>
              <w:t>292 </w:t>
            </w:r>
            <w:r>
              <w:rPr>
                <w:spacing w:val="-2"/>
                <w:sz w:val="19"/>
              </w:rPr>
              <w:t>deals)</w:t>
            </w:r>
          </w:p>
        </w:tc>
        <w:tc>
          <w:tcPr>
            <w:tcW w:w="750" w:type="dxa"/>
          </w:tcPr>
          <w:p>
            <w:pPr>
              <w:pStyle w:val="TableParagraph"/>
              <w:spacing w:before="3"/>
              <w:ind w:left="113" w:right="101"/>
              <w:rPr>
                <w:sz w:val="19"/>
              </w:rPr>
            </w:pPr>
            <w:r>
              <w:rPr>
                <w:spacing w:val="-2"/>
                <w:sz w:val="19"/>
              </w:rPr>
              <w:t>92.5%</w:t>
            </w:r>
          </w:p>
        </w:tc>
        <w:tc>
          <w:tcPr>
            <w:tcW w:w="721" w:type="dxa"/>
          </w:tcPr>
          <w:p>
            <w:pPr>
              <w:pStyle w:val="TableParagraph"/>
              <w:spacing w:before="3"/>
              <w:ind w:left="113" w:right="71"/>
              <w:rPr>
                <w:sz w:val="19"/>
              </w:rPr>
            </w:pPr>
            <w:r>
              <w:rPr>
                <w:spacing w:val="-2"/>
                <w:sz w:val="19"/>
              </w:rPr>
              <w:t>70.2%</w:t>
            </w:r>
          </w:p>
        </w:tc>
        <w:tc>
          <w:tcPr>
            <w:tcW w:w="826" w:type="dxa"/>
          </w:tcPr>
          <w:p>
            <w:pPr>
              <w:pStyle w:val="TableParagraph"/>
              <w:spacing w:before="3"/>
              <w:ind w:left="155" w:right="98"/>
              <w:rPr>
                <w:sz w:val="19"/>
              </w:rPr>
            </w:pPr>
            <w:r>
              <w:rPr>
                <w:spacing w:val="-2"/>
                <w:sz w:val="19"/>
              </w:rPr>
              <w:t>60.6%</w:t>
            </w:r>
          </w:p>
        </w:tc>
        <w:tc>
          <w:tcPr>
            <w:tcW w:w="646" w:type="dxa"/>
          </w:tcPr>
          <w:p>
            <w:pPr>
              <w:pStyle w:val="TableParagraph"/>
              <w:spacing w:before="3"/>
              <w:ind w:left="126" w:right="85"/>
              <w:rPr>
                <w:sz w:val="19"/>
              </w:rPr>
            </w:pPr>
            <w:r>
              <w:rPr>
                <w:spacing w:val="-4"/>
                <w:sz w:val="19"/>
              </w:rPr>
              <w:t>1.0%</w:t>
            </w:r>
          </w:p>
        </w:tc>
        <w:tc>
          <w:tcPr>
            <w:tcW w:w="781" w:type="dxa"/>
          </w:tcPr>
          <w:p>
            <w:pPr>
              <w:pStyle w:val="TableParagraph"/>
              <w:spacing w:before="3"/>
              <w:ind w:left="127" w:right="117"/>
              <w:rPr>
                <w:sz w:val="19"/>
              </w:rPr>
            </w:pPr>
            <w:r>
              <w:rPr>
                <w:spacing w:val="-2"/>
                <w:sz w:val="19"/>
              </w:rPr>
              <w:t>57.9%</w:t>
            </w:r>
          </w:p>
        </w:tc>
        <w:tc>
          <w:tcPr>
            <w:tcW w:w="737" w:type="dxa"/>
          </w:tcPr>
          <w:p>
            <w:pPr>
              <w:pStyle w:val="TableParagraph"/>
              <w:spacing w:before="3"/>
              <w:ind w:left="112" w:right="88"/>
              <w:rPr>
                <w:sz w:val="19"/>
              </w:rPr>
            </w:pPr>
            <w:r>
              <w:rPr>
                <w:spacing w:val="-2"/>
                <w:sz w:val="19"/>
              </w:rPr>
              <w:t>13.0%</w:t>
            </w:r>
          </w:p>
        </w:tc>
        <w:tc>
          <w:tcPr>
            <w:tcW w:w="826" w:type="dxa"/>
          </w:tcPr>
          <w:p>
            <w:pPr>
              <w:pStyle w:val="TableParagraph"/>
              <w:spacing w:before="3"/>
              <w:ind w:left="137" w:right="116"/>
              <w:rPr>
                <w:sz w:val="19"/>
              </w:rPr>
            </w:pPr>
            <w:r>
              <w:rPr>
                <w:spacing w:val="-2"/>
                <w:sz w:val="19"/>
              </w:rPr>
              <w:t>22.6%</w:t>
            </w:r>
          </w:p>
        </w:tc>
        <w:tc>
          <w:tcPr>
            <w:tcW w:w="842" w:type="dxa"/>
          </w:tcPr>
          <w:p>
            <w:pPr>
              <w:pStyle w:val="TableParagraph"/>
              <w:spacing w:before="3"/>
              <w:ind w:left="155" w:right="150"/>
              <w:rPr>
                <w:sz w:val="19"/>
              </w:rPr>
            </w:pPr>
            <w:r>
              <w:rPr>
                <w:spacing w:val="-2"/>
                <w:sz w:val="19"/>
              </w:rPr>
              <w:t>71.9%</w:t>
            </w:r>
          </w:p>
        </w:tc>
        <w:tc>
          <w:tcPr>
            <w:tcW w:w="722" w:type="dxa"/>
          </w:tcPr>
          <w:p>
            <w:pPr>
              <w:pStyle w:val="TableParagraph"/>
              <w:spacing w:before="3"/>
              <w:ind w:left="96" w:right="78"/>
              <w:rPr>
                <w:sz w:val="19"/>
              </w:rPr>
            </w:pPr>
            <w:r>
              <w:rPr>
                <w:spacing w:val="-4"/>
                <w:sz w:val="19"/>
              </w:rPr>
              <w:t>0.7%</w:t>
            </w:r>
          </w:p>
        </w:tc>
        <w:tc>
          <w:tcPr>
            <w:tcW w:w="722" w:type="dxa"/>
          </w:tcPr>
          <w:p>
            <w:pPr>
              <w:pStyle w:val="TableParagraph"/>
              <w:spacing w:before="3"/>
              <w:ind w:left="107" w:right="78"/>
              <w:rPr>
                <w:sz w:val="19"/>
              </w:rPr>
            </w:pPr>
            <w:r>
              <w:rPr>
                <w:spacing w:val="-2"/>
                <w:sz w:val="19"/>
              </w:rPr>
              <w:t>45.9%</w:t>
            </w:r>
          </w:p>
        </w:tc>
        <w:tc>
          <w:tcPr>
            <w:tcW w:w="707" w:type="dxa"/>
          </w:tcPr>
          <w:p>
            <w:pPr>
              <w:pStyle w:val="TableParagraph"/>
              <w:spacing w:before="3"/>
              <w:ind w:left="135" w:right="108"/>
              <w:rPr>
                <w:sz w:val="19"/>
              </w:rPr>
            </w:pPr>
            <w:r>
              <w:rPr>
                <w:spacing w:val="-4"/>
                <w:sz w:val="19"/>
              </w:rPr>
              <w:t>0.7%</w:t>
            </w:r>
          </w:p>
        </w:tc>
        <w:tc>
          <w:tcPr>
            <w:tcW w:w="707" w:type="dxa"/>
          </w:tcPr>
          <w:p>
            <w:pPr>
              <w:pStyle w:val="TableParagraph"/>
              <w:spacing w:before="3"/>
              <w:ind w:left="120" w:right="122"/>
              <w:rPr>
                <w:sz w:val="19"/>
              </w:rPr>
            </w:pPr>
            <w:r>
              <w:rPr>
                <w:spacing w:val="-4"/>
                <w:sz w:val="19"/>
              </w:rPr>
              <w:t>3.4%</w:t>
            </w:r>
          </w:p>
        </w:tc>
        <w:tc>
          <w:tcPr>
            <w:tcW w:w="871" w:type="dxa"/>
          </w:tcPr>
          <w:p>
            <w:pPr>
              <w:pStyle w:val="TableParagraph"/>
              <w:spacing w:before="3"/>
              <w:ind w:left="163"/>
              <w:jc w:val="left"/>
              <w:rPr>
                <w:sz w:val="19"/>
              </w:rPr>
            </w:pPr>
            <w:r>
              <w:rPr>
                <w:spacing w:val="-2"/>
                <w:sz w:val="19"/>
              </w:rPr>
              <w:t>21.2%</w:t>
            </w:r>
          </w:p>
        </w:tc>
        <w:tc>
          <w:tcPr>
            <w:tcW w:w="631" w:type="dxa"/>
          </w:tcPr>
          <w:p>
            <w:pPr>
              <w:pStyle w:val="TableParagraph"/>
              <w:spacing w:before="3"/>
              <w:ind w:left="90" w:right="83"/>
              <w:rPr>
                <w:sz w:val="19"/>
              </w:rPr>
            </w:pPr>
            <w:r>
              <w:rPr>
                <w:spacing w:val="-4"/>
                <w:sz w:val="19"/>
              </w:rPr>
              <w:t>1.4%</w:t>
            </w:r>
          </w:p>
        </w:tc>
        <w:tc>
          <w:tcPr>
            <w:tcW w:w="736" w:type="dxa"/>
          </w:tcPr>
          <w:p>
            <w:pPr>
              <w:pStyle w:val="TableParagraph"/>
              <w:spacing w:before="3"/>
              <w:ind w:left="102"/>
              <w:jc w:val="left"/>
              <w:rPr>
                <w:sz w:val="19"/>
              </w:rPr>
            </w:pPr>
            <w:r>
              <w:rPr>
                <w:spacing w:val="-2"/>
                <w:sz w:val="19"/>
              </w:rPr>
              <w:t>26.4%</w:t>
            </w:r>
          </w:p>
        </w:tc>
        <w:tc>
          <w:tcPr>
            <w:tcW w:w="735" w:type="dxa"/>
          </w:tcPr>
          <w:p>
            <w:pPr>
              <w:pStyle w:val="TableParagraph"/>
              <w:spacing w:before="3"/>
              <w:ind w:left="78" w:right="71"/>
              <w:rPr>
                <w:sz w:val="19"/>
              </w:rPr>
            </w:pPr>
            <w:r>
              <w:rPr>
                <w:spacing w:val="-2"/>
                <w:sz w:val="19"/>
              </w:rPr>
              <w:t>10.6%</w:t>
            </w:r>
          </w:p>
        </w:tc>
        <w:tc>
          <w:tcPr>
            <w:tcW w:w="630" w:type="dxa"/>
          </w:tcPr>
          <w:p>
            <w:pPr>
              <w:pStyle w:val="TableParagraph"/>
              <w:spacing w:before="3"/>
              <w:ind w:left="89" w:right="81"/>
              <w:rPr>
                <w:sz w:val="19"/>
              </w:rPr>
            </w:pPr>
            <w:r>
              <w:rPr>
                <w:spacing w:val="-4"/>
                <w:sz w:val="19"/>
              </w:rPr>
              <w:t>0.0%</w:t>
            </w:r>
          </w:p>
        </w:tc>
      </w:tr>
    </w:tbl>
    <w:p>
      <w:pPr>
        <w:pStyle w:val="BodyText"/>
        <w:spacing w:before="3"/>
        <w:ind w:left="0"/>
        <w:jc w:val="left"/>
        <w:rPr>
          <w:b/>
          <w:sz w:val="21"/>
        </w:rPr>
      </w:pPr>
    </w:p>
    <w:p>
      <w:pPr>
        <w:spacing w:before="0"/>
        <w:ind w:left="121" w:right="0" w:firstLine="0"/>
        <w:jc w:val="left"/>
        <w:rPr>
          <w:b/>
          <w:sz w:val="19"/>
        </w:rPr>
      </w:pPr>
      <w:r>
        <w:rPr>
          <w:b/>
          <w:sz w:val="19"/>
        </w:rPr>
        <w:t>Panel</w:t>
      </w:r>
      <w:r>
        <w:rPr>
          <w:b/>
          <w:spacing w:val="19"/>
          <w:sz w:val="19"/>
        </w:rPr>
        <w:t> </w:t>
      </w:r>
      <w:r>
        <w:rPr>
          <w:b/>
          <w:sz w:val="19"/>
        </w:rPr>
        <w:t>B:</w:t>
      </w:r>
      <w:r>
        <w:rPr>
          <w:b/>
          <w:spacing w:val="25"/>
          <w:sz w:val="19"/>
        </w:rPr>
        <w:t> </w:t>
      </w:r>
      <w:r>
        <w:rPr>
          <w:b/>
          <w:sz w:val="19"/>
        </w:rPr>
        <w:t>Distribution</w:t>
      </w:r>
      <w:r>
        <w:rPr>
          <w:b/>
          <w:spacing w:val="48"/>
          <w:sz w:val="19"/>
        </w:rPr>
        <w:t> </w:t>
      </w:r>
      <w:r>
        <w:rPr>
          <w:b/>
          <w:sz w:val="19"/>
        </w:rPr>
        <w:t>of</w:t>
      </w:r>
      <w:r>
        <w:rPr>
          <w:b/>
          <w:spacing w:val="25"/>
          <w:sz w:val="19"/>
        </w:rPr>
        <w:t> </w:t>
      </w:r>
      <w:r>
        <w:rPr>
          <w:b/>
          <w:sz w:val="19"/>
        </w:rPr>
        <w:t>impact</w:t>
      </w:r>
      <w:r>
        <w:rPr>
          <w:b/>
          <w:spacing w:val="6"/>
          <w:sz w:val="19"/>
        </w:rPr>
        <w:t> </w:t>
      </w:r>
      <w:r>
        <w:rPr>
          <w:b/>
          <w:sz w:val="19"/>
        </w:rPr>
        <w:t>investment</w:t>
      </w:r>
      <w:r>
        <w:rPr>
          <w:b/>
          <w:spacing w:val="46"/>
          <w:sz w:val="19"/>
        </w:rPr>
        <w:t> </w:t>
      </w:r>
      <w:r>
        <w:rPr>
          <w:b/>
          <w:sz w:val="19"/>
        </w:rPr>
        <w:t>deals</w:t>
      </w:r>
      <w:r>
        <w:rPr>
          <w:b/>
          <w:spacing w:val="11"/>
          <w:sz w:val="19"/>
        </w:rPr>
        <w:t> </w:t>
      </w:r>
      <w:r>
        <w:rPr>
          <w:b/>
          <w:sz w:val="19"/>
        </w:rPr>
        <w:t>across</w:t>
      </w:r>
      <w:r>
        <w:rPr>
          <w:b/>
          <w:spacing w:val="11"/>
          <w:sz w:val="19"/>
        </w:rPr>
        <w:t> </w:t>
      </w:r>
      <w:r>
        <w:rPr>
          <w:b/>
          <w:sz w:val="19"/>
        </w:rPr>
        <w:t>regions</w:t>
      </w:r>
      <w:r>
        <w:rPr>
          <w:b/>
          <w:spacing w:val="11"/>
          <w:sz w:val="19"/>
        </w:rPr>
        <w:t> </w:t>
      </w:r>
      <w:r>
        <w:rPr>
          <w:b/>
          <w:sz w:val="19"/>
        </w:rPr>
        <w:t>and</w:t>
      </w:r>
      <w:r>
        <w:rPr>
          <w:b/>
          <w:spacing w:val="7"/>
          <w:sz w:val="19"/>
        </w:rPr>
        <w:t> </w:t>
      </w:r>
      <w:r>
        <w:rPr>
          <w:b/>
          <w:spacing w:val="-4"/>
          <w:sz w:val="19"/>
        </w:rPr>
        <w:t>SDGs</w:t>
      </w:r>
    </w:p>
    <w:p>
      <w:pPr>
        <w:pStyle w:val="BodyText"/>
        <w:spacing w:before="10"/>
        <w:ind w:left="0"/>
        <w:jc w:val="left"/>
        <w:rPr>
          <w:b/>
          <w:sz w:val="23"/>
        </w:rPr>
      </w:pPr>
    </w:p>
    <w:tbl>
      <w:tblPr>
        <w:tblW w:w="0" w:type="auto"/>
        <w:jc w:val="left"/>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56"/>
        <w:gridCol w:w="2777"/>
        <w:gridCol w:w="555"/>
        <w:gridCol w:w="555"/>
        <w:gridCol w:w="510"/>
        <w:gridCol w:w="540"/>
        <w:gridCol w:w="510"/>
        <w:gridCol w:w="525"/>
        <w:gridCol w:w="510"/>
        <w:gridCol w:w="510"/>
        <w:gridCol w:w="525"/>
        <w:gridCol w:w="510"/>
        <w:gridCol w:w="510"/>
        <w:gridCol w:w="525"/>
        <w:gridCol w:w="496"/>
        <w:gridCol w:w="526"/>
        <w:gridCol w:w="526"/>
        <w:gridCol w:w="496"/>
        <w:gridCol w:w="526"/>
      </w:tblGrid>
      <w:tr>
        <w:trPr>
          <w:trHeight w:val="252" w:hRule="atLeast"/>
        </w:trPr>
        <w:tc>
          <w:tcPr>
            <w:tcW w:w="3933" w:type="dxa"/>
            <w:gridSpan w:val="2"/>
            <w:vMerge w:val="restart"/>
            <w:tcBorders>
              <w:bottom w:val="single" w:sz="8" w:space="0" w:color="000000"/>
            </w:tcBorders>
          </w:tcPr>
          <w:p>
            <w:pPr>
              <w:pStyle w:val="TableParagraph"/>
              <w:jc w:val="left"/>
              <w:rPr>
                <w:sz w:val="18"/>
              </w:rPr>
            </w:pPr>
          </w:p>
        </w:tc>
        <w:tc>
          <w:tcPr>
            <w:tcW w:w="8855" w:type="dxa"/>
            <w:gridSpan w:val="17"/>
          </w:tcPr>
          <w:p>
            <w:pPr>
              <w:pStyle w:val="TableParagraph"/>
              <w:spacing w:before="3"/>
              <w:ind w:left="4212" w:right="4148"/>
              <w:rPr>
                <w:sz w:val="19"/>
              </w:rPr>
            </w:pPr>
            <w:r>
              <w:rPr>
                <w:spacing w:val="-4"/>
                <w:sz w:val="19"/>
              </w:rPr>
              <w:t>SDGs</w:t>
            </w:r>
          </w:p>
        </w:tc>
      </w:tr>
      <w:tr>
        <w:trPr>
          <w:trHeight w:val="265" w:hRule="atLeast"/>
        </w:trPr>
        <w:tc>
          <w:tcPr>
            <w:tcW w:w="3933" w:type="dxa"/>
            <w:gridSpan w:val="2"/>
            <w:vMerge/>
            <w:tcBorders>
              <w:top w:val="nil"/>
              <w:bottom w:val="single" w:sz="8" w:space="0" w:color="000000"/>
            </w:tcBorders>
          </w:tcPr>
          <w:p>
            <w:pPr>
              <w:rPr>
                <w:sz w:val="2"/>
                <w:szCs w:val="2"/>
              </w:rPr>
            </w:pPr>
          </w:p>
        </w:tc>
        <w:tc>
          <w:tcPr>
            <w:tcW w:w="555" w:type="dxa"/>
            <w:tcBorders>
              <w:bottom w:val="single" w:sz="8" w:space="0" w:color="000000"/>
            </w:tcBorders>
          </w:tcPr>
          <w:p>
            <w:pPr>
              <w:pStyle w:val="TableParagraph"/>
              <w:ind w:left="23"/>
              <w:rPr>
                <w:sz w:val="19"/>
              </w:rPr>
            </w:pPr>
            <w:r>
              <w:rPr>
                <w:w w:val="102"/>
                <w:sz w:val="19"/>
              </w:rPr>
              <w:t>1</w:t>
            </w:r>
          </w:p>
        </w:tc>
        <w:tc>
          <w:tcPr>
            <w:tcW w:w="555" w:type="dxa"/>
            <w:tcBorders>
              <w:bottom w:val="single" w:sz="8" w:space="0" w:color="000000"/>
            </w:tcBorders>
          </w:tcPr>
          <w:p>
            <w:pPr>
              <w:pStyle w:val="TableParagraph"/>
              <w:ind w:right="3"/>
              <w:rPr>
                <w:sz w:val="19"/>
              </w:rPr>
            </w:pPr>
            <w:r>
              <w:rPr>
                <w:w w:val="102"/>
                <w:sz w:val="19"/>
              </w:rPr>
              <w:t>2</w:t>
            </w:r>
          </w:p>
        </w:tc>
        <w:tc>
          <w:tcPr>
            <w:tcW w:w="510" w:type="dxa"/>
            <w:tcBorders>
              <w:bottom w:val="single" w:sz="8" w:space="0" w:color="000000"/>
            </w:tcBorders>
          </w:tcPr>
          <w:p>
            <w:pPr>
              <w:pStyle w:val="TableParagraph"/>
              <w:ind w:left="10"/>
              <w:rPr>
                <w:sz w:val="19"/>
              </w:rPr>
            </w:pPr>
            <w:r>
              <w:rPr>
                <w:w w:val="102"/>
                <w:sz w:val="19"/>
              </w:rPr>
              <w:t>3</w:t>
            </w:r>
          </w:p>
        </w:tc>
        <w:tc>
          <w:tcPr>
            <w:tcW w:w="540" w:type="dxa"/>
            <w:tcBorders>
              <w:bottom w:val="single" w:sz="8" w:space="0" w:color="000000"/>
            </w:tcBorders>
          </w:tcPr>
          <w:p>
            <w:pPr>
              <w:pStyle w:val="TableParagraph"/>
              <w:ind w:left="11"/>
              <w:rPr>
                <w:sz w:val="19"/>
              </w:rPr>
            </w:pPr>
            <w:r>
              <w:rPr>
                <w:w w:val="102"/>
                <w:sz w:val="19"/>
              </w:rPr>
              <w:t>4</w:t>
            </w:r>
          </w:p>
        </w:tc>
        <w:tc>
          <w:tcPr>
            <w:tcW w:w="510" w:type="dxa"/>
            <w:tcBorders>
              <w:bottom w:val="single" w:sz="8" w:space="0" w:color="000000"/>
            </w:tcBorders>
          </w:tcPr>
          <w:p>
            <w:pPr>
              <w:pStyle w:val="TableParagraph"/>
              <w:ind w:left="205"/>
              <w:jc w:val="left"/>
              <w:rPr>
                <w:sz w:val="19"/>
              </w:rPr>
            </w:pPr>
            <w:r>
              <w:rPr>
                <w:w w:val="102"/>
                <w:sz w:val="19"/>
              </w:rPr>
              <w:t>5</w:t>
            </w:r>
          </w:p>
        </w:tc>
        <w:tc>
          <w:tcPr>
            <w:tcW w:w="525" w:type="dxa"/>
            <w:tcBorders>
              <w:bottom w:val="single" w:sz="8" w:space="0" w:color="000000"/>
            </w:tcBorders>
          </w:tcPr>
          <w:p>
            <w:pPr>
              <w:pStyle w:val="TableParagraph"/>
              <w:ind w:left="220"/>
              <w:jc w:val="left"/>
              <w:rPr>
                <w:sz w:val="19"/>
              </w:rPr>
            </w:pPr>
            <w:r>
              <w:rPr>
                <w:w w:val="102"/>
                <w:sz w:val="19"/>
              </w:rPr>
              <w:t>6</w:t>
            </w:r>
          </w:p>
        </w:tc>
        <w:tc>
          <w:tcPr>
            <w:tcW w:w="510" w:type="dxa"/>
            <w:tcBorders>
              <w:bottom w:val="single" w:sz="8" w:space="0" w:color="000000"/>
            </w:tcBorders>
          </w:tcPr>
          <w:p>
            <w:pPr>
              <w:pStyle w:val="TableParagraph"/>
              <w:ind w:left="205"/>
              <w:jc w:val="left"/>
              <w:rPr>
                <w:sz w:val="19"/>
              </w:rPr>
            </w:pPr>
            <w:r>
              <w:rPr>
                <w:w w:val="102"/>
                <w:sz w:val="19"/>
              </w:rPr>
              <w:t>7</w:t>
            </w:r>
          </w:p>
        </w:tc>
        <w:tc>
          <w:tcPr>
            <w:tcW w:w="510" w:type="dxa"/>
            <w:tcBorders>
              <w:bottom w:val="single" w:sz="8" w:space="0" w:color="000000"/>
            </w:tcBorders>
          </w:tcPr>
          <w:p>
            <w:pPr>
              <w:pStyle w:val="TableParagraph"/>
              <w:ind w:left="14"/>
              <w:rPr>
                <w:sz w:val="19"/>
              </w:rPr>
            </w:pPr>
            <w:r>
              <w:rPr>
                <w:w w:val="102"/>
                <w:sz w:val="19"/>
              </w:rPr>
              <w:t>8</w:t>
            </w:r>
          </w:p>
        </w:tc>
        <w:tc>
          <w:tcPr>
            <w:tcW w:w="525" w:type="dxa"/>
            <w:tcBorders>
              <w:bottom w:val="single" w:sz="8" w:space="0" w:color="000000"/>
            </w:tcBorders>
          </w:tcPr>
          <w:p>
            <w:pPr>
              <w:pStyle w:val="TableParagraph"/>
              <w:ind w:right="188"/>
              <w:jc w:val="right"/>
              <w:rPr>
                <w:sz w:val="19"/>
              </w:rPr>
            </w:pPr>
            <w:r>
              <w:rPr>
                <w:w w:val="102"/>
                <w:sz w:val="19"/>
              </w:rPr>
              <w:t>9</w:t>
            </w:r>
          </w:p>
        </w:tc>
        <w:tc>
          <w:tcPr>
            <w:tcW w:w="510" w:type="dxa"/>
            <w:tcBorders>
              <w:bottom w:val="single" w:sz="8" w:space="0" w:color="000000"/>
            </w:tcBorders>
          </w:tcPr>
          <w:p>
            <w:pPr>
              <w:pStyle w:val="TableParagraph"/>
              <w:ind w:left="162"/>
              <w:jc w:val="left"/>
              <w:rPr>
                <w:sz w:val="19"/>
              </w:rPr>
            </w:pPr>
            <w:r>
              <w:rPr>
                <w:spacing w:val="-5"/>
                <w:sz w:val="19"/>
              </w:rPr>
              <w:t>10</w:t>
            </w:r>
          </w:p>
        </w:tc>
        <w:tc>
          <w:tcPr>
            <w:tcW w:w="510" w:type="dxa"/>
            <w:tcBorders>
              <w:bottom w:val="single" w:sz="8" w:space="0" w:color="000000"/>
            </w:tcBorders>
          </w:tcPr>
          <w:p>
            <w:pPr>
              <w:pStyle w:val="TableParagraph"/>
              <w:ind w:left="106" w:right="66"/>
              <w:rPr>
                <w:sz w:val="19"/>
              </w:rPr>
            </w:pPr>
            <w:r>
              <w:rPr>
                <w:spacing w:val="-5"/>
                <w:sz w:val="19"/>
              </w:rPr>
              <w:t>11</w:t>
            </w:r>
          </w:p>
        </w:tc>
        <w:tc>
          <w:tcPr>
            <w:tcW w:w="525" w:type="dxa"/>
            <w:tcBorders>
              <w:bottom w:val="single" w:sz="8" w:space="0" w:color="000000"/>
            </w:tcBorders>
          </w:tcPr>
          <w:p>
            <w:pPr>
              <w:pStyle w:val="TableParagraph"/>
              <w:ind w:left="177"/>
              <w:jc w:val="left"/>
              <w:rPr>
                <w:sz w:val="19"/>
              </w:rPr>
            </w:pPr>
            <w:r>
              <w:rPr>
                <w:spacing w:val="-5"/>
                <w:sz w:val="19"/>
              </w:rPr>
              <w:t>12</w:t>
            </w:r>
          </w:p>
        </w:tc>
        <w:tc>
          <w:tcPr>
            <w:tcW w:w="496" w:type="dxa"/>
            <w:tcBorders>
              <w:bottom w:val="single" w:sz="8" w:space="0" w:color="000000"/>
            </w:tcBorders>
          </w:tcPr>
          <w:p>
            <w:pPr>
              <w:pStyle w:val="TableParagraph"/>
              <w:ind w:left="139" w:right="113"/>
              <w:rPr>
                <w:sz w:val="19"/>
              </w:rPr>
            </w:pPr>
            <w:r>
              <w:rPr>
                <w:spacing w:val="-5"/>
                <w:sz w:val="19"/>
              </w:rPr>
              <w:t>13</w:t>
            </w:r>
          </w:p>
        </w:tc>
        <w:tc>
          <w:tcPr>
            <w:tcW w:w="526" w:type="dxa"/>
            <w:tcBorders>
              <w:bottom w:val="single" w:sz="8" w:space="0" w:color="000000"/>
            </w:tcBorders>
          </w:tcPr>
          <w:p>
            <w:pPr>
              <w:pStyle w:val="TableParagraph"/>
              <w:ind w:left="154" w:right="129"/>
              <w:rPr>
                <w:sz w:val="19"/>
              </w:rPr>
            </w:pPr>
            <w:r>
              <w:rPr>
                <w:spacing w:val="-5"/>
                <w:sz w:val="19"/>
              </w:rPr>
              <w:t>14</w:t>
            </w:r>
          </w:p>
        </w:tc>
        <w:tc>
          <w:tcPr>
            <w:tcW w:w="526" w:type="dxa"/>
            <w:tcBorders>
              <w:bottom w:val="single" w:sz="8" w:space="0" w:color="000000"/>
            </w:tcBorders>
          </w:tcPr>
          <w:p>
            <w:pPr>
              <w:pStyle w:val="TableParagraph"/>
              <w:ind w:left="154" w:right="130"/>
              <w:rPr>
                <w:sz w:val="19"/>
              </w:rPr>
            </w:pPr>
            <w:r>
              <w:rPr>
                <w:spacing w:val="-5"/>
                <w:sz w:val="19"/>
              </w:rPr>
              <w:t>15</w:t>
            </w:r>
          </w:p>
        </w:tc>
        <w:tc>
          <w:tcPr>
            <w:tcW w:w="496" w:type="dxa"/>
            <w:tcBorders>
              <w:bottom w:val="single" w:sz="8" w:space="0" w:color="000000"/>
            </w:tcBorders>
          </w:tcPr>
          <w:p>
            <w:pPr>
              <w:pStyle w:val="TableParagraph"/>
              <w:ind w:left="139" w:right="117"/>
              <w:rPr>
                <w:sz w:val="19"/>
              </w:rPr>
            </w:pPr>
            <w:r>
              <w:rPr>
                <w:spacing w:val="-5"/>
                <w:sz w:val="19"/>
              </w:rPr>
              <w:t>16</w:t>
            </w:r>
          </w:p>
        </w:tc>
        <w:tc>
          <w:tcPr>
            <w:tcW w:w="526" w:type="dxa"/>
            <w:tcBorders>
              <w:bottom w:val="single" w:sz="8" w:space="0" w:color="000000"/>
            </w:tcBorders>
          </w:tcPr>
          <w:p>
            <w:pPr>
              <w:pStyle w:val="TableParagraph"/>
              <w:ind w:left="161"/>
              <w:jc w:val="left"/>
              <w:rPr>
                <w:sz w:val="19"/>
              </w:rPr>
            </w:pPr>
            <w:r>
              <w:rPr>
                <w:spacing w:val="-5"/>
                <w:sz w:val="19"/>
              </w:rPr>
              <w:t>17</w:t>
            </w:r>
          </w:p>
        </w:tc>
      </w:tr>
      <w:tr>
        <w:trPr>
          <w:trHeight w:val="252" w:hRule="atLeast"/>
        </w:trPr>
        <w:tc>
          <w:tcPr>
            <w:tcW w:w="1156" w:type="dxa"/>
            <w:vMerge w:val="restart"/>
            <w:tcBorders>
              <w:top w:val="single" w:sz="8" w:space="0" w:color="000000"/>
            </w:tcBorders>
          </w:tcPr>
          <w:p>
            <w:pPr>
              <w:pStyle w:val="TableParagraph"/>
              <w:spacing w:line="204" w:lineRule="exact"/>
              <w:ind w:left="157"/>
              <w:jc w:val="left"/>
              <w:rPr>
                <w:sz w:val="19"/>
              </w:rPr>
            </w:pPr>
            <w:r>
              <w:rPr>
                <w:spacing w:val="-2"/>
                <w:sz w:val="19"/>
              </w:rPr>
              <w:t>Developed</w:t>
            </w:r>
          </w:p>
          <w:p>
            <w:pPr>
              <w:pStyle w:val="TableParagraph"/>
              <w:spacing w:before="22"/>
              <w:ind w:left="262"/>
              <w:jc w:val="left"/>
              <w:rPr>
                <w:sz w:val="19"/>
              </w:rPr>
            </w:pPr>
            <w:r>
              <w:rPr>
                <w:spacing w:val="-2"/>
                <w:sz w:val="19"/>
              </w:rPr>
              <w:t>Regions</w:t>
            </w:r>
          </w:p>
        </w:tc>
        <w:tc>
          <w:tcPr>
            <w:tcW w:w="2777" w:type="dxa"/>
            <w:tcBorders>
              <w:top w:val="single" w:sz="8" w:space="0" w:color="000000"/>
            </w:tcBorders>
          </w:tcPr>
          <w:p>
            <w:pPr>
              <w:pStyle w:val="TableParagraph"/>
              <w:spacing w:line="204" w:lineRule="exact"/>
              <w:ind w:left="112"/>
              <w:jc w:val="left"/>
              <w:rPr>
                <w:sz w:val="19"/>
              </w:rPr>
            </w:pPr>
            <w:r>
              <w:rPr>
                <w:sz w:val="19"/>
              </w:rPr>
              <w:t>US</w:t>
            </w:r>
            <w:r>
              <w:rPr>
                <w:spacing w:val="8"/>
                <w:sz w:val="19"/>
              </w:rPr>
              <w:t> </w:t>
            </w:r>
            <w:r>
              <w:rPr>
                <w:sz w:val="19"/>
              </w:rPr>
              <w:t>&amp;</w:t>
            </w:r>
            <w:r>
              <w:rPr>
                <w:spacing w:val="10"/>
                <w:sz w:val="19"/>
              </w:rPr>
              <w:t> </w:t>
            </w:r>
            <w:r>
              <w:rPr>
                <w:spacing w:val="-2"/>
                <w:sz w:val="19"/>
              </w:rPr>
              <w:t>Canada</w:t>
            </w:r>
          </w:p>
        </w:tc>
        <w:tc>
          <w:tcPr>
            <w:tcW w:w="555" w:type="dxa"/>
            <w:tcBorders>
              <w:top w:val="single" w:sz="8" w:space="0" w:color="000000"/>
            </w:tcBorders>
          </w:tcPr>
          <w:p>
            <w:pPr>
              <w:pStyle w:val="TableParagraph"/>
              <w:ind w:left="130" w:right="99"/>
              <w:rPr>
                <w:sz w:val="19"/>
              </w:rPr>
            </w:pPr>
            <w:r>
              <w:rPr>
                <w:spacing w:val="-5"/>
                <w:sz w:val="19"/>
              </w:rPr>
              <w:t>128</w:t>
            </w:r>
          </w:p>
        </w:tc>
        <w:tc>
          <w:tcPr>
            <w:tcW w:w="555" w:type="dxa"/>
            <w:tcBorders>
              <w:top w:val="single" w:sz="8" w:space="0" w:color="000000"/>
            </w:tcBorders>
          </w:tcPr>
          <w:p>
            <w:pPr>
              <w:pStyle w:val="TableParagraph"/>
              <w:ind w:right="109"/>
              <w:jc w:val="right"/>
              <w:rPr>
                <w:sz w:val="19"/>
              </w:rPr>
            </w:pPr>
            <w:r>
              <w:rPr>
                <w:spacing w:val="-5"/>
                <w:sz w:val="19"/>
              </w:rPr>
              <w:t>103</w:t>
            </w:r>
          </w:p>
        </w:tc>
        <w:tc>
          <w:tcPr>
            <w:tcW w:w="510" w:type="dxa"/>
            <w:tcBorders>
              <w:top w:val="single" w:sz="8" w:space="0" w:color="000000"/>
            </w:tcBorders>
          </w:tcPr>
          <w:p>
            <w:pPr>
              <w:pStyle w:val="TableParagraph"/>
              <w:ind w:left="99" w:right="66"/>
              <w:rPr>
                <w:sz w:val="19"/>
              </w:rPr>
            </w:pPr>
            <w:r>
              <w:rPr>
                <w:spacing w:val="-5"/>
                <w:sz w:val="19"/>
              </w:rPr>
              <w:t>72</w:t>
            </w:r>
          </w:p>
        </w:tc>
        <w:tc>
          <w:tcPr>
            <w:tcW w:w="540" w:type="dxa"/>
            <w:tcBorders>
              <w:top w:val="single" w:sz="8" w:space="0" w:color="000000"/>
            </w:tcBorders>
          </w:tcPr>
          <w:p>
            <w:pPr>
              <w:pStyle w:val="TableParagraph"/>
              <w:ind w:left="11"/>
              <w:rPr>
                <w:sz w:val="19"/>
              </w:rPr>
            </w:pPr>
            <w:r>
              <w:rPr>
                <w:w w:val="102"/>
                <w:sz w:val="19"/>
              </w:rPr>
              <w:t>1</w:t>
            </w:r>
          </w:p>
        </w:tc>
        <w:tc>
          <w:tcPr>
            <w:tcW w:w="510" w:type="dxa"/>
            <w:tcBorders>
              <w:top w:val="single" w:sz="8" w:space="0" w:color="000000"/>
            </w:tcBorders>
          </w:tcPr>
          <w:p>
            <w:pPr>
              <w:pStyle w:val="TableParagraph"/>
              <w:ind w:left="159"/>
              <w:jc w:val="left"/>
              <w:rPr>
                <w:sz w:val="19"/>
              </w:rPr>
            </w:pPr>
            <w:r>
              <w:rPr>
                <w:spacing w:val="-5"/>
                <w:sz w:val="19"/>
              </w:rPr>
              <w:t>75</w:t>
            </w:r>
          </w:p>
        </w:tc>
        <w:tc>
          <w:tcPr>
            <w:tcW w:w="525" w:type="dxa"/>
            <w:tcBorders>
              <w:top w:val="single" w:sz="8" w:space="0" w:color="000000"/>
            </w:tcBorders>
          </w:tcPr>
          <w:p>
            <w:pPr>
              <w:pStyle w:val="TableParagraph"/>
              <w:ind w:left="175"/>
              <w:jc w:val="left"/>
              <w:rPr>
                <w:sz w:val="19"/>
              </w:rPr>
            </w:pPr>
            <w:r>
              <w:rPr>
                <w:spacing w:val="-5"/>
                <w:sz w:val="19"/>
              </w:rPr>
              <w:t>10</w:t>
            </w:r>
          </w:p>
        </w:tc>
        <w:tc>
          <w:tcPr>
            <w:tcW w:w="510" w:type="dxa"/>
            <w:tcBorders>
              <w:top w:val="single" w:sz="8" w:space="0" w:color="000000"/>
            </w:tcBorders>
          </w:tcPr>
          <w:p>
            <w:pPr>
              <w:pStyle w:val="TableParagraph"/>
              <w:ind w:left="160"/>
              <w:jc w:val="left"/>
              <w:rPr>
                <w:sz w:val="19"/>
              </w:rPr>
            </w:pPr>
            <w:r>
              <w:rPr>
                <w:spacing w:val="-5"/>
                <w:sz w:val="19"/>
              </w:rPr>
              <w:t>41</w:t>
            </w:r>
          </w:p>
        </w:tc>
        <w:tc>
          <w:tcPr>
            <w:tcW w:w="510" w:type="dxa"/>
            <w:tcBorders>
              <w:top w:val="single" w:sz="8" w:space="0" w:color="000000"/>
            </w:tcBorders>
          </w:tcPr>
          <w:p>
            <w:pPr>
              <w:pStyle w:val="TableParagraph"/>
              <w:ind w:left="103" w:right="66"/>
              <w:rPr>
                <w:sz w:val="19"/>
              </w:rPr>
            </w:pPr>
            <w:r>
              <w:rPr>
                <w:spacing w:val="-5"/>
                <w:sz w:val="19"/>
              </w:rPr>
              <w:t>84</w:t>
            </w:r>
          </w:p>
        </w:tc>
        <w:tc>
          <w:tcPr>
            <w:tcW w:w="525" w:type="dxa"/>
            <w:tcBorders>
              <w:top w:val="single" w:sz="8" w:space="0" w:color="000000"/>
            </w:tcBorders>
          </w:tcPr>
          <w:p>
            <w:pPr>
              <w:pStyle w:val="TableParagraph"/>
              <w:ind w:right="188"/>
              <w:jc w:val="right"/>
              <w:rPr>
                <w:sz w:val="19"/>
              </w:rPr>
            </w:pPr>
            <w:r>
              <w:rPr>
                <w:w w:val="102"/>
                <w:sz w:val="19"/>
              </w:rPr>
              <w:t>0</w:t>
            </w:r>
          </w:p>
        </w:tc>
        <w:tc>
          <w:tcPr>
            <w:tcW w:w="510" w:type="dxa"/>
            <w:tcBorders>
              <w:top w:val="single" w:sz="8" w:space="0" w:color="000000"/>
            </w:tcBorders>
          </w:tcPr>
          <w:p>
            <w:pPr>
              <w:pStyle w:val="TableParagraph"/>
              <w:ind w:left="162"/>
              <w:jc w:val="left"/>
              <w:rPr>
                <w:sz w:val="19"/>
              </w:rPr>
            </w:pPr>
            <w:r>
              <w:rPr>
                <w:spacing w:val="-5"/>
                <w:sz w:val="19"/>
              </w:rPr>
              <w:t>73</w:t>
            </w:r>
          </w:p>
        </w:tc>
        <w:tc>
          <w:tcPr>
            <w:tcW w:w="510" w:type="dxa"/>
            <w:tcBorders>
              <w:top w:val="single" w:sz="8" w:space="0" w:color="000000"/>
            </w:tcBorders>
          </w:tcPr>
          <w:p>
            <w:pPr>
              <w:pStyle w:val="TableParagraph"/>
              <w:ind w:left="17"/>
              <w:rPr>
                <w:sz w:val="19"/>
              </w:rPr>
            </w:pPr>
            <w:r>
              <w:rPr>
                <w:w w:val="102"/>
                <w:sz w:val="19"/>
              </w:rPr>
              <w:t>0</w:t>
            </w:r>
          </w:p>
        </w:tc>
        <w:tc>
          <w:tcPr>
            <w:tcW w:w="525" w:type="dxa"/>
            <w:tcBorders>
              <w:top w:val="single" w:sz="8" w:space="0" w:color="000000"/>
            </w:tcBorders>
          </w:tcPr>
          <w:p>
            <w:pPr>
              <w:pStyle w:val="TableParagraph"/>
              <w:ind w:left="222"/>
              <w:jc w:val="left"/>
              <w:rPr>
                <w:sz w:val="19"/>
              </w:rPr>
            </w:pPr>
            <w:r>
              <w:rPr>
                <w:w w:val="102"/>
                <w:sz w:val="19"/>
              </w:rPr>
              <w:t>2</w:t>
            </w:r>
          </w:p>
        </w:tc>
        <w:tc>
          <w:tcPr>
            <w:tcW w:w="496" w:type="dxa"/>
            <w:tcBorders>
              <w:top w:val="single" w:sz="8" w:space="0" w:color="000000"/>
            </w:tcBorders>
          </w:tcPr>
          <w:p>
            <w:pPr>
              <w:pStyle w:val="TableParagraph"/>
              <w:ind w:left="139" w:right="113"/>
              <w:rPr>
                <w:sz w:val="19"/>
              </w:rPr>
            </w:pPr>
            <w:r>
              <w:rPr>
                <w:spacing w:val="-5"/>
                <w:sz w:val="19"/>
              </w:rPr>
              <w:t>13</w:t>
            </w:r>
          </w:p>
        </w:tc>
        <w:tc>
          <w:tcPr>
            <w:tcW w:w="526" w:type="dxa"/>
            <w:tcBorders>
              <w:top w:val="single" w:sz="8" w:space="0" w:color="000000"/>
            </w:tcBorders>
          </w:tcPr>
          <w:p>
            <w:pPr>
              <w:pStyle w:val="TableParagraph"/>
              <w:ind w:left="32"/>
              <w:rPr>
                <w:sz w:val="19"/>
              </w:rPr>
            </w:pPr>
            <w:r>
              <w:rPr>
                <w:w w:val="102"/>
                <w:sz w:val="19"/>
              </w:rPr>
              <w:t>1</w:t>
            </w:r>
          </w:p>
        </w:tc>
        <w:tc>
          <w:tcPr>
            <w:tcW w:w="526" w:type="dxa"/>
            <w:tcBorders>
              <w:top w:val="single" w:sz="8" w:space="0" w:color="000000"/>
            </w:tcBorders>
          </w:tcPr>
          <w:p>
            <w:pPr>
              <w:pStyle w:val="TableParagraph"/>
              <w:ind w:left="154" w:right="130"/>
              <w:rPr>
                <w:sz w:val="19"/>
              </w:rPr>
            </w:pPr>
            <w:r>
              <w:rPr>
                <w:spacing w:val="-5"/>
                <w:sz w:val="19"/>
              </w:rPr>
              <w:t>45</w:t>
            </w:r>
          </w:p>
        </w:tc>
        <w:tc>
          <w:tcPr>
            <w:tcW w:w="496" w:type="dxa"/>
            <w:tcBorders>
              <w:top w:val="single" w:sz="8" w:space="0" w:color="000000"/>
            </w:tcBorders>
          </w:tcPr>
          <w:p>
            <w:pPr>
              <w:pStyle w:val="TableParagraph"/>
              <w:ind w:left="30"/>
              <w:rPr>
                <w:sz w:val="19"/>
              </w:rPr>
            </w:pPr>
            <w:r>
              <w:rPr>
                <w:w w:val="102"/>
                <w:sz w:val="19"/>
              </w:rPr>
              <w:t>7</w:t>
            </w:r>
          </w:p>
        </w:tc>
        <w:tc>
          <w:tcPr>
            <w:tcW w:w="526" w:type="dxa"/>
            <w:tcBorders>
              <w:top w:val="single" w:sz="8" w:space="0" w:color="000000"/>
            </w:tcBorders>
          </w:tcPr>
          <w:p>
            <w:pPr>
              <w:pStyle w:val="TableParagraph"/>
              <w:ind w:left="221"/>
              <w:jc w:val="left"/>
              <w:rPr>
                <w:sz w:val="19"/>
              </w:rPr>
            </w:pPr>
            <w:r>
              <w:rPr>
                <w:w w:val="102"/>
                <w:sz w:val="19"/>
              </w:rPr>
              <w:t>0</w:t>
            </w:r>
          </w:p>
        </w:tc>
      </w:tr>
      <w:tr>
        <w:trPr>
          <w:trHeight w:val="450" w:hRule="atLeast"/>
        </w:trPr>
        <w:tc>
          <w:tcPr>
            <w:tcW w:w="1156" w:type="dxa"/>
            <w:vMerge/>
            <w:tcBorders>
              <w:top w:val="nil"/>
            </w:tcBorders>
          </w:tcPr>
          <w:p>
            <w:pPr>
              <w:rPr>
                <w:sz w:val="2"/>
                <w:szCs w:val="2"/>
              </w:rPr>
            </w:pPr>
          </w:p>
        </w:tc>
        <w:tc>
          <w:tcPr>
            <w:tcW w:w="2777" w:type="dxa"/>
          </w:tcPr>
          <w:p>
            <w:pPr>
              <w:pStyle w:val="TableParagraph"/>
              <w:spacing w:line="226" w:lineRule="exact"/>
              <w:ind w:left="112" w:right="200"/>
              <w:jc w:val="left"/>
              <w:rPr>
                <w:sz w:val="19"/>
              </w:rPr>
            </w:pPr>
            <w:r>
              <w:rPr>
                <w:sz w:val="19"/>
              </w:rPr>
              <w:t>Western, Northern, and Southern Europe</w:t>
            </w:r>
          </w:p>
        </w:tc>
        <w:tc>
          <w:tcPr>
            <w:tcW w:w="555" w:type="dxa"/>
          </w:tcPr>
          <w:p>
            <w:pPr>
              <w:pStyle w:val="TableParagraph"/>
              <w:spacing w:before="108"/>
              <w:ind w:left="130" w:right="84"/>
              <w:rPr>
                <w:sz w:val="19"/>
              </w:rPr>
            </w:pPr>
            <w:r>
              <w:rPr>
                <w:spacing w:val="-5"/>
                <w:sz w:val="19"/>
              </w:rPr>
              <w:t>10</w:t>
            </w:r>
          </w:p>
        </w:tc>
        <w:tc>
          <w:tcPr>
            <w:tcW w:w="555" w:type="dxa"/>
          </w:tcPr>
          <w:p>
            <w:pPr>
              <w:pStyle w:val="TableParagraph"/>
              <w:spacing w:before="108"/>
              <w:ind w:right="3"/>
              <w:rPr>
                <w:sz w:val="19"/>
              </w:rPr>
            </w:pPr>
            <w:r>
              <w:rPr>
                <w:w w:val="102"/>
                <w:sz w:val="19"/>
              </w:rPr>
              <w:t>8</w:t>
            </w:r>
          </w:p>
        </w:tc>
        <w:tc>
          <w:tcPr>
            <w:tcW w:w="510" w:type="dxa"/>
          </w:tcPr>
          <w:p>
            <w:pPr>
              <w:pStyle w:val="TableParagraph"/>
              <w:spacing w:before="108"/>
              <w:ind w:left="10"/>
              <w:rPr>
                <w:sz w:val="19"/>
              </w:rPr>
            </w:pPr>
            <w:r>
              <w:rPr>
                <w:w w:val="102"/>
                <w:sz w:val="19"/>
              </w:rPr>
              <w:t>4</w:t>
            </w:r>
          </w:p>
        </w:tc>
        <w:tc>
          <w:tcPr>
            <w:tcW w:w="540" w:type="dxa"/>
          </w:tcPr>
          <w:p>
            <w:pPr>
              <w:pStyle w:val="TableParagraph"/>
              <w:spacing w:before="108"/>
              <w:ind w:left="11"/>
              <w:rPr>
                <w:sz w:val="19"/>
              </w:rPr>
            </w:pPr>
            <w:r>
              <w:rPr>
                <w:w w:val="102"/>
                <w:sz w:val="19"/>
              </w:rPr>
              <w:t>0</w:t>
            </w:r>
          </w:p>
        </w:tc>
        <w:tc>
          <w:tcPr>
            <w:tcW w:w="510" w:type="dxa"/>
          </w:tcPr>
          <w:p>
            <w:pPr>
              <w:pStyle w:val="TableParagraph"/>
              <w:spacing w:before="108"/>
              <w:ind w:left="205"/>
              <w:jc w:val="left"/>
              <w:rPr>
                <w:sz w:val="19"/>
              </w:rPr>
            </w:pPr>
            <w:r>
              <w:rPr>
                <w:w w:val="102"/>
                <w:sz w:val="19"/>
              </w:rPr>
              <w:t>8</w:t>
            </w:r>
          </w:p>
        </w:tc>
        <w:tc>
          <w:tcPr>
            <w:tcW w:w="525" w:type="dxa"/>
          </w:tcPr>
          <w:p>
            <w:pPr>
              <w:pStyle w:val="TableParagraph"/>
              <w:spacing w:before="108"/>
              <w:ind w:left="220"/>
              <w:jc w:val="left"/>
              <w:rPr>
                <w:sz w:val="19"/>
              </w:rPr>
            </w:pPr>
            <w:r>
              <w:rPr>
                <w:w w:val="102"/>
                <w:sz w:val="19"/>
              </w:rPr>
              <w:t>0</w:t>
            </w:r>
          </w:p>
        </w:tc>
        <w:tc>
          <w:tcPr>
            <w:tcW w:w="510" w:type="dxa"/>
          </w:tcPr>
          <w:p>
            <w:pPr>
              <w:pStyle w:val="TableParagraph"/>
              <w:spacing w:before="108"/>
              <w:ind w:left="205"/>
              <w:jc w:val="left"/>
              <w:rPr>
                <w:sz w:val="19"/>
              </w:rPr>
            </w:pPr>
            <w:r>
              <w:rPr>
                <w:w w:val="102"/>
                <w:sz w:val="19"/>
              </w:rPr>
              <w:t>1</w:t>
            </w:r>
          </w:p>
        </w:tc>
        <w:tc>
          <w:tcPr>
            <w:tcW w:w="510" w:type="dxa"/>
          </w:tcPr>
          <w:p>
            <w:pPr>
              <w:pStyle w:val="TableParagraph"/>
              <w:spacing w:before="108"/>
              <w:ind w:left="14"/>
              <w:rPr>
                <w:sz w:val="19"/>
              </w:rPr>
            </w:pPr>
            <w:r>
              <w:rPr>
                <w:w w:val="102"/>
                <w:sz w:val="19"/>
              </w:rPr>
              <w:t>8</w:t>
            </w:r>
          </w:p>
        </w:tc>
        <w:tc>
          <w:tcPr>
            <w:tcW w:w="525" w:type="dxa"/>
          </w:tcPr>
          <w:p>
            <w:pPr>
              <w:pStyle w:val="TableParagraph"/>
              <w:spacing w:before="108"/>
              <w:ind w:right="188"/>
              <w:jc w:val="right"/>
              <w:rPr>
                <w:sz w:val="19"/>
              </w:rPr>
            </w:pPr>
            <w:r>
              <w:rPr>
                <w:w w:val="102"/>
                <w:sz w:val="19"/>
              </w:rPr>
              <w:t>0</w:t>
            </w:r>
          </w:p>
        </w:tc>
        <w:tc>
          <w:tcPr>
            <w:tcW w:w="510" w:type="dxa"/>
          </w:tcPr>
          <w:p>
            <w:pPr>
              <w:pStyle w:val="TableParagraph"/>
              <w:spacing w:before="108"/>
              <w:ind w:left="207"/>
              <w:jc w:val="left"/>
              <w:rPr>
                <w:sz w:val="19"/>
              </w:rPr>
            </w:pPr>
            <w:r>
              <w:rPr>
                <w:w w:val="102"/>
                <w:sz w:val="19"/>
              </w:rPr>
              <w:t>7</w:t>
            </w:r>
          </w:p>
        </w:tc>
        <w:tc>
          <w:tcPr>
            <w:tcW w:w="510" w:type="dxa"/>
          </w:tcPr>
          <w:p>
            <w:pPr>
              <w:pStyle w:val="TableParagraph"/>
              <w:spacing w:before="108"/>
              <w:ind w:left="17"/>
              <w:rPr>
                <w:sz w:val="19"/>
              </w:rPr>
            </w:pPr>
            <w:r>
              <w:rPr>
                <w:w w:val="102"/>
                <w:sz w:val="19"/>
              </w:rPr>
              <w:t>0</w:t>
            </w:r>
          </w:p>
        </w:tc>
        <w:tc>
          <w:tcPr>
            <w:tcW w:w="525" w:type="dxa"/>
          </w:tcPr>
          <w:p>
            <w:pPr>
              <w:pStyle w:val="TableParagraph"/>
              <w:spacing w:before="108"/>
              <w:ind w:left="222"/>
              <w:jc w:val="left"/>
              <w:rPr>
                <w:sz w:val="19"/>
              </w:rPr>
            </w:pPr>
            <w:r>
              <w:rPr>
                <w:w w:val="102"/>
                <w:sz w:val="19"/>
              </w:rPr>
              <w:t>0</w:t>
            </w:r>
          </w:p>
        </w:tc>
        <w:tc>
          <w:tcPr>
            <w:tcW w:w="496" w:type="dxa"/>
          </w:tcPr>
          <w:p>
            <w:pPr>
              <w:pStyle w:val="TableParagraph"/>
              <w:spacing w:before="108"/>
              <w:ind w:left="33"/>
              <w:rPr>
                <w:sz w:val="19"/>
              </w:rPr>
            </w:pPr>
            <w:r>
              <w:rPr>
                <w:w w:val="102"/>
                <w:sz w:val="19"/>
              </w:rPr>
              <w:t>1</w:t>
            </w:r>
          </w:p>
        </w:tc>
        <w:tc>
          <w:tcPr>
            <w:tcW w:w="526" w:type="dxa"/>
          </w:tcPr>
          <w:p>
            <w:pPr>
              <w:pStyle w:val="TableParagraph"/>
              <w:spacing w:before="108"/>
              <w:ind w:left="32"/>
              <w:rPr>
                <w:sz w:val="19"/>
              </w:rPr>
            </w:pPr>
            <w:r>
              <w:rPr>
                <w:w w:val="102"/>
                <w:sz w:val="19"/>
              </w:rPr>
              <w:t>0</w:t>
            </w:r>
          </w:p>
        </w:tc>
        <w:tc>
          <w:tcPr>
            <w:tcW w:w="526" w:type="dxa"/>
          </w:tcPr>
          <w:p>
            <w:pPr>
              <w:pStyle w:val="TableParagraph"/>
              <w:spacing w:before="108"/>
              <w:ind w:left="1"/>
              <w:rPr>
                <w:sz w:val="19"/>
              </w:rPr>
            </w:pPr>
            <w:r>
              <w:rPr>
                <w:w w:val="102"/>
                <w:sz w:val="19"/>
              </w:rPr>
              <w:t>2</w:t>
            </w:r>
          </w:p>
        </w:tc>
        <w:tc>
          <w:tcPr>
            <w:tcW w:w="496" w:type="dxa"/>
          </w:tcPr>
          <w:p>
            <w:pPr>
              <w:pStyle w:val="TableParagraph"/>
              <w:spacing w:before="108"/>
              <w:ind w:left="30"/>
              <w:rPr>
                <w:sz w:val="19"/>
              </w:rPr>
            </w:pPr>
            <w:r>
              <w:rPr>
                <w:w w:val="102"/>
                <w:sz w:val="19"/>
              </w:rPr>
              <w:t>1</w:t>
            </w:r>
          </w:p>
        </w:tc>
        <w:tc>
          <w:tcPr>
            <w:tcW w:w="526" w:type="dxa"/>
          </w:tcPr>
          <w:p>
            <w:pPr>
              <w:pStyle w:val="TableParagraph"/>
              <w:spacing w:before="108"/>
              <w:ind w:left="221"/>
              <w:jc w:val="left"/>
              <w:rPr>
                <w:sz w:val="19"/>
              </w:rPr>
            </w:pPr>
            <w:r>
              <w:rPr>
                <w:w w:val="102"/>
                <w:sz w:val="19"/>
              </w:rPr>
              <w:t>0</w:t>
            </w:r>
          </w:p>
        </w:tc>
      </w:tr>
      <w:tr>
        <w:trPr>
          <w:trHeight w:val="268" w:hRule="atLeast"/>
        </w:trPr>
        <w:tc>
          <w:tcPr>
            <w:tcW w:w="1156" w:type="dxa"/>
            <w:vMerge/>
            <w:tcBorders>
              <w:top w:val="nil"/>
            </w:tcBorders>
          </w:tcPr>
          <w:p>
            <w:pPr>
              <w:rPr>
                <w:sz w:val="2"/>
                <w:szCs w:val="2"/>
              </w:rPr>
            </w:pPr>
          </w:p>
        </w:tc>
        <w:tc>
          <w:tcPr>
            <w:tcW w:w="2777" w:type="dxa"/>
          </w:tcPr>
          <w:p>
            <w:pPr>
              <w:pStyle w:val="TableParagraph"/>
              <w:spacing w:before="1"/>
              <w:ind w:left="112"/>
              <w:jc w:val="left"/>
              <w:rPr>
                <w:sz w:val="19"/>
              </w:rPr>
            </w:pPr>
            <w:r>
              <w:rPr>
                <w:spacing w:val="-2"/>
                <w:sz w:val="19"/>
              </w:rPr>
              <w:t>Oceania</w:t>
            </w:r>
          </w:p>
        </w:tc>
        <w:tc>
          <w:tcPr>
            <w:tcW w:w="555" w:type="dxa"/>
          </w:tcPr>
          <w:p>
            <w:pPr>
              <w:pStyle w:val="TableParagraph"/>
              <w:spacing w:before="16"/>
              <w:ind w:left="23"/>
              <w:rPr>
                <w:sz w:val="19"/>
              </w:rPr>
            </w:pPr>
            <w:r>
              <w:rPr>
                <w:w w:val="102"/>
                <w:sz w:val="19"/>
              </w:rPr>
              <w:t>1</w:t>
            </w:r>
          </w:p>
        </w:tc>
        <w:tc>
          <w:tcPr>
            <w:tcW w:w="555" w:type="dxa"/>
          </w:tcPr>
          <w:p>
            <w:pPr>
              <w:pStyle w:val="TableParagraph"/>
              <w:spacing w:before="16"/>
              <w:ind w:right="3"/>
              <w:rPr>
                <w:sz w:val="19"/>
              </w:rPr>
            </w:pPr>
            <w:r>
              <w:rPr>
                <w:w w:val="102"/>
                <w:sz w:val="19"/>
              </w:rPr>
              <w:t>1</w:t>
            </w:r>
          </w:p>
        </w:tc>
        <w:tc>
          <w:tcPr>
            <w:tcW w:w="510" w:type="dxa"/>
          </w:tcPr>
          <w:p>
            <w:pPr>
              <w:pStyle w:val="TableParagraph"/>
              <w:spacing w:before="16"/>
              <w:ind w:left="10"/>
              <w:rPr>
                <w:sz w:val="19"/>
              </w:rPr>
            </w:pPr>
            <w:r>
              <w:rPr>
                <w:w w:val="102"/>
                <w:sz w:val="19"/>
              </w:rPr>
              <w:t>0</w:t>
            </w:r>
          </w:p>
        </w:tc>
        <w:tc>
          <w:tcPr>
            <w:tcW w:w="540" w:type="dxa"/>
          </w:tcPr>
          <w:p>
            <w:pPr>
              <w:pStyle w:val="TableParagraph"/>
              <w:spacing w:before="16"/>
              <w:ind w:left="11"/>
              <w:rPr>
                <w:sz w:val="19"/>
              </w:rPr>
            </w:pPr>
            <w:r>
              <w:rPr>
                <w:w w:val="102"/>
                <w:sz w:val="19"/>
              </w:rPr>
              <w:t>0</w:t>
            </w:r>
          </w:p>
        </w:tc>
        <w:tc>
          <w:tcPr>
            <w:tcW w:w="510" w:type="dxa"/>
          </w:tcPr>
          <w:p>
            <w:pPr>
              <w:pStyle w:val="TableParagraph"/>
              <w:spacing w:before="16"/>
              <w:ind w:left="205"/>
              <w:jc w:val="left"/>
              <w:rPr>
                <w:sz w:val="19"/>
              </w:rPr>
            </w:pPr>
            <w:r>
              <w:rPr>
                <w:w w:val="102"/>
                <w:sz w:val="19"/>
              </w:rPr>
              <w:t>0</w:t>
            </w:r>
          </w:p>
        </w:tc>
        <w:tc>
          <w:tcPr>
            <w:tcW w:w="525" w:type="dxa"/>
          </w:tcPr>
          <w:p>
            <w:pPr>
              <w:pStyle w:val="TableParagraph"/>
              <w:spacing w:before="16"/>
              <w:ind w:left="220"/>
              <w:jc w:val="left"/>
              <w:rPr>
                <w:sz w:val="19"/>
              </w:rPr>
            </w:pPr>
            <w:r>
              <w:rPr>
                <w:w w:val="102"/>
                <w:sz w:val="19"/>
              </w:rPr>
              <w:t>1</w:t>
            </w:r>
          </w:p>
        </w:tc>
        <w:tc>
          <w:tcPr>
            <w:tcW w:w="510" w:type="dxa"/>
          </w:tcPr>
          <w:p>
            <w:pPr>
              <w:pStyle w:val="TableParagraph"/>
              <w:spacing w:before="16"/>
              <w:ind w:left="205"/>
              <w:jc w:val="left"/>
              <w:rPr>
                <w:sz w:val="19"/>
              </w:rPr>
            </w:pPr>
            <w:r>
              <w:rPr>
                <w:w w:val="102"/>
                <w:sz w:val="19"/>
              </w:rPr>
              <w:t>1</w:t>
            </w:r>
          </w:p>
        </w:tc>
        <w:tc>
          <w:tcPr>
            <w:tcW w:w="510" w:type="dxa"/>
          </w:tcPr>
          <w:p>
            <w:pPr>
              <w:pStyle w:val="TableParagraph"/>
              <w:spacing w:before="16"/>
              <w:ind w:left="14"/>
              <w:rPr>
                <w:sz w:val="19"/>
              </w:rPr>
            </w:pPr>
            <w:r>
              <w:rPr>
                <w:w w:val="102"/>
                <w:sz w:val="19"/>
              </w:rPr>
              <w:t>1</w:t>
            </w:r>
          </w:p>
        </w:tc>
        <w:tc>
          <w:tcPr>
            <w:tcW w:w="525" w:type="dxa"/>
          </w:tcPr>
          <w:p>
            <w:pPr>
              <w:pStyle w:val="TableParagraph"/>
              <w:spacing w:before="16"/>
              <w:ind w:right="188"/>
              <w:jc w:val="right"/>
              <w:rPr>
                <w:sz w:val="19"/>
              </w:rPr>
            </w:pPr>
            <w:r>
              <w:rPr>
                <w:w w:val="102"/>
                <w:sz w:val="19"/>
              </w:rPr>
              <w:t>0</w:t>
            </w:r>
          </w:p>
        </w:tc>
        <w:tc>
          <w:tcPr>
            <w:tcW w:w="510" w:type="dxa"/>
          </w:tcPr>
          <w:p>
            <w:pPr>
              <w:pStyle w:val="TableParagraph"/>
              <w:spacing w:before="16"/>
              <w:ind w:left="207"/>
              <w:jc w:val="left"/>
              <w:rPr>
                <w:sz w:val="19"/>
              </w:rPr>
            </w:pPr>
            <w:r>
              <w:rPr>
                <w:w w:val="102"/>
                <w:sz w:val="19"/>
              </w:rPr>
              <w:t>0</w:t>
            </w:r>
          </w:p>
        </w:tc>
        <w:tc>
          <w:tcPr>
            <w:tcW w:w="510" w:type="dxa"/>
          </w:tcPr>
          <w:p>
            <w:pPr>
              <w:pStyle w:val="TableParagraph"/>
              <w:spacing w:before="16"/>
              <w:ind w:left="17"/>
              <w:rPr>
                <w:sz w:val="19"/>
              </w:rPr>
            </w:pPr>
            <w:r>
              <w:rPr>
                <w:w w:val="102"/>
                <w:sz w:val="19"/>
              </w:rPr>
              <w:t>0</w:t>
            </w:r>
          </w:p>
        </w:tc>
        <w:tc>
          <w:tcPr>
            <w:tcW w:w="525" w:type="dxa"/>
          </w:tcPr>
          <w:p>
            <w:pPr>
              <w:pStyle w:val="TableParagraph"/>
              <w:spacing w:before="16"/>
              <w:ind w:left="222"/>
              <w:jc w:val="left"/>
              <w:rPr>
                <w:sz w:val="19"/>
              </w:rPr>
            </w:pPr>
            <w:r>
              <w:rPr>
                <w:w w:val="102"/>
                <w:sz w:val="19"/>
              </w:rPr>
              <w:t>0</w:t>
            </w:r>
          </w:p>
        </w:tc>
        <w:tc>
          <w:tcPr>
            <w:tcW w:w="496" w:type="dxa"/>
          </w:tcPr>
          <w:p>
            <w:pPr>
              <w:pStyle w:val="TableParagraph"/>
              <w:spacing w:before="16"/>
              <w:ind w:left="33"/>
              <w:rPr>
                <w:sz w:val="19"/>
              </w:rPr>
            </w:pPr>
            <w:r>
              <w:rPr>
                <w:w w:val="102"/>
                <w:sz w:val="19"/>
              </w:rPr>
              <w:t>0</w:t>
            </w:r>
          </w:p>
        </w:tc>
        <w:tc>
          <w:tcPr>
            <w:tcW w:w="526" w:type="dxa"/>
          </w:tcPr>
          <w:p>
            <w:pPr>
              <w:pStyle w:val="TableParagraph"/>
              <w:spacing w:before="16"/>
              <w:ind w:left="32"/>
              <w:rPr>
                <w:sz w:val="19"/>
              </w:rPr>
            </w:pPr>
            <w:r>
              <w:rPr>
                <w:w w:val="102"/>
                <w:sz w:val="19"/>
              </w:rPr>
              <w:t>0</w:t>
            </w:r>
          </w:p>
        </w:tc>
        <w:tc>
          <w:tcPr>
            <w:tcW w:w="526" w:type="dxa"/>
          </w:tcPr>
          <w:p>
            <w:pPr>
              <w:pStyle w:val="TableParagraph"/>
              <w:spacing w:before="16"/>
              <w:ind w:left="1"/>
              <w:rPr>
                <w:sz w:val="19"/>
              </w:rPr>
            </w:pPr>
            <w:r>
              <w:rPr>
                <w:w w:val="102"/>
                <w:sz w:val="19"/>
              </w:rPr>
              <w:t>0</w:t>
            </w:r>
          </w:p>
        </w:tc>
        <w:tc>
          <w:tcPr>
            <w:tcW w:w="496" w:type="dxa"/>
          </w:tcPr>
          <w:p>
            <w:pPr>
              <w:pStyle w:val="TableParagraph"/>
              <w:spacing w:before="16"/>
              <w:ind w:left="30"/>
              <w:rPr>
                <w:sz w:val="19"/>
              </w:rPr>
            </w:pPr>
            <w:r>
              <w:rPr>
                <w:w w:val="102"/>
                <w:sz w:val="19"/>
              </w:rPr>
              <w:t>0</w:t>
            </w:r>
          </w:p>
        </w:tc>
        <w:tc>
          <w:tcPr>
            <w:tcW w:w="526" w:type="dxa"/>
          </w:tcPr>
          <w:p>
            <w:pPr>
              <w:pStyle w:val="TableParagraph"/>
              <w:spacing w:before="16"/>
              <w:ind w:left="221"/>
              <w:jc w:val="left"/>
              <w:rPr>
                <w:sz w:val="19"/>
              </w:rPr>
            </w:pPr>
            <w:r>
              <w:rPr>
                <w:w w:val="102"/>
                <w:sz w:val="19"/>
              </w:rPr>
              <w:t>0</w:t>
            </w:r>
          </w:p>
        </w:tc>
      </w:tr>
      <w:tr>
        <w:trPr>
          <w:trHeight w:val="450" w:hRule="atLeast"/>
        </w:trPr>
        <w:tc>
          <w:tcPr>
            <w:tcW w:w="1156" w:type="dxa"/>
            <w:vMerge w:val="restart"/>
          </w:tcPr>
          <w:p>
            <w:pPr>
              <w:pStyle w:val="TableParagraph"/>
              <w:spacing w:line="264" w:lineRule="auto"/>
              <w:ind w:left="262" w:hanging="60"/>
              <w:jc w:val="left"/>
              <w:rPr>
                <w:sz w:val="19"/>
              </w:rPr>
            </w:pPr>
            <w:r>
              <w:rPr>
                <w:spacing w:val="-2"/>
                <w:sz w:val="19"/>
              </w:rPr>
              <w:t>Emerging Regions</w:t>
            </w:r>
          </w:p>
        </w:tc>
        <w:tc>
          <w:tcPr>
            <w:tcW w:w="2777" w:type="dxa"/>
          </w:tcPr>
          <w:p>
            <w:pPr>
              <w:pStyle w:val="TableParagraph"/>
              <w:spacing w:line="207" w:lineRule="exact"/>
              <w:ind w:left="112"/>
              <w:jc w:val="left"/>
              <w:rPr>
                <w:sz w:val="19"/>
              </w:rPr>
            </w:pPr>
            <w:r>
              <w:rPr>
                <w:sz w:val="19"/>
              </w:rPr>
              <w:t>Latin</w:t>
            </w:r>
            <w:r>
              <w:rPr>
                <w:spacing w:val="27"/>
                <w:sz w:val="19"/>
              </w:rPr>
              <w:t> </w:t>
            </w:r>
            <w:r>
              <w:rPr>
                <w:sz w:val="19"/>
              </w:rPr>
              <w:t>America,</w:t>
            </w:r>
            <w:r>
              <w:rPr>
                <w:spacing w:val="11"/>
                <w:sz w:val="19"/>
              </w:rPr>
              <w:t> </w:t>
            </w:r>
            <w:r>
              <w:rPr>
                <w:sz w:val="19"/>
              </w:rPr>
              <w:t>the</w:t>
            </w:r>
            <w:r>
              <w:rPr>
                <w:spacing w:val="21"/>
                <w:sz w:val="19"/>
              </w:rPr>
              <w:t> </w:t>
            </w:r>
            <w:r>
              <w:rPr>
                <w:spacing w:val="-2"/>
                <w:sz w:val="19"/>
              </w:rPr>
              <w:t>Caribbean,</w:t>
            </w:r>
          </w:p>
          <w:p>
            <w:pPr>
              <w:pStyle w:val="TableParagraph"/>
              <w:spacing w:line="202" w:lineRule="exact" w:before="21"/>
              <w:ind w:left="112"/>
              <w:jc w:val="left"/>
              <w:rPr>
                <w:sz w:val="19"/>
              </w:rPr>
            </w:pPr>
            <w:r>
              <w:rPr>
                <w:sz w:val="19"/>
              </w:rPr>
              <w:t>and</w:t>
            </w:r>
            <w:r>
              <w:rPr>
                <w:spacing w:val="34"/>
                <w:sz w:val="19"/>
              </w:rPr>
              <w:t> </w:t>
            </w:r>
            <w:r>
              <w:rPr>
                <w:spacing w:val="-2"/>
                <w:sz w:val="19"/>
              </w:rPr>
              <w:t>Mexico</w:t>
            </w:r>
          </w:p>
        </w:tc>
        <w:tc>
          <w:tcPr>
            <w:tcW w:w="555" w:type="dxa"/>
          </w:tcPr>
          <w:p>
            <w:pPr>
              <w:pStyle w:val="TableParagraph"/>
              <w:spacing w:before="108"/>
              <w:ind w:left="130" w:right="84"/>
              <w:rPr>
                <w:sz w:val="19"/>
              </w:rPr>
            </w:pPr>
            <w:r>
              <w:rPr>
                <w:spacing w:val="-5"/>
                <w:sz w:val="19"/>
              </w:rPr>
              <w:t>19</w:t>
            </w:r>
          </w:p>
        </w:tc>
        <w:tc>
          <w:tcPr>
            <w:tcW w:w="555" w:type="dxa"/>
          </w:tcPr>
          <w:p>
            <w:pPr>
              <w:pStyle w:val="TableParagraph"/>
              <w:spacing w:before="108"/>
              <w:ind w:right="154"/>
              <w:jc w:val="right"/>
              <w:rPr>
                <w:sz w:val="19"/>
              </w:rPr>
            </w:pPr>
            <w:r>
              <w:rPr>
                <w:spacing w:val="-5"/>
                <w:sz w:val="19"/>
              </w:rPr>
              <w:t>14</w:t>
            </w:r>
          </w:p>
        </w:tc>
        <w:tc>
          <w:tcPr>
            <w:tcW w:w="510" w:type="dxa"/>
          </w:tcPr>
          <w:p>
            <w:pPr>
              <w:pStyle w:val="TableParagraph"/>
              <w:spacing w:before="108"/>
              <w:ind w:left="99" w:right="66"/>
              <w:rPr>
                <w:sz w:val="19"/>
              </w:rPr>
            </w:pPr>
            <w:r>
              <w:rPr>
                <w:spacing w:val="-5"/>
                <w:sz w:val="19"/>
              </w:rPr>
              <w:t>12</w:t>
            </w:r>
          </w:p>
        </w:tc>
        <w:tc>
          <w:tcPr>
            <w:tcW w:w="540" w:type="dxa"/>
          </w:tcPr>
          <w:p>
            <w:pPr>
              <w:pStyle w:val="TableParagraph"/>
              <w:spacing w:before="108"/>
              <w:ind w:left="11"/>
              <w:rPr>
                <w:sz w:val="19"/>
              </w:rPr>
            </w:pPr>
            <w:r>
              <w:rPr>
                <w:w w:val="102"/>
                <w:sz w:val="19"/>
              </w:rPr>
              <w:t>1</w:t>
            </w:r>
          </w:p>
        </w:tc>
        <w:tc>
          <w:tcPr>
            <w:tcW w:w="510" w:type="dxa"/>
          </w:tcPr>
          <w:p>
            <w:pPr>
              <w:pStyle w:val="TableParagraph"/>
              <w:spacing w:before="108"/>
              <w:ind w:left="159"/>
              <w:jc w:val="left"/>
              <w:rPr>
                <w:sz w:val="19"/>
              </w:rPr>
            </w:pPr>
            <w:r>
              <w:rPr>
                <w:spacing w:val="-5"/>
                <w:sz w:val="19"/>
              </w:rPr>
              <w:t>13</w:t>
            </w:r>
          </w:p>
        </w:tc>
        <w:tc>
          <w:tcPr>
            <w:tcW w:w="525" w:type="dxa"/>
          </w:tcPr>
          <w:p>
            <w:pPr>
              <w:pStyle w:val="TableParagraph"/>
              <w:spacing w:before="108"/>
              <w:ind w:left="220"/>
              <w:jc w:val="left"/>
              <w:rPr>
                <w:sz w:val="19"/>
              </w:rPr>
            </w:pPr>
            <w:r>
              <w:rPr>
                <w:w w:val="102"/>
                <w:sz w:val="19"/>
              </w:rPr>
              <w:t>2</w:t>
            </w:r>
          </w:p>
        </w:tc>
        <w:tc>
          <w:tcPr>
            <w:tcW w:w="510" w:type="dxa"/>
          </w:tcPr>
          <w:p>
            <w:pPr>
              <w:pStyle w:val="TableParagraph"/>
              <w:spacing w:before="108"/>
              <w:ind w:left="205"/>
              <w:jc w:val="left"/>
              <w:rPr>
                <w:sz w:val="19"/>
              </w:rPr>
            </w:pPr>
            <w:r>
              <w:rPr>
                <w:w w:val="102"/>
                <w:sz w:val="19"/>
              </w:rPr>
              <w:t>3</w:t>
            </w:r>
          </w:p>
        </w:tc>
        <w:tc>
          <w:tcPr>
            <w:tcW w:w="510" w:type="dxa"/>
          </w:tcPr>
          <w:p>
            <w:pPr>
              <w:pStyle w:val="TableParagraph"/>
              <w:spacing w:before="108"/>
              <w:ind w:left="103" w:right="66"/>
              <w:rPr>
                <w:sz w:val="19"/>
              </w:rPr>
            </w:pPr>
            <w:r>
              <w:rPr>
                <w:spacing w:val="-5"/>
                <w:sz w:val="19"/>
              </w:rPr>
              <w:t>17</w:t>
            </w:r>
          </w:p>
        </w:tc>
        <w:tc>
          <w:tcPr>
            <w:tcW w:w="525" w:type="dxa"/>
          </w:tcPr>
          <w:p>
            <w:pPr>
              <w:pStyle w:val="TableParagraph"/>
              <w:spacing w:before="108"/>
              <w:ind w:right="188"/>
              <w:jc w:val="right"/>
              <w:rPr>
                <w:sz w:val="19"/>
              </w:rPr>
            </w:pPr>
            <w:r>
              <w:rPr>
                <w:w w:val="102"/>
                <w:sz w:val="19"/>
              </w:rPr>
              <w:t>0</w:t>
            </w:r>
          </w:p>
        </w:tc>
        <w:tc>
          <w:tcPr>
            <w:tcW w:w="510" w:type="dxa"/>
          </w:tcPr>
          <w:p>
            <w:pPr>
              <w:pStyle w:val="TableParagraph"/>
              <w:spacing w:before="108"/>
              <w:ind w:left="207"/>
              <w:jc w:val="left"/>
              <w:rPr>
                <w:sz w:val="19"/>
              </w:rPr>
            </w:pPr>
            <w:r>
              <w:rPr>
                <w:w w:val="102"/>
                <w:sz w:val="19"/>
              </w:rPr>
              <w:t>9</w:t>
            </w:r>
          </w:p>
        </w:tc>
        <w:tc>
          <w:tcPr>
            <w:tcW w:w="510" w:type="dxa"/>
          </w:tcPr>
          <w:p>
            <w:pPr>
              <w:pStyle w:val="TableParagraph"/>
              <w:spacing w:before="108"/>
              <w:ind w:left="17"/>
              <w:rPr>
                <w:sz w:val="19"/>
              </w:rPr>
            </w:pPr>
            <w:r>
              <w:rPr>
                <w:w w:val="102"/>
                <w:sz w:val="19"/>
              </w:rPr>
              <w:t>0</w:t>
            </w:r>
          </w:p>
        </w:tc>
        <w:tc>
          <w:tcPr>
            <w:tcW w:w="525" w:type="dxa"/>
          </w:tcPr>
          <w:p>
            <w:pPr>
              <w:pStyle w:val="TableParagraph"/>
              <w:spacing w:before="108"/>
              <w:ind w:left="222"/>
              <w:jc w:val="left"/>
              <w:rPr>
                <w:sz w:val="19"/>
              </w:rPr>
            </w:pPr>
            <w:r>
              <w:rPr>
                <w:w w:val="102"/>
                <w:sz w:val="19"/>
              </w:rPr>
              <w:t>1</w:t>
            </w:r>
          </w:p>
        </w:tc>
        <w:tc>
          <w:tcPr>
            <w:tcW w:w="496" w:type="dxa"/>
          </w:tcPr>
          <w:p>
            <w:pPr>
              <w:pStyle w:val="TableParagraph"/>
              <w:spacing w:before="108"/>
              <w:ind w:left="33"/>
              <w:rPr>
                <w:sz w:val="19"/>
              </w:rPr>
            </w:pPr>
            <w:r>
              <w:rPr>
                <w:w w:val="102"/>
                <w:sz w:val="19"/>
              </w:rPr>
              <w:t>5</w:t>
            </w:r>
          </w:p>
        </w:tc>
        <w:tc>
          <w:tcPr>
            <w:tcW w:w="526" w:type="dxa"/>
          </w:tcPr>
          <w:p>
            <w:pPr>
              <w:pStyle w:val="TableParagraph"/>
              <w:spacing w:before="108"/>
              <w:ind w:left="32"/>
              <w:rPr>
                <w:sz w:val="19"/>
              </w:rPr>
            </w:pPr>
            <w:r>
              <w:rPr>
                <w:w w:val="102"/>
                <w:sz w:val="19"/>
              </w:rPr>
              <w:t>0</w:t>
            </w:r>
          </w:p>
        </w:tc>
        <w:tc>
          <w:tcPr>
            <w:tcW w:w="526" w:type="dxa"/>
          </w:tcPr>
          <w:p>
            <w:pPr>
              <w:pStyle w:val="TableParagraph"/>
              <w:spacing w:before="108"/>
              <w:ind w:left="1"/>
              <w:rPr>
                <w:sz w:val="19"/>
              </w:rPr>
            </w:pPr>
            <w:r>
              <w:rPr>
                <w:w w:val="102"/>
                <w:sz w:val="19"/>
              </w:rPr>
              <w:t>3</w:t>
            </w:r>
          </w:p>
        </w:tc>
        <w:tc>
          <w:tcPr>
            <w:tcW w:w="496" w:type="dxa"/>
          </w:tcPr>
          <w:p>
            <w:pPr>
              <w:pStyle w:val="TableParagraph"/>
              <w:spacing w:before="108"/>
              <w:ind w:left="30"/>
              <w:rPr>
                <w:sz w:val="19"/>
              </w:rPr>
            </w:pPr>
            <w:r>
              <w:rPr>
                <w:w w:val="102"/>
                <w:sz w:val="19"/>
              </w:rPr>
              <w:t>1</w:t>
            </w:r>
          </w:p>
        </w:tc>
        <w:tc>
          <w:tcPr>
            <w:tcW w:w="526" w:type="dxa"/>
          </w:tcPr>
          <w:p>
            <w:pPr>
              <w:pStyle w:val="TableParagraph"/>
              <w:spacing w:before="108"/>
              <w:ind w:left="221"/>
              <w:jc w:val="left"/>
              <w:rPr>
                <w:sz w:val="19"/>
              </w:rPr>
            </w:pPr>
            <w:r>
              <w:rPr>
                <w:w w:val="102"/>
                <w:sz w:val="19"/>
              </w:rPr>
              <w:t>0</w:t>
            </w:r>
          </w:p>
        </w:tc>
      </w:tr>
      <w:tr>
        <w:trPr>
          <w:trHeight w:val="255" w:hRule="atLeast"/>
        </w:trPr>
        <w:tc>
          <w:tcPr>
            <w:tcW w:w="1156" w:type="dxa"/>
            <w:vMerge/>
            <w:tcBorders>
              <w:top w:val="nil"/>
            </w:tcBorders>
          </w:tcPr>
          <w:p>
            <w:pPr>
              <w:rPr>
                <w:sz w:val="2"/>
                <w:szCs w:val="2"/>
              </w:rPr>
            </w:pPr>
          </w:p>
        </w:tc>
        <w:tc>
          <w:tcPr>
            <w:tcW w:w="2777" w:type="dxa"/>
          </w:tcPr>
          <w:p>
            <w:pPr>
              <w:pStyle w:val="TableParagraph"/>
              <w:spacing w:before="3"/>
              <w:ind w:left="112"/>
              <w:jc w:val="left"/>
              <w:rPr>
                <w:sz w:val="19"/>
              </w:rPr>
            </w:pPr>
            <w:r>
              <w:rPr>
                <w:sz w:val="19"/>
              </w:rPr>
              <w:t>Middle</w:t>
            </w:r>
            <w:r>
              <w:rPr>
                <w:spacing w:val="36"/>
                <w:sz w:val="19"/>
              </w:rPr>
              <w:t> </w:t>
            </w:r>
            <w:r>
              <w:rPr>
                <w:sz w:val="19"/>
              </w:rPr>
              <w:t>East</w:t>
            </w:r>
            <w:r>
              <w:rPr>
                <w:spacing w:val="18"/>
                <w:sz w:val="19"/>
              </w:rPr>
              <w:t> </w:t>
            </w:r>
            <w:r>
              <w:rPr>
                <w:sz w:val="19"/>
              </w:rPr>
              <w:t>and</w:t>
            </w:r>
            <w:r>
              <w:rPr>
                <w:spacing w:val="22"/>
                <w:sz w:val="19"/>
              </w:rPr>
              <w:t> </w:t>
            </w:r>
            <w:r>
              <w:rPr>
                <w:sz w:val="19"/>
              </w:rPr>
              <w:t>North</w:t>
            </w:r>
            <w:r>
              <w:rPr>
                <w:spacing w:val="21"/>
                <w:sz w:val="19"/>
              </w:rPr>
              <w:t> </w:t>
            </w:r>
            <w:r>
              <w:rPr>
                <w:spacing w:val="-2"/>
                <w:sz w:val="19"/>
              </w:rPr>
              <w:t>Africa</w:t>
            </w:r>
          </w:p>
        </w:tc>
        <w:tc>
          <w:tcPr>
            <w:tcW w:w="555" w:type="dxa"/>
          </w:tcPr>
          <w:p>
            <w:pPr>
              <w:pStyle w:val="TableParagraph"/>
              <w:spacing w:line="218" w:lineRule="exact" w:before="18"/>
              <w:ind w:left="23"/>
              <w:rPr>
                <w:sz w:val="19"/>
              </w:rPr>
            </w:pPr>
            <w:r>
              <w:rPr>
                <w:w w:val="102"/>
                <w:sz w:val="19"/>
              </w:rPr>
              <w:t>7</w:t>
            </w:r>
          </w:p>
        </w:tc>
        <w:tc>
          <w:tcPr>
            <w:tcW w:w="555" w:type="dxa"/>
          </w:tcPr>
          <w:p>
            <w:pPr>
              <w:pStyle w:val="TableParagraph"/>
              <w:spacing w:line="218" w:lineRule="exact" w:before="18"/>
              <w:ind w:right="3"/>
              <w:rPr>
                <w:sz w:val="19"/>
              </w:rPr>
            </w:pPr>
            <w:r>
              <w:rPr>
                <w:w w:val="102"/>
                <w:sz w:val="19"/>
              </w:rPr>
              <w:t>7</w:t>
            </w:r>
          </w:p>
        </w:tc>
        <w:tc>
          <w:tcPr>
            <w:tcW w:w="510" w:type="dxa"/>
          </w:tcPr>
          <w:p>
            <w:pPr>
              <w:pStyle w:val="TableParagraph"/>
              <w:spacing w:line="218" w:lineRule="exact" w:before="18"/>
              <w:ind w:left="10"/>
              <w:rPr>
                <w:sz w:val="19"/>
              </w:rPr>
            </w:pPr>
            <w:r>
              <w:rPr>
                <w:w w:val="102"/>
                <w:sz w:val="19"/>
              </w:rPr>
              <w:t>5</w:t>
            </w:r>
          </w:p>
        </w:tc>
        <w:tc>
          <w:tcPr>
            <w:tcW w:w="540" w:type="dxa"/>
          </w:tcPr>
          <w:p>
            <w:pPr>
              <w:pStyle w:val="TableParagraph"/>
              <w:spacing w:line="218" w:lineRule="exact" w:before="18"/>
              <w:ind w:left="11"/>
              <w:rPr>
                <w:sz w:val="19"/>
              </w:rPr>
            </w:pPr>
            <w:r>
              <w:rPr>
                <w:w w:val="102"/>
                <w:sz w:val="19"/>
              </w:rPr>
              <w:t>0</w:t>
            </w:r>
          </w:p>
        </w:tc>
        <w:tc>
          <w:tcPr>
            <w:tcW w:w="510" w:type="dxa"/>
          </w:tcPr>
          <w:p>
            <w:pPr>
              <w:pStyle w:val="TableParagraph"/>
              <w:spacing w:line="218" w:lineRule="exact" w:before="18"/>
              <w:ind w:left="205"/>
              <w:jc w:val="left"/>
              <w:rPr>
                <w:sz w:val="19"/>
              </w:rPr>
            </w:pPr>
            <w:r>
              <w:rPr>
                <w:w w:val="102"/>
                <w:sz w:val="19"/>
              </w:rPr>
              <w:t>4</w:t>
            </w:r>
          </w:p>
        </w:tc>
        <w:tc>
          <w:tcPr>
            <w:tcW w:w="525" w:type="dxa"/>
          </w:tcPr>
          <w:p>
            <w:pPr>
              <w:pStyle w:val="TableParagraph"/>
              <w:spacing w:line="218" w:lineRule="exact" w:before="18"/>
              <w:ind w:left="220"/>
              <w:jc w:val="left"/>
              <w:rPr>
                <w:sz w:val="19"/>
              </w:rPr>
            </w:pPr>
            <w:r>
              <w:rPr>
                <w:w w:val="102"/>
                <w:sz w:val="19"/>
              </w:rPr>
              <w:t>2</w:t>
            </w:r>
          </w:p>
        </w:tc>
        <w:tc>
          <w:tcPr>
            <w:tcW w:w="510" w:type="dxa"/>
          </w:tcPr>
          <w:p>
            <w:pPr>
              <w:pStyle w:val="TableParagraph"/>
              <w:spacing w:line="218" w:lineRule="exact" w:before="18"/>
              <w:ind w:left="205"/>
              <w:jc w:val="left"/>
              <w:rPr>
                <w:sz w:val="19"/>
              </w:rPr>
            </w:pPr>
            <w:r>
              <w:rPr>
                <w:w w:val="102"/>
                <w:sz w:val="19"/>
              </w:rPr>
              <w:t>3</w:t>
            </w:r>
          </w:p>
        </w:tc>
        <w:tc>
          <w:tcPr>
            <w:tcW w:w="510" w:type="dxa"/>
          </w:tcPr>
          <w:p>
            <w:pPr>
              <w:pStyle w:val="TableParagraph"/>
              <w:spacing w:line="218" w:lineRule="exact" w:before="18"/>
              <w:ind w:left="14"/>
              <w:rPr>
                <w:sz w:val="19"/>
              </w:rPr>
            </w:pPr>
            <w:r>
              <w:rPr>
                <w:w w:val="102"/>
                <w:sz w:val="19"/>
              </w:rPr>
              <w:t>5</w:t>
            </w:r>
          </w:p>
        </w:tc>
        <w:tc>
          <w:tcPr>
            <w:tcW w:w="525" w:type="dxa"/>
          </w:tcPr>
          <w:p>
            <w:pPr>
              <w:pStyle w:val="TableParagraph"/>
              <w:spacing w:line="218" w:lineRule="exact" w:before="18"/>
              <w:ind w:right="188"/>
              <w:jc w:val="right"/>
              <w:rPr>
                <w:sz w:val="19"/>
              </w:rPr>
            </w:pPr>
            <w:r>
              <w:rPr>
                <w:w w:val="102"/>
                <w:sz w:val="19"/>
              </w:rPr>
              <w:t>0</w:t>
            </w:r>
          </w:p>
        </w:tc>
        <w:tc>
          <w:tcPr>
            <w:tcW w:w="510" w:type="dxa"/>
          </w:tcPr>
          <w:p>
            <w:pPr>
              <w:pStyle w:val="TableParagraph"/>
              <w:spacing w:line="218" w:lineRule="exact" w:before="18"/>
              <w:ind w:left="207"/>
              <w:jc w:val="left"/>
              <w:rPr>
                <w:sz w:val="19"/>
              </w:rPr>
            </w:pPr>
            <w:r>
              <w:rPr>
                <w:w w:val="102"/>
                <w:sz w:val="19"/>
              </w:rPr>
              <w:t>4</w:t>
            </w:r>
          </w:p>
        </w:tc>
        <w:tc>
          <w:tcPr>
            <w:tcW w:w="510" w:type="dxa"/>
          </w:tcPr>
          <w:p>
            <w:pPr>
              <w:pStyle w:val="TableParagraph"/>
              <w:spacing w:line="218" w:lineRule="exact" w:before="18"/>
              <w:ind w:left="17"/>
              <w:rPr>
                <w:sz w:val="19"/>
              </w:rPr>
            </w:pPr>
            <w:r>
              <w:rPr>
                <w:w w:val="102"/>
                <w:sz w:val="19"/>
              </w:rPr>
              <w:t>0</w:t>
            </w:r>
          </w:p>
        </w:tc>
        <w:tc>
          <w:tcPr>
            <w:tcW w:w="525" w:type="dxa"/>
          </w:tcPr>
          <w:p>
            <w:pPr>
              <w:pStyle w:val="TableParagraph"/>
              <w:spacing w:line="218" w:lineRule="exact" w:before="18"/>
              <w:ind w:left="222"/>
              <w:jc w:val="left"/>
              <w:rPr>
                <w:sz w:val="19"/>
              </w:rPr>
            </w:pPr>
            <w:r>
              <w:rPr>
                <w:w w:val="102"/>
                <w:sz w:val="19"/>
              </w:rPr>
              <w:t>0</w:t>
            </w:r>
          </w:p>
        </w:tc>
        <w:tc>
          <w:tcPr>
            <w:tcW w:w="496" w:type="dxa"/>
          </w:tcPr>
          <w:p>
            <w:pPr>
              <w:pStyle w:val="TableParagraph"/>
              <w:spacing w:line="218" w:lineRule="exact" w:before="18"/>
              <w:ind w:left="33"/>
              <w:rPr>
                <w:sz w:val="19"/>
              </w:rPr>
            </w:pPr>
            <w:r>
              <w:rPr>
                <w:w w:val="102"/>
                <w:sz w:val="19"/>
              </w:rPr>
              <w:t>1</w:t>
            </w:r>
          </w:p>
        </w:tc>
        <w:tc>
          <w:tcPr>
            <w:tcW w:w="526" w:type="dxa"/>
          </w:tcPr>
          <w:p>
            <w:pPr>
              <w:pStyle w:val="TableParagraph"/>
              <w:spacing w:line="218" w:lineRule="exact" w:before="18"/>
              <w:ind w:left="32"/>
              <w:rPr>
                <w:sz w:val="19"/>
              </w:rPr>
            </w:pPr>
            <w:r>
              <w:rPr>
                <w:w w:val="102"/>
                <w:sz w:val="19"/>
              </w:rPr>
              <w:t>1</w:t>
            </w:r>
          </w:p>
        </w:tc>
        <w:tc>
          <w:tcPr>
            <w:tcW w:w="526" w:type="dxa"/>
          </w:tcPr>
          <w:p>
            <w:pPr>
              <w:pStyle w:val="TableParagraph"/>
              <w:spacing w:line="218" w:lineRule="exact" w:before="18"/>
              <w:ind w:left="1"/>
              <w:rPr>
                <w:sz w:val="19"/>
              </w:rPr>
            </w:pPr>
            <w:r>
              <w:rPr>
                <w:w w:val="102"/>
                <w:sz w:val="19"/>
              </w:rPr>
              <w:t>4</w:t>
            </w:r>
          </w:p>
        </w:tc>
        <w:tc>
          <w:tcPr>
            <w:tcW w:w="496" w:type="dxa"/>
          </w:tcPr>
          <w:p>
            <w:pPr>
              <w:pStyle w:val="TableParagraph"/>
              <w:spacing w:line="218" w:lineRule="exact" w:before="18"/>
              <w:ind w:left="30"/>
              <w:rPr>
                <w:sz w:val="19"/>
              </w:rPr>
            </w:pPr>
            <w:r>
              <w:rPr>
                <w:w w:val="102"/>
                <w:sz w:val="19"/>
              </w:rPr>
              <w:t>2</w:t>
            </w:r>
          </w:p>
        </w:tc>
        <w:tc>
          <w:tcPr>
            <w:tcW w:w="526" w:type="dxa"/>
          </w:tcPr>
          <w:p>
            <w:pPr>
              <w:pStyle w:val="TableParagraph"/>
              <w:spacing w:line="218" w:lineRule="exact" w:before="18"/>
              <w:ind w:left="221"/>
              <w:jc w:val="left"/>
              <w:rPr>
                <w:sz w:val="19"/>
              </w:rPr>
            </w:pPr>
            <w:r>
              <w:rPr>
                <w:w w:val="102"/>
                <w:sz w:val="19"/>
              </w:rPr>
              <w:t>0</w:t>
            </w:r>
          </w:p>
        </w:tc>
      </w:tr>
      <w:tr>
        <w:trPr>
          <w:trHeight w:val="270" w:hRule="atLeast"/>
        </w:trPr>
        <w:tc>
          <w:tcPr>
            <w:tcW w:w="1156" w:type="dxa"/>
            <w:vMerge/>
            <w:tcBorders>
              <w:top w:val="nil"/>
            </w:tcBorders>
          </w:tcPr>
          <w:p>
            <w:pPr>
              <w:rPr>
                <w:sz w:val="2"/>
                <w:szCs w:val="2"/>
              </w:rPr>
            </w:pPr>
          </w:p>
        </w:tc>
        <w:tc>
          <w:tcPr>
            <w:tcW w:w="2777" w:type="dxa"/>
          </w:tcPr>
          <w:p>
            <w:pPr>
              <w:pStyle w:val="TableParagraph"/>
              <w:spacing w:before="2"/>
              <w:ind w:left="112"/>
              <w:jc w:val="left"/>
              <w:rPr>
                <w:sz w:val="19"/>
              </w:rPr>
            </w:pPr>
            <w:r>
              <w:rPr>
                <w:sz w:val="19"/>
              </w:rPr>
              <w:t>South</w:t>
            </w:r>
            <w:r>
              <w:rPr>
                <w:spacing w:val="27"/>
                <w:sz w:val="19"/>
              </w:rPr>
              <w:t> </w:t>
            </w:r>
            <w:r>
              <w:rPr>
                <w:spacing w:val="-4"/>
                <w:sz w:val="19"/>
              </w:rPr>
              <w:t>Asia</w:t>
            </w:r>
          </w:p>
        </w:tc>
        <w:tc>
          <w:tcPr>
            <w:tcW w:w="555" w:type="dxa"/>
          </w:tcPr>
          <w:p>
            <w:pPr>
              <w:pStyle w:val="TableParagraph"/>
              <w:spacing w:before="17"/>
              <w:ind w:left="130" w:right="84"/>
              <w:rPr>
                <w:sz w:val="19"/>
              </w:rPr>
            </w:pPr>
            <w:r>
              <w:rPr>
                <w:spacing w:val="-5"/>
                <w:sz w:val="19"/>
              </w:rPr>
              <w:t>28</w:t>
            </w:r>
          </w:p>
        </w:tc>
        <w:tc>
          <w:tcPr>
            <w:tcW w:w="555" w:type="dxa"/>
          </w:tcPr>
          <w:p>
            <w:pPr>
              <w:pStyle w:val="TableParagraph"/>
              <w:spacing w:before="17"/>
              <w:ind w:right="154"/>
              <w:jc w:val="right"/>
              <w:rPr>
                <w:sz w:val="19"/>
              </w:rPr>
            </w:pPr>
            <w:r>
              <w:rPr>
                <w:spacing w:val="-5"/>
                <w:sz w:val="19"/>
              </w:rPr>
              <w:t>21</w:t>
            </w:r>
          </w:p>
        </w:tc>
        <w:tc>
          <w:tcPr>
            <w:tcW w:w="510" w:type="dxa"/>
          </w:tcPr>
          <w:p>
            <w:pPr>
              <w:pStyle w:val="TableParagraph"/>
              <w:spacing w:before="17"/>
              <w:ind w:left="99" w:right="66"/>
              <w:rPr>
                <w:sz w:val="19"/>
              </w:rPr>
            </w:pPr>
            <w:r>
              <w:rPr>
                <w:spacing w:val="-5"/>
                <w:sz w:val="19"/>
              </w:rPr>
              <w:t>22</w:t>
            </w:r>
          </w:p>
        </w:tc>
        <w:tc>
          <w:tcPr>
            <w:tcW w:w="540" w:type="dxa"/>
          </w:tcPr>
          <w:p>
            <w:pPr>
              <w:pStyle w:val="TableParagraph"/>
              <w:spacing w:before="17"/>
              <w:ind w:left="11"/>
              <w:rPr>
                <w:sz w:val="19"/>
              </w:rPr>
            </w:pPr>
            <w:r>
              <w:rPr>
                <w:w w:val="102"/>
                <w:sz w:val="19"/>
              </w:rPr>
              <w:t>0</w:t>
            </w:r>
          </w:p>
        </w:tc>
        <w:tc>
          <w:tcPr>
            <w:tcW w:w="510" w:type="dxa"/>
          </w:tcPr>
          <w:p>
            <w:pPr>
              <w:pStyle w:val="TableParagraph"/>
              <w:spacing w:before="17"/>
              <w:ind w:left="159"/>
              <w:jc w:val="left"/>
              <w:rPr>
                <w:sz w:val="19"/>
              </w:rPr>
            </w:pPr>
            <w:r>
              <w:rPr>
                <w:spacing w:val="-5"/>
                <w:sz w:val="19"/>
              </w:rPr>
              <w:t>17</w:t>
            </w:r>
          </w:p>
        </w:tc>
        <w:tc>
          <w:tcPr>
            <w:tcW w:w="525" w:type="dxa"/>
          </w:tcPr>
          <w:p>
            <w:pPr>
              <w:pStyle w:val="TableParagraph"/>
              <w:spacing w:before="17"/>
              <w:ind w:left="220"/>
              <w:jc w:val="left"/>
              <w:rPr>
                <w:sz w:val="19"/>
              </w:rPr>
            </w:pPr>
            <w:r>
              <w:rPr>
                <w:w w:val="102"/>
                <w:sz w:val="19"/>
              </w:rPr>
              <w:t>6</w:t>
            </w:r>
          </w:p>
        </w:tc>
        <w:tc>
          <w:tcPr>
            <w:tcW w:w="510" w:type="dxa"/>
          </w:tcPr>
          <w:p>
            <w:pPr>
              <w:pStyle w:val="TableParagraph"/>
              <w:spacing w:before="17"/>
              <w:ind w:left="205"/>
              <w:jc w:val="left"/>
              <w:rPr>
                <w:sz w:val="19"/>
              </w:rPr>
            </w:pPr>
            <w:r>
              <w:rPr>
                <w:w w:val="102"/>
                <w:sz w:val="19"/>
              </w:rPr>
              <w:t>4</w:t>
            </w:r>
          </w:p>
        </w:tc>
        <w:tc>
          <w:tcPr>
            <w:tcW w:w="510" w:type="dxa"/>
          </w:tcPr>
          <w:p>
            <w:pPr>
              <w:pStyle w:val="TableParagraph"/>
              <w:spacing w:before="17"/>
              <w:ind w:left="103" w:right="66"/>
              <w:rPr>
                <w:sz w:val="19"/>
              </w:rPr>
            </w:pPr>
            <w:r>
              <w:rPr>
                <w:spacing w:val="-5"/>
                <w:sz w:val="19"/>
              </w:rPr>
              <w:t>27</w:t>
            </w:r>
          </w:p>
        </w:tc>
        <w:tc>
          <w:tcPr>
            <w:tcW w:w="525" w:type="dxa"/>
          </w:tcPr>
          <w:p>
            <w:pPr>
              <w:pStyle w:val="TableParagraph"/>
              <w:spacing w:before="17"/>
              <w:ind w:right="188"/>
              <w:jc w:val="right"/>
              <w:rPr>
                <w:sz w:val="19"/>
              </w:rPr>
            </w:pPr>
            <w:r>
              <w:rPr>
                <w:w w:val="102"/>
                <w:sz w:val="19"/>
              </w:rPr>
              <w:t>1</w:t>
            </w:r>
          </w:p>
        </w:tc>
        <w:tc>
          <w:tcPr>
            <w:tcW w:w="510" w:type="dxa"/>
          </w:tcPr>
          <w:p>
            <w:pPr>
              <w:pStyle w:val="TableParagraph"/>
              <w:spacing w:before="17"/>
              <w:ind w:left="207"/>
              <w:jc w:val="left"/>
              <w:rPr>
                <w:sz w:val="19"/>
              </w:rPr>
            </w:pPr>
            <w:r>
              <w:rPr>
                <w:w w:val="102"/>
                <w:sz w:val="19"/>
              </w:rPr>
              <w:t>9</w:t>
            </w:r>
          </w:p>
        </w:tc>
        <w:tc>
          <w:tcPr>
            <w:tcW w:w="510" w:type="dxa"/>
          </w:tcPr>
          <w:p>
            <w:pPr>
              <w:pStyle w:val="TableParagraph"/>
              <w:spacing w:before="17"/>
              <w:ind w:left="17"/>
              <w:rPr>
                <w:sz w:val="19"/>
              </w:rPr>
            </w:pPr>
            <w:r>
              <w:rPr>
                <w:w w:val="102"/>
                <w:sz w:val="19"/>
              </w:rPr>
              <w:t>1</w:t>
            </w:r>
          </w:p>
        </w:tc>
        <w:tc>
          <w:tcPr>
            <w:tcW w:w="525" w:type="dxa"/>
          </w:tcPr>
          <w:p>
            <w:pPr>
              <w:pStyle w:val="TableParagraph"/>
              <w:spacing w:before="17"/>
              <w:ind w:left="222"/>
              <w:jc w:val="left"/>
              <w:rPr>
                <w:sz w:val="19"/>
              </w:rPr>
            </w:pPr>
            <w:r>
              <w:rPr>
                <w:w w:val="102"/>
                <w:sz w:val="19"/>
              </w:rPr>
              <w:t>4</w:t>
            </w:r>
          </w:p>
        </w:tc>
        <w:tc>
          <w:tcPr>
            <w:tcW w:w="496" w:type="dxa"/>
          </w:tcPr>
          <w:p>
            <w:pPr>
              <w:pStyle w:val="TableParagraph"/>
              <w:spacing w:before="17"/>
              <w:ind w:left="139" w:right="113"/>
              <w:rPr>
                <w:sz w:val="19"/>
              </w:rPr>
            </w:pPr>
            <w:r>
              <w:rPr>
                <w:spacing w:val="-5"/>
                <w:sz w:val="19"/>
              </w:rPr>
              <w:t>11</w:t>
            </w:r>
          </w:p>
        </w:tc>
        <w:tc>
          <w:tcPr>
            <w:tcW w:w="526" w:type="dxa"/>
          </w:tcPr>
          <w:p>
            <w:pPr>
              <w:pStyle w:val="TableParagraph"/>
              <w:spacing w:before="17"/>
              <w:ind w:left="32"/>
              <w:rPr>
                <w:sz w:val="19"/>
              </w:rPr>
            </w:pPr>
            <w:r>
              <w:rPr>
                <w:w w:val="102"/>
                <w:sz w:val="19"/>
              </w:rPr>
              <w:t>1</w:t>
            </w:r>
          </w:p>
        </w:tc>
        <w:tc>
          <w:tcPr>
            <w:tcW w:w="526" w:type="dxa"/>
          </w:tcPr>
          <w:p>
            <w:pPr>
              <w:pStyle w:val="TableParagraph"/>
              <w:spacing w:before="17"/>
              <w:ind w:left="1"/>
              <w:rPr>
                <w:sz w:val="19"/>
              </w:rPr>
            </w:pPr>
            <w:r>
              <w:rPr>
                <w:w w:val="102"/>
                <w:sz w:val="19"/>
              </w:rPr>
              <w:t>7</w:t>
            </w:r>
          </w:p>
        </w:tc>
        <w:tc>
          <w:tcPr>
            <w:tcW w:w="496" w:type="dxa"/>
          </w:tcPr>
          <w:p>
            <w:pPr>
              <w:pStyle w:val="TableParagraph"/>
              <w:spacing w:before="17"/>
              <w:ind w:left="30"/>
              <w:rPr>
                <w:sz w:val="19"/>
              </w:rPr>
            </w:pPr>
            <w:r>
              <w:rPr>
                <w:w w:val="102"/>
                <w:sz w:val="19"/>
              </w:rPr>
              <w:t>6</w:t>
            </w:r>
          </w:p>
        </w:tc>
        <w:tc>
          <w:tcPr>
            <w:tcW w:w="526" w:type="dxa"/>
          </w:tcPr>
          <w:p>
            <w:pPr>
              <w:pStyle w:val="TableParagraph"/>
              <w:spacing w:before="17"/>
              <w:ind w:left="221"/>
              <w:jc w:val="left"/>
              <w:rPr>
                <w:sz w:val="19"/>
              </w:rPr>
            </w:pPr>
            <w:r>
              <w:rPr>
                <w:w w:val="102"/>
                <w:sz w:val="19"/>
              </w:rPr>
              <w:t>0</w:t>
            </w:r>
          </w:p>
        </w:tc>
      </w:tr>
      <w:tr>
        <w:trPr>
          <w:trHeight w:val="255" w:hRule="atLeast"/>
        </w:trPr>
        <w:tc>
          <w:tcPr>
            <w:tcW w:w="1156" w:type="dxa"/>
            <w:vMerge/>
            <w:tcBorders>
              <w:top w:val="nil"/>
            </w:tcBorders>
          </w:tcPr>
          <w:p>
            <w:pPr>
              <w:rPr>
                <w:sz w:val="2"/>
                <w:szCs w:val="2"/>
              </w:rPr>
            </w:pPr>
          </w:p>
        </w:tc>
        <w:tc>
          <w:tcPr>
            <w:tcW w:w="2777" w:type="dxa"/>
          </w:tcPr>
          <w:p>
            <w:pPr>
              <w:pStyle w:val="TableParagraph"/>
              <w:spacing w:line="206" w:lineRule="exact"/>
              <w:ind w:left="112"/>
              <w:jc w:val="left"/>
              <w:rPr>
                <w:sz w:val="19"/>
              </w:rPr>
            </w:pPr>
            <w:r>
              <w:rPr>
                <w:sz w:val="19"/>
              </w:rPr>
              <w:t>Southeast</w:t>
            </w:r>
            <w:r>
              <w:rPr>
                <w:spacing w:val="57"/>
                <w:sz w:val="19"/>
              </w:rPr>
              <w:t> </w:t>
            </w:r>
            <w:r>
              <w:rPr>
                <w:spacing w:val="-4"/>
                <w:sz w:val="19"/>
              </w:rPr>
              <w:t>Asia</w:t>
            </w:r>
          </w:p>
        </w:tc>
        <w:tc>
          <w:tcPr>
            <w:tcW w:w="555" w:type="dxa"/>
          </w:tcPr>
          <w:p>
            <w:pPr>
              <w:pStyle w:val="TableParagraph"/>
              <w:spacing w:before="2"/>
              <w:ind w:left="23"/>
              <w:rPr>
                <w:sz w:val="19"/>
              </w:rPr>
            </w:pPr>
            <w:r>
              <w:rPr>
                <w:w w:val="102"/>
                <w:sz w:val="19"/>
              </w:rPr>
              <w:t>2</w:t>
            </w:r>
          </w:p>
        </w:tc>
        <w:tc>
          <w:tcPr>
            <w:tcW w:w="555" w:type="dxa"/>
          </w:tcPr>
          <w:p>
            <w:pPr>
              <w:pStyle w:val="TableParagraph"/>
              <w:spacing w:before="2"/>
              <w:ind w:right="3"/>
              <w:rPr>
                <w:sz w:val="19"/>
              </w:rPr>
            </w:pPr>
            <w:r>
              <w:rPr>
                <w:w w:val="102"/>
                <w:sz w:val="19"/>
              </w:rPr>
              <w:t>1</w:t>
            </w:r>
          </w:p>
        </w:tc>
        <w:tc>
          <w:tcPr>
            <w:tcW w:w="510" w:type="dxa"/>
          </w:tcPr>
          <w:p>
            <w:pPr>
              <w:pStyle w:val="TableParagraph"/>
              <w:spacing w:before="2"/>
              <w:ind w:left="10"/>
              <w:rPr>
                <w:sz w:val="19"/>
              </w:rPr>
            </w:pPr>
            <w:r>
              <w:rPr>
                <w:w w:val="102"/>
                <w:sz w:val="19"/>
              </w:rPr>
              <w:t>1</w:t>
            </w:r>
          </w:p>
        </w:tc>
        <w:tc>
          <w:tcPr>
            <w:tcW w:w="540" w:type="dxa"/>
          </w:tcPr>
          <w:p>
            <w:pPr>
              <w:pStyle w:val="TableParagraph"/>
              <w:spacing w:before="2"/>
              <w:ind w:left="11"/>
              <w:rPr>
                <w:sz w:val="19"/>
              </w:rPr>
            </w:pPr>
            <w:r>
              <w:rPr>
                <w:w w:val="102"/>
                <w:sz w:val="19"/>
              </w:rPr>
              <w:t>0</w:t>
            </w:r>
          </w:p>
        </w:tc>
        <w:tc>
          <w:tcPr>
            <w:tcW w:w="510" w:type="dxa"/>
          </w:tcPr>
          <w:p>
            <w:pPr>
              <w:pStyle w:val="TableParagraph"/>
              <w:spacing w:before="2"/>
              <w:ind w:left="205"/>
              <w:jc w:val="left"/>
              <w:rPr>
                <w:sz w:val="19"/>
              </w:rPr>
            </w:pPr>
            <w:r>
              <w:rPr>
                <w:w w:val="102"/>
                <w:sz w:val="19"/>
              </w:rPr>
              <w:t>2</w:t>
            </w:r>
          </w:p>
        </w:tc>
        <w:tc>
          <w:tcPr>
            <w:tcW w:w="525" w:type="dxa"/>
          </w:tcPr>
          <w:p>
            <w:pPr>
              <w:pStyle w:val="TableParagraph"/>
              <w:spacing w:before="2"/>
              <w:ind w:left="220"/>
              <w:jc w:val="left"/>
              <w:rPr>
                <w:sz w:val="19"/>
              </w:rPr>
            </w:pPr>
            <w:r>
              <w:rPr>
                <w:w w:val="102"/>
                <w:sz w:val="19"/>
              </w:rPr>
              <w:t>0</w:t>
            </w:r>
          </w:p>
        </w:tc>
        <w:tc>
          <w:tcPr>
            <w:tcW w:w="510" w:type="dxa"/>
          </w:tcPr>
          <w:p>
            <w:pPr>
              <w:pStyle w:val="TableParagraph"/>
              <w:spacing w:before="2"/>
              <w:ind w:left="205"/>
              <w:jc w:val="left"/>
              <w:rPr>
                <w:sz w:val="19"/>
              </w:rPr>
            </w:pPr>
            <w:r>
              <w:rPr>
                <w:w w:val="102"/>
                <w:sz w:val="19"/>
              </w:rPr>
              <w:t>0</w:t>
            </w:r>
          </w:p>
        </w:tc>
        <w:tc>
          <w:tcPr>
            <w:tcW w:w="510" w:type="dxa"/>
          </w:tcPr>
          <w:p>
            <w:pPr>
              <w:pStyle w:val="TableParagraph"/>
              <w:spacing w:before="2"/>
              <w:ind w:left="14"/>
              <w:rPr>
                <w:sz w:val="19"/>
              </w:rPr>
            </w:pPr>
            <w:r>
              <w:rPr>
                <w:w w:val="102"/>
                <w:sz w:val="19"/>
              </w:rPr>
              <w:t>2</w:t>
            </w:r>
          </w:p>
        </w:tc>
        <w:tc>
          <w:tcPr>
            <w:tcW w:w="525" w:type="dxa"/>
          </w:tcPr>
          <w:p>
            <w:pPr>
              <w:pStyle w:val="TableParagraph"/>
              <w:spacing w:before="2"/>
              <w:ind w:right="188"/>
              <w:jc w:val="right"/>
              <w:rPr>
                <w:sz w:val="19"/>
              </w:rPr>
            </w:pPr>
            <w:r>
              <w:rPr>
                <w:w w:val="102"/>
                <w:sz w:val="19"/>
              </w:rPr>
              <w:t>0</w:t>
            </w:r>
          </w:p>
        </w:tc>
        <w:tc>
          <w:tcPr>
            <w:tcW w:w="510" w:type="dxa"/>
          </w:tcPr>
          <w:p>
            <w:pPr>
              <w:pStyle w:val="TableParagraph"/>
              <w:spacing w:before="2"/>
              <w:ind w:left="207"/>
              <w:jc w:val="left"/>
              <w:rPr>
                <w:sz w:val="19"/>
              </w:rPr>
            </w:pPr>
            <w:r>
              <w:rPr>
                <w:w w:val="102"/>
                <w:sz w:val="19"/>
              </w:rPr>
              <w:t>1</w:t>
            </w:r>
          </w:p>
        </w:tc>
        <w:tc>
          <w:tcPr>
            <w:tcW w:w="510" w:type="dxa"/>
          </w:tcPr>
          <w:p>
            <w:pPr>
              <w:pStyle w:val="TableParagraph"/>
              <w:spacing w:before="2"/>
              <w:ind w:left="17"/>
              <w:rPr>
                <w:sz w:val="19"/>
              </w:rPr>
            </w:pPr>
            <w:r>
              <w:rPr>
                <w:w w:val="102"/>
                <w:sz w:val="19"/>
              </w:rPr>
              <w:t>0</w:t>
            </w:r>
          </w:p>
        </w:tc>
        <w:tc>
          <w:tcPr>
            <w:tcW w:w="525" w:type="dxa"/>
          </w:tcPr>
          <w:p>
            <w:pPr>
              <w:pStyle w:val="TableParagraph"/>
              <w:spacing w:before="2"/>
              <w:ind w:left="222"/>
              <w:jc w:val="left"/>
              <w:rPr>
                <w:sz w:val="19"/>
              </w:rPr>
            </w:pPr>
            <w:r>
              <w:rPr>
                <w:w w:val="102"/>
                <w:sz w:val="19"/>
              </w:rPr>
              <w:t>0</w:t>
            </w:r>
          </w:p>
        </w:tc>
        <w:tc>
          <w:tcPr>
            <w:tcW w:w="496" w:type="dxa"/>
          </w:tcPr>
          <w:p>
            <w:pPr>
              <w:pStyle w:val="TableParagraph"/>
              <w:spacing w:before="2"/>
              <w:ind w:left="33"/>
              <w:rPr>
                <w:sz w:val="19"/>
              </w:rPr>
            </w:pPr>
            <w:r>
              <w:rPr>
                <w:w w:val="102"/>
                <w:sz w:val="19"/>
              </w:rPr>
              <w:t>1</w:t>
            </w:r>
          </w:p>
        </w:tc>
        <w:tc>
          <w:tcPr>
            <w:tcW w:w="526" w:type="dxa"/>
          </w:tcPr>
          <w:p>
            <w:pPr>
              <w:pStyle w:val="TableParagraph"/>
              <w:spacing w:before="2"/>
              <w:ind w:left="32"/>
              <w:rPr>
                <w:sz w:val="19"/>
              </w:rPr>
            </w:pPr>
            <w:r>
              <w:rPr>
                <w:w w:val="102"/>
                <w:sz w:val="19"/>
              </w:rPr>
              <w:t>0</w:t>
            </w:r>
          </w:p>
        </w:tc>
        <w:tc>
          <w:tcPr>
            <w:tcW w:w="526" w:type="dxa"/>
          </w:tcPr>
          <w:p>
            <w:pPr>
              <w:pStyle w:val="TableParagraph"/>
              <w:spacing w:before="2"/>
              <w:ind w:left="1"/>
              <w:rPr>
                <w:sz w:val="19"/>
              </w:rPr>
            </w:pPr>
            <w:r>
              <w:rPr>
                <w:w w:val="102"/>
                <w:sz w:val="19"/>
              </w:rPr>
              <w:t>0</w:t>
            </w:r>
          </w:p>
        </w:tc>
        <w:tc>
          <w:tcPr>
            <w:tcW w:w="496" w:type="dxa"/>
          </w:tcPr>
          <w:p>
            <w:pPr>
              <w:pStyle w:val="TableParagraph"/>
              <w:spacing w:before="2"/>
              <w:ind w:left="30"/>
              <w:rPr>
                <w:sz w:val="19"/>
              </w:rPr>
            </w:pPr>
            <w:r>
              <w:rPr>
                <w:w w:val="102"/>
                <w:sz w:val="19"/>
              </w:rPr>
              <w:t>0</w:t>
            </w:r>
          </w:p>
        </w:tc>
        <w:tc>
          <w:tcPr>
            <w:tcW w:w="526" w:type="dxa"/>
          </w:tcPr>
          <w:p>
            <w:pPr>
              <w:pStyle w:val="TableParagraph"/>
              <w:spacing w:before="2"/>
              <w:ind w:left="221"/>
              <w:jc w:val="left"/>
              <w:rPr>
                <w:sz w:val="19"/>
              </w:rPr>
            </w:pPr>
            <w:r>
              <w:rPr>
                <w:w w:val="102"/>
                <w:sz w:val="19"/>
              </w:rPr>
              <w:t>0</w:t>
            </w:r>
          </w:p>
        </w:tc>
      </w:tr>
      <w:tr>
        <w:trPr>
          <w:trHeight w:val="255" w:hRule="atLeast"/>
        </w:trPr>
        <w:tc>
          <w:tcPr>
            <w:tcW w:w="1156" w:type="dxa"/>
            <w:vMerge/>
            <w:tcBorders>
              <w:top w:val="nil"/>
            </w:tcBorders>
          </w:tcPr>
          <w:p>
            <w:pPr>
              <w:rPr>
                <w:sz w:val="2"/>
                <w:szCs w:val="2"/>
              </w:rPr>
            </w:pPr>
          </w:p>
        </w:tc>
        <w:tc>
          <w:tcPr>
            <w:tcW w:w="2777" w:type="dxa"/>
          </w:tcPr>
          <w:p>
            <w:pPr>
              <w:pStyle w:val="TableParagraph"/>
              <w:spacing w:before="3"/>
              <w:ind w:left="112"/>
              <w:jc w:val="left"/>
              <w:rPr>
                <w:sz w:val="19"/>
              </w:rPr>
            </w:pPr>
            <w:r>
              <w:rPr>
                <w:sz w:val="19"/>
              </w:rPr>
              <w:t>Sub-Saharan</w:t>
            </w:r>
            <w:r>
              <w:rPr>
                <w:spacing w:val="78"/>
                <w:sz w:val="19"/>
              </w:rPr>
              <w:t> </w:t>
            </w:r>
            <w:r>
              <w:rPr>
                <w:spacing w:val="-2"/>
                <w:sz w:val="19"/>
              </w:rPr>
              <w:t>Africa</w:t>
            </w:r>
          </w:p>
        </w:tc>
        <w:tc>
          <w:tcPr>
            <w:tcW w:w="555" w:type="dxa"/>
          </w:tcPr>
          <w:p>
            <w:pPr>
              <w:pStyle w:val="TableParagraph"/>
              <w:spacing w:line="217" w:lineRule="exact" w:before="18"/>
              <w:ind w:left="130" w:right="84"/>
              <w:rPr>
                <w:sz w:val="19"/>
              </w:rPr>
            </w:pPr>
            <w:r>
              <w:rPr>
                <w:spacing w:val="-5"/>
                <w:sz w:val="19"/>
              </w:rPr>
              <w:t>75</w:t>
            </w:r>
          </w:p>
        </w:tc>
        <w:tc>
          <w:tcPr>
            <w:tcW w:w="555" w:type="dxa"/>
          </w:tcPr>
          <w:p>
            <w:pPr>
              <w:pStyle w:val="TableParagraph"/>
              <w:spacing w:line="217" w:lineRule="exact" w:before="18"/>
              <w:ind w:right="154"/>
              <w:jc w:val="right"/>
              <w:rPr>
                <w:sz w:val="19"/>
              </w:rPr>
            </w:pPr>
            <w:r>
              <w:rPr>
                <w:spacing w:val="-5"/>
                <w:sz w:val="19"/>
              </w:rPr>
              <w:t>50</w:t>
            </w:r>
          </w:p>
        </w:tc>
        <w:tc>
          <w:tcPr>
            <w:tcW w:w="510" w:type="dxa"/>
          </w:tcPr>
          <w:p>
            <w:pPr>
              <w:pStyle w:val="TableParagraph"/>
              <w:spacing w:line="217" w:lineRule="exact" w:before="18"/>
              <w:ind w:left="99" w:right="66"/>
              <w:rPr>
                <w:sz w:val="19"/>
              </w:rPr>
            </w:pPr>
            <w:r>
              <w:rPr>
                <w:spacing w:val="-5"/>
                <w:sz w:val="19"/>
              </w:rPr>
              <w:t>61</w:t>
            </w:r>
          </w:p>
        </w:tc>
        <w:tc>
          <w:tcPr>
            <w:tcW w:w="540" w:type="dxa"/>
          </w:tcPr>
          <w:p>
            <w:pPr>
              <w:pStyle w:val="TableParagraph"/>
              <w:spacing w:line="217" w:lineRule="exact" w:before="18"/>
              <w:ind w:left="11"/>
              <w:rPr>
                <w:sz w:val="19"/>
              </w:rPr>
            </w:pPr>
            <w:r>
              <w:rPr>
                <w:w w:val="102"/>
                <w:sz w:val="19"/>
              </w:rPr>
              <w:t>1</w:t>
            </w:r>
          </w:p>
        </w:tc>
        <w:tc>
          <w:tcPr>
            <w:tcW w:w="510" w:type="dxa"/>
          </w:tcPr>
          <w:p>
            <w:pPr>
              <w:pStyle w:val="TableParagraph"/>
              <w:spacing w:line="217" w:lineRule="exact" w:before="18"/>
              <w:ind w:left="159"/>
              <w:jc w:val="left"/>
              <w:rPr>
                <w:sz w:val="19"/>
              </w:rPr>
            </w:pPr>
            <w:r>
              <w:rPr>
                <w:spacing w:val="-5"/>
                <w:sz w:val="19"/>
              </w:rPr>
              <w:t>50</w:t>
            </w:r>
          </w:p>
        </w:tc>
        <w:tc>
          <w:tcPr>
            <w:tcW w:w="525" w:type="dxa"/>
          </w:tcPr>
          <w:p>
            <w:pPr>
              <w:pStyle w:val="TableParagraph"/>
              <w:spacing w:line="217" w:lineRule="exact" w:before="18"/>
              <w:ind w:left="175"/>
              <w:jc w:val="left"/>
              <w:rPr>
                <w:sz w:val="19"/>
              </w:rPr>
            </w:pPr>
            <w:r>
              <w:rPr>
                <w:spacing w:val="-5"/>
                <w:sz w:val="19"/>
              </w:rPr>
              <w:t>17</w:t>
            </w:r>
          </w:p>
        </w:tc>
        <w:tc>
          <w:tcPr>
            <w:tcW w:w="510" w:type="dxa"/>
          </w:tcPr>
          <w:p>
            <w:pPr>
              <w:pStyle w:val="TableParagraph"/>
              <w:spacing w:line="217" w:lineRule="exact" w:before="18"/>
              <w:ind w:left="160"/>
              <w:jc w:val="left"/>
              <w:rPr>
                <w:sz w:val="19"/>
              </w:rPr>
            </w:pPr>
            <w:r>
              <w:rPr>
                <w:spacing w:val="-5"/>
                <w:sz w:val="19"/>
              </w:rPr>
              <w:t>13</w:t>
            </w:r>
          </w:p>
        </w:tc>
        <w:tc>
          <w:tcPr>
            <w:tcW w:w="510" w:type="dxa"/>
          </w:tcPr>
          <w:p>
            <w:pPr>
              <w:pStyle w:val="TableParagraph"/>
              <w:spacing w:line="217" w:lineRule="exact" w:before="18"/>
              <w:ind w:left="103" w:right="66"/>
              <w:rPr>
                <w:sz w:val="19"/>
              </w:rPr>
            </w:pPr>
            <w:r>
              <w:rPr>
                <w:spacing w:val="-5"/>
                <w:sz w:val="19"/>
              </w:rPr>
              <w:t>66</w:t>
            </w:r>
          </w:p>
        </w:tc>
        <w:tc>
          <w:tcPr>
            <w:tcW w:w="525" w:type="dxa"/>
          </w:tcPr>
          <w:p>
            <w:pPr>
              <w:pStyle w:val="TableParagraph"/>
              <w:spacing w:line="217" w:lineRule="exact" w:before="18"/>
              <w:ind w:right="188"/>
              <w:jc w:val="right"/>
              <w:rPr>
                <w:sz w:val="19"/>
              </w:rPr>
            </w:pPr>
            <w:r>
              <w:rPr>
                <w:w w:val="102"/>
                <w:sz w:val="19"/>
              </w:rPr>
              <w:t>1</w:t>
            </w:r>
          </w:p>
        </w:tc>
        <w:tc>
          <w:tcPr>
            <w:tcW w:w="510" w:type="dxa"/>
          </w:tcPr>
          <w:p>
            <w:pPr>
              <w:pStyle w:val="TableParagraph"/>
              <w:spacing w:line="217" w:lineRule="exact" w:before="18"/>
              <w:ind w:left="162"/>
              <w:jc w:val="left"/>
              <w:rPr>
                <w:sz w:val="19"/>
              </w:rPr>
            </w:pPr>
            <w:r>
              <w:rPr>
                <w:spacing w:val="-5"/>
                <w:sz w:val="19"/>
              </w:rPr>
              <w:t>31</w:t>
            </w:r>
          </w:p>
        </w:tc>
        <w:tc>
          <w:tcPr>
            <w:tcW w:w="510" w:type="dxa"/>
          </w:tcPr>
          <w:p>
            <w:pPr>
              <w:pStyle w:val="TableParagraph"/>
              <w:spacing w:line="217" w:lineRule="exact" w:before="18"/>
              <w:ind w:left="17"/>
              <w:rPr>
                <w:sz w:val="19"/>
              </w:rPr>
            </w:pPr>
            <w:r>
              <w:rPr>
                <w:w w:val="102"/>
                <w:sz w:val="19"/>
              </w:rPr>
              <w:t>1</w:t>
            </w:r>
          </w:p>
        </w:tc>
        <w:tc>
          <w:tcPr>
            <w:tcW w:w="525" w:type="dxa"/>
          </w:tcPr>
          <w:p>
            <w:pPr>
              <w:pStyle w:val="TableParagraph"/>
              <w:spacing w:line="217" w:lineRule="exact" w:before="18"/>
              <w:ind w:left="222"/>
              <w:jc w:val="left"/>
              <w:rPr>
                <w:sz w:val="19"/>
              </w:rPr>
            </w:pPr>
            <w:r>
              <w:rPr>
                <w:w w:val="102"/>
                <w:sz w:val="19"/>
              </w:rPr>
              <w:t>3</w:t>
            </w:r>
          </w:p>
        </w:tc>
        <w:tc>
          <w:tcPr>
            <w:tcW w:w="496" w:type="dxa"/>
          </w:tcPr>
          <w:p>
            <w:pPr>
              <w:pStyle w:val="TableParagraph"/>
              <w:spacing w:line="217" w:lineRule="exact" w:before="18"/>
              <w:ind w:left="139" w:right="113"/>
              <w:rPr>
                <w:sz w:val="19"/>
              </w:rPr>
            </w:pPr>
            <w:r>
              <w:rPr>
                <w:spacing w:val="-5"/>
                <w:sz w:val="19"/>
              </w:rPr>
              <w:t>30</w:t>
            </w:r>
          </w:p>
        </w:tc>
        <w:tc>
          <w:tcPr>
            <w:tcW w:w="526" w:type="dxa"/>
          </w:tcPr>
          <w:p>
            <w:pPr>
              <w:pStyle w:val="TableParagraph"/>
              <w:spacing w:line="217" w:lineRule="exact" w:before="18"/>
              <w:ind w:left="32"/>
              <w:rPr>
                <w:sz w:val="19"/>
              </w:rPr>
            </w:pPr>
            <w:r>
              <w:rPr>
                <w:w w:val="102"/>
                <w:sz w:val="19"/>
              </w:rPr>
              <w:t>1</w:t>
            </w:r>
          </w:p>
        </w:tc>
        <w:tc>
          <w:tcPr>
            <w:tcW w:w="526" w:type="dxa"/>
          </w:tcPr>
          <w:p>
            <w:pPr>
              <w:pStyle w:val="TableParagraph"/>
              <w:spacing w:line="217" w:lineRule="exact" w:before="18"/>
              <w:ind w:left="154" w:right="130"/>
              <w:rPr>
                <w:sz w:val="19"/>
              </w:rPr>
            </w:pPr>
            <w:r>
              <w:rPr>
                <w:spacing w:val="-5"/>
                <w:sz w:val="19"/>
              </w:rPr>
              <w:t>16</w:t>
            </w:r>
          </w:p>
        </w:tc>
        <w:tc>
          <w:tcPr>
            <w:tcW w:w="496" w:type="dxa"/>
          </w:tcPr>
          <w:p>
            <w:pPr>
              <w:pStyle w:val="TableParagraph"/>
              <w:spacing w:line="217" w:lineRule="exact" w:before="18"/>
              <w:ind w:left="139" w:right="117"/>
              <w:rPr>
                <w:sz w:val="19"/>
              </w:rPr>
            </w:pPr>
            <w:r>
              <w:rPr>
                <w:spacing w:val="-5"/>
                <w:sz w:val="19"/>
              </w:rPr>
              <w:t>14</w:t>
            </w:r>
          </w:p>
        </w:tc>
        <w:tc>
          <w:tcPr>
            <w:tcW w:w="526" w:type="dxa"/>
          </w:tcPr>
          <w:p>
            <w:pPr>
              <w:pStyle w:val="TableParagraph"/>
              <w:spacing w:line="217" w:lineRule="exact" w:before="18"/>
              <w:ind w:left="221"/>
              <w:jc w:val="left"/>
              <w:rPr>
                <w:sz w:val="19"/>
              </w:rPr>
            </w:pPr>
            <w:r>
              <w:rPr>
                <w:w w:val="102"/>
                <w:sz w:val="19"/>
              </w:rPr>
              <w:t>0</w:t>
            </w:r>
          </w:p>
        </w:tc>
      </w:tr>
      <w:tr>
        <w:trPr>
          <w:trHeight w:val="255" w:hRule="atLeast"/>
        </w:trPr>
        <w:tc>
          <w:tcPr>
            <w:tcW w:w="3933" w:type="dxa"/>
            <w:gridSpan w:val="2"/>
          </w:tcPr>
          <w:p>
            <w:pPr>
              <w:pStyle w:val="TableParagraph"/>
              <w:spacing w:before="2"/>
              <w:ind w:left="127"/>
              <w:jc w:val="left"/>
              <w:rPr>
                <w:sz w:val="19"/>
              </w:rPr>
            </w:pPr>
            <w:r>
              <w:rPr>
                <w:sz w:val="19"/>
              </w:rPr>
              <w:t>Total</w:t>
            </w:r>
            <w:r>
              <w:rPr>
                <w:spacing w:val="3"/>
                <w:sz w:val="19"/>
              </w:rPr>
              <w:t> </w:t>
            </w:r>
            <w:r>
              <w:rPr>
                <w:sz w:val="19"/>
              </w:rPr>
              <w:t>(out</w:t>
            </w:r>
            <w:r>
              <w:rPr>
                <w:spacing w:val="23"/>
                <w:sz w:val="19"/>
              </w:rPr>
              <w:t> </w:t>
            </w:r>
            <w:r>
              <w:rPr>
                <w:sz w:val="19"/>
              </w:rPr>
              <w:t>of</w:t>
            </w:r>
            <w:r>
              <w:rPr>
                <w:spacing w:val="30"/>
                <w:sz w:val="19"/>
              </w:rPr>
              <w:t> </w:t>
            </w:r>
            <w:r>
              <w:rPr>
                <w:sz w:val="19"/>
              </w:rPr>
              <w:t>292</w:t>
            </w:r>
            <w:r>
              <w:rPr>
                <w:spacing w:val="27"/>
                <w:sz w:val="19"/>
              </w:rPr>
              <w:t> </w:t>
            </w:r>
            <w:r>
              <w:rPr>
                <w:spacing w:val="-2"/>
                <w:sz w:val="19"/>
              </w:rPr>
              <w:t>deals)</w:t>
            </w:r>
          </w:p>
        </w:tc>
        <w:tc>
          <w:tcPr>
            <w:tcW w:w="555" w:type="dxa"/>
          </w:tcPr>
          <w:p>
            <w:pPr>
              <w:pStyle w:val="TableParagraph"/>
              <w:spacing w:line="218" w:lineRule="exact" w:before="17"/>
              <w:ind w:left="130" w:right="99"/>
              <w:rPr>
                <w:sz w:val="19"/>
              </w:rPr>
            </w:pPr>
            <w:r>
              <w:rPr>
                <w:spacing w:val="-5"/>
                <w:sz w:val="19"/>
              </w:rPr>
              <w:t>270</w:t>
            </w:r>
          </w:p>
        </w:tc>
        <w:tc>
          <w:tcPr>
            <w:tcW w:w="555" w:type="dxa"/>
          </w:tcPr>
          <w:p>
            <w:pPr>
              <w:pStyle w:val="TableParagraph"/>
              <w:spacing w:line="218" w:lineRule="exact" w:before="17"/>
              <w:ind w:right="109"/>
              <w:jc w:val="right"/>
              <w:rPr>
                <w:sz w:val="19"/>
              </w:rPr>
            </w:pPr>
            <w:r>
              <w:rPr>
                <w:spacing w:val="-5"/>
                <w:sz w:val="19"/>
              </w:rPr>
              <w:t>205</w:t>
            </w:r>
          </w:p>
        </w:tc>
        <w:tc>
          <w:tcPr>
            <w:tcW w:w="510" w:type="dxa"/>
          </w:tcPr>
          <w:p>
            <w:pPr>
              <w:pStyle w:val="TableParagraph"/>
              <w:spacing w:line="218" w:lineRule="exact" w:before="17"/>
              <w:ind w:left="114" w:right="66"/>
              <w:rPr>
                <w:sz w:val="19"/>
              </w:rPr>
            </w:pPr>
            <w:r>
              <w:rPr>
                <w:spacing w:val="-5"/>
                <w:sz w:val="19"/>
              </w:rPr>
              <w:t>177</w:t>
            </w:r>
          </w:p>
        </w:tc>
        <w:tc>
          <w:tcPr>
            <w:tcW w:w="540" w:type="dxa"/>
          </w:tcPr>
          <w:p>
            <w:pPr>
              <w:pStyle w:val="TableParagraph"/>
              <w:spacing w:line="218" w:lineRule="exact" w:before="17"/>
              <w:ind w:left="11"/>
              <w:rPr>
                <w:sz w:val="19"/>
              </w:rPr>
            </w:pPr>
            <w:r>
              <w:rPr>
                <w:w w:val="102"/>
                <w:sz w:val="19"/>
              </w:rPr>
              <w:t>3</w:t>
            </w:r>
          </w:p>
        </w:tc>
        <w:tc>
          <w:tcPr>
            <w:tcW w:w="510" w:type="dxa"/>
          </w:tcPr>
          <w:p>
            <w:pPr>
              <w:pStyle w:val="TableParagraph"/>
              <w:spacing w:line="218" w:lineRule="exact" w:before="17"/>
              <w:ind w:left="114"/>
              <w:jc w:val="left"/>
              <w:rPr>
                <w:sz w:val="19"/>
              </w:rPr>
            </w:pPr>
            <w:r>
              <w:rPr>
                <w:spacing w:val="-5"/>
                <w:sz w:val="19"/>
              </w:rPr>
              <w:t>169</w:t>
            </w:r>
          </w:p>
        </w:tc>
        <w:tc>
          <w:tcPr>
            <w:tcW w:w="525" w:type="dxa"/>
          </w:tcPr>
          <w:p>
            <w:pPr>
              <w:pStyle w:val="TableParagraph"/>
              <w:spacing w:line="218" w:lineRule="exact" w:before="17"/>
              <w:ind w:left="175"/>
              <w:jc w:val="left"/>
              <w:rPr>
                <w:sz w:val="19"/>
              </w:rPr>
            </w:pPr>
            <w:r>
              <w:rPr>
                <w:spacing w:val="-5"/>
                <w:sz w:val="19"/>
              </w:rPr>
              <w:t>38</w:t>
            </w:r>
          </w:p>
        </w:tc>
        <w:tc>
          <w:tcPr>
            <w:tcW w:w="510" w:type="dxa"/>
          </w:tcPr>
          <w:p>
            <w:pPr>
              <w:pStyle w:val="TableParagraph"/>
              <w:spacing w:line="218" w:lineRule="exact" w:before="17"/>
              <w:ind w:left="160"/>
              <w:jc w:val="left"/>
              <w:rPr>
                <w:sz w:val="19"/>
              </w:rPr>
            </w:pPr>
            <w:r>
              <w:rPr>
                <w:spacing w:val="-5"/>
                <w:sz w:val="19"/>
              </w:rPr>
              <w:t>66</w:t>
            </w:r>
          </w:p>
        </w:tc>
        <w:tc>
          <w:tcPr>
            <w:tcW w:w="510" w:type="dxa"/>
          </w:tcPr>
          <w:p>
            <w:pPr>
              <w:pStyle w:val="TableParagraph"/>
              <w:spacing w:line="218" w:lineRule="exact" w:before="17"/>
              <w:ind w:left="116" w:right="64"/>
              <w:rPr>
                <w:sz w:val="19"/>
              </w:rPr>
            </w:pPr>
            <w:r>
              <w:rPr>
                <w:spacing w:val="-5"/>
                <w:sz w:val="19"/>
              </w:rPr>
              <w:t>210</w:t>
            </w:r>
          </w:p>
        </w:tc>
        <w:tc>
          <w:tcPr>
            <w:tcW w:w="525" w:type="dxa"/>
          </w:tcPr>
          <w:p>
            <w:pPr>
              <w:pStyle w:val="TableParagraph"/>
              <w:spacing w:line="218" w:lineRule="exact" w:before="17"/>
              <w:ind w:right="188"/>
              <w:jc w:val="right"/>
              <w:rPr>
                <w:sz w:val="19"/>
              </w:rPr>
            </w:pPr>
            <w:r>
              <w:rPr>
                <w:w w:val="102"/>
                <w:sz w:val="19"/>
              </w:rPr>
              <w:t>2</w:t>
            </w:r>
          </w:p>
        </w:tc>
        <w:tc>
          <w:tcPr>
            <w:tcW w:w="510" w:type="dxa"/>
          </w:tcPr>
          <w:p>
            <w:pPr>
              <w:pStyle w:val="TableParagraph"/>
              <w:spacing w:line="218" w:lineRule="exact" w:before="17"/>
              <w:ind w:left="116"/>
              <w:jc w:val="left"/>
              <w:rPr>
                <w:sz w:val="19"/>
              </w:rPr>
            </w:pPr>
            <w:r>
              <w:rPr>
                <w:spacing w:val="-5"/>
                <w:sz w:val="19"/>
              </w:rPr>
              <w:t>134</w:t>
            </w:r>
          </w:p>
        </w:tc>
        <w:tc>
          <w:tcPr>
            <w:tcW w:w="510" w:type="dxa"/>
          </w:tcPr>
          <w:p>
            <w:pPr>
              <w:pStyle w:val="TableParagraph"/>
              <w:spacing w:line="218" w:lineRule="exact" w:before="17"/>
              <w:ind w:left="17"/>
              <w:rPr>
                <w:sz w:val="19"/>
              </w:rPr>
            </w:pPr>
            <w:r>
              <w:rPr>
                <w:w w:val="102"/>
                <w:sz w:val="19"/>
              </w:rPr>
              <w:t>2</w:t>
            </w:r>
          </w:p>
        </w:tc>
        <w:tc>
          <w:tcPr>
            <w:tcW w:w="525" w:type="dxa"/>
          </w:tcPr>
          <w:p>
            <w:pPr>
              <w:pStyle w:val="TableParagraph"/>
              <w:spacing w:line="218" w:lineRule="exact" w:before="17"/>
              <w:ind w:left="177"/>
              <w:jc w:val="left"/>
              <w:rPr>
                <w:sz w:val="19"/>
              </w:rPr>
            </w:pPr>
            <w:r>
              <w:rPr>
                <w:spacing w:val="-5"/>
                <w:sz w:val="19"/>
              </w:rPr>
              <w:t>10</w:t>
            </w:r>
          </w:p>
        </w:tc>
        <w:tc>
          <w:tcPr>
            <w:tcW w:w="496" w:type="dxa"/>
          </w:tcPr>
          <w:p>
            <w:pPr>
              <w:pStyle w:val="TableParagraph"/>
              <w:spacing w:line="218" w:lineRule="exact" w:before="17"/>
              <w:ind w:left="139" w:right="113"/>
              <w:rPr>
                <w:sz w:val="19"/>
              </w:rPr>
            </w:pPr>
            <w:r>
              <w:rPr>
                <w:spacing w:val="-5"/>
                <w:sz w:val="19"/>
              </w:rPr>
              <w:t>62</w:t>
            </w:r>
          </w:p>
        </w:tc>
        <w:tc>
          <w:tcPr>
            <w:tcW w:w="526" w:type="dxa"/>
          </w:tcPr>
          <w:p>
            <w:pPr>
              <w:pStyle w:val="TableParagraph"/>
              <w:spacing w:line="218" w:lineRule="exact" w:before="17"/>
              <w:ind w:left="32"/>
              <w:rPr>
                <w:sz w:val="19"/>
              </w:rPr>
            </w:pPr>
            <w:r>
              <w:rPr>
                <w:w w:val="102"/>
                <w:sz w:val="19"/>
              </w:rPr>
              <w:t>4</w:t>
            </w:r>
          </w:p>
        </w:tc>
        <w:tc>
          <w:tcPr>
            <w:tcW w:w="526" w:type="dxa"/>
          </w:tcPr>
          <w:p>
            <w:pPr>
              <w:pStyle w:val="TableParagraph"/>
              <w:spacing w:line="218" w:lineRule="exact" w:before="17"/>
              <w:ind w:left="154" w:right="130"/>
              <w:rPr>
                <w:sz w:val="19"/>
              </w:rPr>
            </w:pPr>
            <w:r>
              <w:rPr>
                <w:spacing w:val="-5"/>
                <w:sz w:val="19"/>
              </w:rPr>
              <w:t>77</w:t>
            </w:r>
          </w:p>
        </w:tc>
        <w:tc>
          <w:tcPr>
            <w:tcW w:w="496" w:type="dxa"/>
          </w:tcPr>
          <w:p>
            <w:pPr>
              <w:pStyle w:val="TableParagraph"/>
              <w:spacing w:line="218" w:lineRule="exact" w:before="17"/>
              <w:ind w:left="139" w:right="117"/>
              <w:rPr>
                <w:sz w:val="19"/>
              </w:rPr>
            </w:pPr>
            <w:r>
              <w:rPr>
                <w:spacing w:val="-5"/>
                <w:sz w:val="19"/>
              </w:rPr>
              <w:t>31</w:t>
            </w:r>
          </w:p>
        </w:tc>
        <w:tc>
          <w:tcPr>
            <w:tcW w:w="526" w:type="dxa"/>
          </w:tcPr>
          <w:p>
            <w:pPr>
              <w:pStyle w:val="TableParagraph"/>
              <w:spacing w:line="218" w:lineRule="exact" w:before="17"/>
              <w:ind w:left="221"/>
              <w:jc w:val="left"/>
              <w:rPr>
                <w:sz w:val="19"/>
              </w:rPr>
            </w:pPr>
            <w:r>
              <w:rPr>
                <w:w w:val="102"/>
                <w:sz w:val="19"/>
              </w:rPr>
              <w:t>0</w:t>
            </w:r>
          </w:p>
        </w:tc>
      </w:tr>
    </w:tbl>
    <w:p>
      <w:pPr>
        <w:pStyle w:val="BodyText"/>
        <w:spacing w:before="10"/>
        <w:ind w:left="0"/>
        <w:jc w:val="left"/>
        <w:rPr>
          <w:b/>
          <w:sz w:val="22"/>
        </w:rPr>
      </w:pPr>
    </w:p>
    <w:p>
      <w:pPr>
        <w:spacing w:line="271" w:lineRule="auto" w:before="0"/>
        <w:ind w:left="121" w:right="0" w:firstLine="0"/>
        <w:jc w:val="left"/>
        <w:rPr>
          <w:sz w:val="19"/>
        </w:rPr>
      </w:pPr>
      <w:r>
        <w:rPr>
          <w:sz w:val="19"/>
        </w:rPr>
        <w:t>Notes:</w:t>
      </w:r>
      <w:r>
        <w:rPr>
          <w:spacing w:val="15"/>
          <w:sz w:val="19"/>
        </w:rPr>
        <w:t> </w:t>
      </w:r>
      <w:r>
        <w:rPr>
          <w:sz w:val="19"/>
        </w:rPr>
        <w:t>Here,</w:t>
      </w:r>
      <w:r>
        <w:rPr>
          <w:spacing w:val="23"/>
          <w:sz w:val="19"/>
        </w:rPr>
        <w:t> </w:t>
      </w:r>
      <w:r>
        <w:rPr>
          <w:sz w:val="19"/>
        </w:rPr>
        <w:t>SDG</w:t>
      </w:r>
      <w:r>
        <w:rPr>
          <w:spacing w:val="40"/>
          <w:sz w:val="19"/>
        </w:rPr>
        <w:t> </w:t>
      </w:r>
      <w:r>
        <w:rPr>
          <w:sz w:val="19"/>
        </w:rPr>
        <w:t>1</w:t>
      </w:r>
      <w:r>
        <w:rPr>
          <w:spacing w:val="18"/>
          <w:sz w:val="19"/>
        </w:rPr>
        <w:t> </w:t>
      </w:r>
      <w:r>
        <w:rPr>
          <w:sz w:val="19"/>
        </w:rPr>
        <w:t>=</w:t>
      </w:r>
      <w:r>
        <w:rPr>
          <w:spacing w:val="22"/>
          <w:sz w:val="19"/>
        </w:rPr>
        <w:t> </w:t>
      </w:r>
      <w:r>
        <w:rPr>
          <w:sz w:val="19"/>
        </w:rPr>
        <w:t>No</w:t>
      </w:r>
      <w:r>
        <w:rPr>
          <w:spacing w:val="18"/>
          <w:sz w:val="19"/>
        </w:rPr>
        <w:t> </w:t>
      </w:r>
      <w:r>
        <w:rPr>
          <w:sz w:val="19"/>
        </w:rPr>
        <w:t>poverty;</w:t>
      </w:r>
      <w:r>
        <w:rPr>
          <w:spacing w:val="15"/>
          <w:sz w:val="19"/>
        </w:rPr>
        <w:t> </w:t>
      </w:r>
      <w:r>
        <w:rPr>
          <w:sz w:val="19"/>
        </w:rPr>
        <w:t>SDG</w:t>
      </w:r>
      <w:r>
        <w:rPr>
          <w:spacing w:val="21"/>
          <w:sz w:val="19"/>
        </w:rPr>
        <w:t> </w:t>
      </w:r>
      <w:r>
        <w:rPr>
          <w:sz w:val="19"/>
        </w:rPr>
        <w:t>2</w:t>
      </w:r>
      <w:r>
        <w:rPr>
          <w:spacing w:val="18"/>
          <w:sz w:val="19"/>
        </w:rPr>
        <w:t> </w:t>
      </w:r>
      <w:r>
        <w:rPr>
          <w:sz w:val="19"/>
        </w:rPr>
        <w:t>=</w:t>
      </w:r>
      <w:r>
        <w:rPr>
          <w:spacing w:val="22"/>
          <w:sz w:val="19"/>
        </w:rPr>
        <w:t> </w:t>
      </w:r>
      <w:r>
        <w:rPr>
          <w:sz w:val="19"/>
        </w:rPr>
        <w:t>Zero</w:t>
      </w:r>
      <w:r>
        <w:rPr>
          <w:spacing w:val="18"/>
          <w:sz w:val="19"/>
        </w:rPr>
        <w:t> </w:t>
      </w:r>
      <w:r>
        <w:rPr>
          <w:sz w:val="19"/>
        </w:rPr>
        <w:t>hunger;</w:t>
      </w:r>
      <w:r>
        <w:rPr>
          <w:spacing w:val="35"/>
          <w:sz w:val="19"/>
        </w:rPr>
        <w:t> </w:t>
      </w:r>
      <w:r>
        <w:rPr>
          <w:sz w:val="19"/>
        </w:rPr>
        <w:t>SDG</w:t>
      </w:r>
      <w:r>
        <w:rPr>
          <w:spacing w:val="40"/>
          <w:sz w:val="19"/>
        </w:rPr>
        <w:t> </w:t>
      </w:r>
      <w:r>
        <w:rPr>
          <w:sz w:val="19"/>
        </w:rPr>
        <w:t>3</w:t>
      </w:r>
      <w:r>
        <w:rPr>
          <w:spacing w:val="18"/>
          <w:sz w:val="19"/>
        </w:rPr>
        <w:t> </w:t>
      </w:r>
      <w:r>
        <w:rPr>
          <w:sz w:val="19"/>
        </w:rPr>
        <w:t>= Good</w:t>
      </w:r>
      <w:r>
        <w:rPr>
          <w:spacing w:val="18"/>
          <w:sz w:val="19"/>
        </w:rPr>
        <w:t> </w:t>
      </w:r>
      <w:r>
        <w:rPr>
          <w:sz w:val="19"/>
        </w:rPr>
        <w:t>health</w:t>
      </w:r>
      <w:r>
        <w:rPr>
          <w:spacing w:val="18"/>
          <w:sz w:val="19"/>
        </w:rPr>
        <w:t> </w:t>
      </w:r>
      <w:r>
        <w:rPr>
          <w:sz w:val="19"/>
        </w:rPr>
        <w:t>and</w:t>
      </w:r>
      <w:r>
        <w:rPr>
          <w:spacing w:val="18"/>
          <w:sz w:val="19"/>
        </w:rPr>
        <w:t> </w:t>
      </w:r>
      <w:r>
        <w:rPr>
          <w:sz w:val="19"/>
        </w:rPr>
        <w:t>well-being;</w:t>
      </w:r>
      <w:r>
        <w:rPr>
          <w:spacing w:val="35"/>
          <w:sz w:val="19"/>
        </w:rPr>
        <w:t> </w:t>
      </w:r>
      <w:r>
        <w:rPr>
          <w:sz w:val="19"/>
        </w:rPr>
        <w:t>SDG</w:t>
      </w:r>
      <w:r>
        <w:rPr>
          <w:spacing w:val="40"/>
          <w:sz w:val="19"/>
        </w:rPr>
        <w:t> </w:t>
      </w:r>
      <w:r>
        <w:rPr>
          <w:sz w:val="19"/>
        </w:rPr>
        <w:t>4</w:t>
      </w:r>
      <w:r>
        <w:rPr>
          <w:spacing w:val="18"/>
          <w:sz w:val="19"/>
        </w:rPr>
        <w:t> </w:t>
      </w:r>
      <w:r>
        <w:rPr>
          <w:sz w:val="19"/>
        </w:rPr>
        <w:t>=</w:t>
      </w:r>
      <w:r>
        <w:rPr>
          <w:spacing w:val="22"/>
          <w:sz w:val="19"/>
        </w:rPr>
        <w:t> </w:t>
      </w:r>
      <w:r>
        <w:rPr>
          <w:sz w:val="19"/>
        </w:rPr>
        <w:t>Quality</w:t>
      </w:r>
      <w:r>
        <w:rPr>
          <w:spacing w:val="18"/>
          <w:sz w:val="19"/>
        </w:rPr>
        <w:t> </w:t>
      </w:r>
      <w:r>
        <w:rPr>
          <w:sz w:val="19"/>
        </w:rPr>
        <w:t>education;</w:t>
      </w:r>
      <w:r>
        <w:rPr>
          <w:spacing w:val="15"/>
          <w:sz w:val="19"/>
        </w:rPr>
        <w:t> </w:t>
      </w:r>
      <w:r>
        <w:rPr>
          <w:sz w:val="19"/>
        </w:rPr>
        <w:t>SDG 5</w:t>
      </w:r>
      <w:r>
        <w:rPr>
          <w:spacing w:val="18"/>
          <w:sz w:val="19"/>
        </w:rPr>
        <w:t> </w:t>
      </w:r>
      <w:r>
        <w:rPr>
          <w:sz w:val="19"/>
        </w:rPr>
        <w:t>=</w:t>
      </w:r>
      <w:r>
        <w:rPr>
          <w:spacing w:val="22"/>
          <w:sz w:val="19"/>
        </w:rPr>
        <w:t> </w:t>
      </w:r>
      <w:r>
        <w:rPr>
          <w:sz w:val="19"/>
        </w:rPr>
        <w:t>Gender equality;</w:t>
      </w:r>
      <w:r>
        <w:rPr>
          <w:spacing w:val="15"/>
          <w:sz w:val="19"/>
        </w:rPr>
        <w:t> </w:t>
      </w:r>
      <w:r>
        <w:rPr>
          <w:sz w:val="19"/>
        </w:rPr>
        <w:t>SDG</w:t>
      </w:r>
      <w:r>
        <w:rPr>
          <w:spacing w:val="21"/>
          <w:sz w:val="19"/>
        </w:rPr>
        <w:t> </w:t>
      </w:r>
      <w:r>
        <w:rPr>
          <w:sz w:val="19"/>
        </w:rPr>
        <w:t>6</w:t>
      </w:r>
      <w:r>
        <w:rPr>
          <w:spacing w:val="18"/>
          <w:sz w:val="19"/>
        </w:rPr>
        <w:t> </w:t>
      </w:r>
      <w:r>
        <w:rPr>
          <w:sz w:val="19"/>
        </w:rPr>
        <w:t>=</w:t>
      </w:r>
      <w:r>
        <w:rPr>
          <w:spacing w:val="22"/>
          <w:sz w:val="19"/>
        </w:rPr>
        <w:t> </w:t>
      </w:r>
      <w:r>
        <w:rPr>
          <w:sz w:val="19"/>
        </w:rPr>
        <w:t>Clean</w:t>
      </w:r>
      <w:r>
        <w:rPr>
          <w:spacing w:val="18"/>
          <w:sz w:val="19"/>
        </w:rPr>
        <w:t> </w:t>
      </w:r>
      <w:r>
        <w:rPr>
          <w:sz w:val="19"/>
        </w:rPr>
        <w:t>water and</w:t>
      </w:r>
      <w:r>
        <w:rPr>
          <w:spacing w:val="35"/>
          <w:sz w:val="19"/>
        </w:rPr>
        <w:t> </w:t>
      </w:r>
      <w:r>
        <w:rPr>
          <w:sz w:val="19"/>
        </w:rPr>
        <w:t>sanitation;</w:t>
      </w:r>
      <w:r>
        <w:rPr>
          <w:spacing w:val="32"/>
          <w:sz w:val="19"/>
        </w:rPr>
        <w:t> </w:t>
      </w:r>
      <w:r>
        <w:rPr>
          <w:sz w:val="19"/>
        </w:rPr>
        <w:t>SDG</w:t>
      </w:r>
      <w:r>
        <w:rPr>
          <w:spacing w:val="14"/>
          <w:sz w:val="19"/>
        </w:rPr>
        <w:t> </w:t>
      </w:r>
      <w:r>
        <w:rPr>
          <w:sz w:val="19"/>
        </w:rPr>
        <w:t>7</w:t>
      </w:r>
      <w:r>
        <w:rPr>
          <w:spacing w:val="35"/>
          <w:sz w:val="19"/>
        </w:rPr>
        <w:t> </w:t>
      </w:r>
      <w:r>
        <w:rPr>
          <w:sz w:val="19"/>
        </w:rPr>
        <w:t>=</w:t>
      </w:r>
      <w:r>
        <w:rPr>
          <w:spacing w:val="16"/>
          <w:sz w:val="19"/>
        </w:rPr>
        <w:t> </w:t>
      </w:r>
      <w:r>
        <w:rPr>
          <w:sz w:val="19"/>
        </w:rPr>
        <w:t>Affordable</w:t>
      </w:r>
      <w:r>
        <w:rPr>
          <w:spacing w:val="29"/>
          <w:sz w:val="19"/>
        </w:rPr>
        <w:t> </w:t>
      </w:r>
      <w:r>
        <w:rPr>
          <w:sz w:val="19"/>
        </w:rPr>
        <w:t>and</w:t>
      </w:r>
      <w:r>
        <w:rPr>
          <w:spacing w:val="35"/>
          <w:sz w:val="19"/>
        </w:rPr>
        <w:t> </w:t>
      </w:r>
      <w:r>
        <w:rPr>
          <w:sz w:val="19"/>
        </w:rPr>
        <w:t>clean</w:t>
      </w:r>
      <w:r>
        <w:rPr>
          <w:spacing w:val="35"/>
          <w:sz w:val="19"/>
        </w:rPr>
        <w:t> </w:t>
      </w:r>
      <w:r>
        <w:rPr>
          <w:sz w:val="19"/>
        </w:rPr>
        <w:t>energy;</w:t>
      </w:r>
      <w:r>
        <w:rPr>
          <w:spacing w:val="32"/>
          <w:sz w:val="19"/>
        </w:rPr>
        <w:t> </w:t>
      </w:r>
      <w:r>
        <w:rPr>
          <w:sz w:val="19"/>
        </w:rPr>
        <w:t>SDG</w:t>
      </w:r>
      <w:r>
        <w:rPr>
          <w:spacing w:val="14"/>
          <w:sz w:val="19"/>
        </w:rPr>
        <w:t> </w:t>
      </w:r>
      <w:r>
        <w:rPr>
          <w:sz w:val="19"/>
        </w:rPr>
        <w:t>8</w:t>
      </w:r>
      <w:r>
        <w:rPr>
          <w:spacing w:val="35"/>
          <w:sz w:val="19"/>
        </w:rPr>
        <w:t> </w:t>
      </w:r>
      <w:r>
        <w:rPr>
          <w:sz w:val="19"/>
        </w:rPr>
        <w:t>=</w:t>
      </w:r>
      <w:r>
        <w:rPr>
          <w:spacing w:val="16"/>
          <w:sz w:val="19"/>
        </w:rPr>
        <w:t> </w:t>
      </w:r>
      <w:r>
        <w:rPr>
          <w:sz w:val="19"/>
        </w:rPr>
        <w:t>Decent</w:t>
      </w:r>
      <w:r>
        <w:rPr>
          <w:spacing w:val="40"/>
          <w:sz w:val="19"/>
        </w:rPr>
        <w:t> </w:t>
      </w:r>
      <w:r>
        <w:rPr>
          <w:sz w:val="19"/>
        </w:rPr>
        <w:t>work</w:t>
      </w:r>
      <w:r>
        <w:rPr>
          <w:spacing w:val="35"/>
          <w:sz w:val="19"/>
        </w:rPr>
        <w:t> </w:t>
      </w:r>
      <w:r>
        <w:rPr>
          <w:sz w:val="19"/>
        </w:rPr>
        <w:t>and</w:t>
      </w:r>
      <w:r>
        <w:rPr>
          <w:spacing w:val="35"/>
          <w:sz w:val="19"/>
        </w:rPr>
        <w:t> </w:t>
      </w:r>
      <w:r>
        <w:rPr>
          <w:sz w:val="19"/>
        </w:rPr>
        <w:t>economic</w:t>
      </w:r>
      <w:r>
        <w:rPr>
          <w:spacing w:val="29"/>
          <w:sz w:val="19"/>
        </w:rPr>
        <w:t> </w:t>
      </w:r>
      <w:r>
        <w:rPr>
          <w:sz w:val="19"/>
        </w:rPr>
        <w:t>growth;</w:t>
      </w:r>
      <w:r>
        <w:rPr>
          <w:spacing w:val="32"/>
          <w:sz w:val="19"/>
        </w:rPr>
        <w:t> </w:t>
      </w:r>
      <w:r>
        <w:rPr>
          <w:sz w:val="19"/>
        </w:rPr>
        <w:t>SDG</w:t>
      </w:r>
      <w:r>
        <w:rPr>
          <w:spacing w:val="39"/>
          <w:sz w:val="19"/>
        </w:rPr>
        <w:t> </w:t>
      </w:r>
      <w:r>
        <w:rPr>
          <w:sz w:val="19"/>
        </w:rPr>
        <w:t>9</w:t>
      </w:r>
      <w:r>
        <w:rPr>
          <w:spacing w:val="35"/>
          <w:sz w:val="19"/>
        </w:rPr>
        <w:t> </w:t>
      </w:r>
      <w:r>
        <w:rPr>
          <w:sz w:val="19"/>
        </w:rPr>
        <w:t>=</w:t>
      </w:r>
      <w:r>
        <w:rPr>
          <w:spacing w:val="40"/>
          <w:sz w:val="19"/>
        </w:rPr>
        <w:t> </w:t>
      </w:r>
      <w:r>
        <w:rPr>
          <w:sz w:val="19"/>
        </w:rPr>
        <w:t>Industry,</w:t>
      </w:r>
      <w:r>
        <w:rPr>
          <w:spacing w:val="18"/>
          <w:sz w:val="19"/>
        </w:rPr>
        <w:t> </w:t>
      </w:r>
      <w:r>
        <w:rPr>
          <w:sz w:val="19"/>
        </w:rPr>
        <w:t>innovation</w:t>
      </w:r>
      <w:r>
        <w:rPr>
          <w:spacing w:val="35"/>
          <w:sz w:val="19"/>
        </w:rPr>
        <w:t> </w:t>
      </w:r>
      <w:r>
        <w:rPr>
          <w:sz w:val="19"/>
        </w:rPr>
        <w:t>and</w:t>
      </w:r>
      <w:r>
        <w:rPr>
          <w:spacing w:val="35"/>
          <w:sz w:val="19"/>
        </w:rPr>
        <w:t> </w:t>
      </w:r>
      <w:r>
        <w:rPr>
          <w:sz w:val="19"/>
        </w:rPr>
        <w:t>infrastructure;</w:t>
      </w:r>
      <w:r>
        <w:rPr>
          <w:spacing w:val="32"/>
          <w:sz w:val="19"/>
        </w:rPr>
        <w:t> </w:t>
      </w:r>
      <w:r>
        <w:rPr>
          <w:sz w:val="19"/>
        </w:rPr>
        <w:t>SDG</w:t>
      </w:r>
      <w:r>
        <w:rPr>
          <w:spacing w:val="14"/>
          <w:sz w:val="19"/>
        </w:rPr>
        <w:t> </w:t>
      </w:r>
      <w:r>
        <w:rPr>
          <w:sz w:val="19"/>
        </w:rPr>
        <w:t>10</w:t>
      </w:r>
      <w:r>
        <w:rPr>
          <w:spacing w:val="35"/>
          <w:sz w:val="19"/>
        </w:rPr>
        <w:t> </w:t>
      </w:r>
      <w:r>
        <w:rPr>
          <w:sz w:val="19"/>
        </w:rPr>
        <w:t>=</w:t>
      </w:r>
      <w:r>
        <w:rPr>
          <w:spacing w:val="16"/>
          <w:sz w:val="19"/>
        </w:rPr>
        <w:t> </w:t>
      </w:r>
      <w:r>
        <w:rPr>
          <w:sz w:val="19"/>
        </w:rPr>
        <w:t>Reduced inequalities;</w:t>
      </w:r>
      <w:r>
        <w:rPr>
          <w:spacing w:val="40"/>
          <w:sz w:val="19"/>
        </w:rPr>
        <w:t> </w:t>
      </w:r>
      <w:r>
        <w:rPr>
          <w:sz w:val="19"/>
        </w:rPr>
        <w:t>SDG</w:t>
      </w:r>
      <w:r>
        <w:rPr>
          <w:spacing w:val="62"/>
          <w:sz w:val="19"/>
        </w:rPr>
        <w:t> </w:t>
      </w:r>
      <w:r>
        <w:rPr>
          <w:sz w:val="19"/>
        </w:rPr>
        <w:t>11</w:t>
      </w:r>
      <w:r>
        <w:rPr>
          <w:spacing w:val="35"/>
          <w:sz w:val="19"/>
        </w:rPr>
        <w:t> </w:t>
      </w:r>
      <w:r>
        <w:rPr>
          <w:sz w:val="19"/>
        </w:rPr>
        <w:t>=</w:t>
      </w:r>
      <w:r>
        <w:rPr>
          <w:spacing w:val="16"/>
          <w:sz w:val="19"/>
        </w:rPr>
        <w:t> </w:t>
      </w:r>
      <w:r>
        <w:rPr>
          <w:sz w:val="19"/>
        </w:rPr>
        <w:t>Sustainable</w:t>
      </w:r>
      <w:r>
        <w:rPr>
          <w:spacing w:val="29"/>
          <w:sz w:val="19"/>
        </w:rPr>
        <w:t> </w:t>
      </w:r>
      <w:r>
        <w:rPr>
          <w:sz w:val="19"/>
        </w:rPr>
        <w:t>cities</w:t>
      </w:r>
      <w:r>
        <w:rPr>
          <w:spacing w:val="22"/>
          <w:sz w:val="19"/>
        </w:rPr>
        <w:t> </w:t>
      </w:r>
      <w:r>
        <w:rPr>
          <w:sz w:val="19"/>
        </w:rPr>
        <w:t>and</w:t>
      </w:r>
      <w:r>
        <w:rPr>
          <w:spacing w:val="35"/>
          <w:sz w:val="19"/>
        </w:rPr>
        <w:t> </w:t>
      </w:r>
      <w:r>
        <w:rPr>
          <w:sz w:val="19"/>
        </w:rPr>
        <w:t>communities;</w:t>
      </w:r>
      <w:r>
        <w:rPr>
          <w:spacing w:val="32"/>
          <w:sz w:val="19"/>
        </w:rPr>
        <w:t> </w:t>
      </w:r>
      <w:r>
        <w:rPr>
          <w:sz w:val="19"/>
        </w:rPr>
        <w:t>SDG</w:t>
      </w:r>
      <w:r>
        <w:rPr>
          <w:spacing w:val="14"/>
          <w:sz w:val="19"/>
        </w:rPr>
        <w:t> </w:t>
      </w:r>
      <w:r>
        <w:rPr>
          <w:sz w:val="19"/>
        </w:rPr>
        <w:t>12</w:t>
      </w:r>
      <w:r>
        <w:rPr>
          <w:spacing w:val="35"/>
          <w:sz w:val="19"/>
        </w:rPr>
        <w:t> </w:t>
      </w:r>
      <w:r>
        <w:rPr>
          <w:sz w:val="19"/>
        </w:rPr>
        <w:t>=</w:t>
      </w:r>
      <w:r>
        <w:rPr>
          <w:spacing w:val="40"/>
          <w:sz w:val="19"/>
        </w:rPr>
        <w:t> </w:t>
      </w:r>
      <w:r>
        <w:rPr>
          <w:sz w:val="19"/>
        </w:rPr>
        <w:t>Responsible</w:t>
      </w:r>
      <w:r>
        <w:rPr>
          <w:spacing w:val="29"/>
          <w:sz w:val="19"/>
        </w:rPr>
        <w:t> </w:t>
      </w:r>
      <w:r>
        <w:rPr>
          <w:sz w:val="19"/>
        </w:rPr>
        <w:t>consumption</w:t>
      </w:r>
      <w:r>
        <w:rPr>
          <w:spacing w:val="35"/>
          <w:sz w:val="19"/>
        </w:rPr>
        <w:t> </w:t>
      </w:r>
      <w:r>
        <w:rPr>
          <w:sz w:val="19"/>
        </w:rPr>
        <w:t>and</w:t>
      </w:r>
      <w:r>
        <w:rPr>
          <w:spacing w:val="35"/>
          <w:sz w:val="19"/>
        </w:rPr>
        <w:t> </w:t>
      </w:r>
      <w:r>
        <w:rPr>
          <w:sz w:val="19"/>
        </w:rPr>
        <w:t>production;</w:t>
      </w:r>
      <w:r>
        <w:rPr>
          <w:spacing w:val="32"/>
          <w:sz w:val="19"/>
        </w:rPr>
        <w:t> </w:t>
      </w:r>
      <w:r>
        <w:rPr>
          <w:sz w:val="19"/>
        </w:rPr>
        <w:t>SDG</w:t>
      </w:r>
      <w:r>
        <w:rPr>
          <w:spacing w:val="14"/>
          <w:sz w:val="19"/>
        </w:rPr>
        <w:t> </w:t>
      </w:r>
      <w:r>
        <w:rPr>
          <w:sz w:val="19"/>
        </w:rPr>
        <w:t>13</w:t>
      </w:r>
      <w:r>
        <w:rPr>
          <w:spacing w:val="35"/>
          <w:sz w:val="19"/>
        </w:rPr>
        <w:t> </w:t>
      </w:r>
      <w:r>
        <w:rPr>
          <w:sz w:val="19"/>
        </w:rPr>
        <w:t>=</w:t>
      </w:r>
      <w:r>
        <w:rPr>
          <w:spacing w:val="16"/>
          <w:sz w:val="19"/>
        </w:rPr>
        <w:t> </w:t>
      </w:r>
      <w:r>
        <w:rPr>
          <w:sz w:val="19"/>
        </w:rPr>
        <w:t>Climate</w:t>
      </w:r>
      <w:r>
        <w:rPr>
          <w:spacing w:val="69"/>
          <w:sz w:val="19"/>
        </w:rPr>
        <w:t> </w:t>
      </w:r>
      <w:r>
        <w:rPr>
          <w:sz w:val="19"/>
        </w:rPr>
        <w:t>action;</w:t>
      </w:r>
      <w:r>
        <w:rPr>
          <w:spacing w:val="32"/>
          <w:sz w:val="19"/>
        </w:rPr>
        <w:t> </w:t>
      </w:r>
      <w:r>
        <w:rPr>
          <w:sz w:val="19"/>
        </w:rPr>
        <w:t>SDG</w:t>
      </w:r>
      <w:r>
        <w:rPr>
          <w:spacing w:val="14"/>
          <w:sz w:val="19"/>
        </w:rPr>
        <w:t> </w:t>
      </w:r>
      <w:r>
        <w:rPr>
          <w:sz w:val="19"/>
        </w:rPr>
        <w:t>14</w:t>
      </w:r>
      <w:r>
        <w:rPr>
          <w:spacing w:val="35"/>
          <w:sz w:val="19"/>
        </w:rPr>
        <w:t> </w:t>
      </w:r>
      <w:r>
        <w:rPr>
          <w:sz w:val="19"/>
        </w:rPr>
        <w:t>=</w:t>
      </w:r>
      <w:r>
        <w:rPr>
          <w:spacing w:val="16"/>
          <w:sz w:val="19"/>
        </w:rPr>
        <w:t> </w:t>
      </w:r>
      <w:r>
        <w:rPr>
          <w:sz w:val="19"/>
        </w:rPr>
        <w:t>Life</w:t>
      </w:r>
      <w:r>
        <w:rPr>
          <w:spacing w:val="29"/>
          <w:sz w:val="19"/>
        </w:rPr>
        <w:t> </w:t>
      </w:r>
      <w:r>
        <w:rPr>
          <w:sz w:val="19"/>
        </w:rPr>
        <w:t>below</w:t>
      </w:r>
      <w:r>
        <w:rPr>
          <w:spacing w:val="14"/>
          <w:sz w:val="19"/>
        </w:rPr>
        <w:t> </w:t>
      </w:r>
      <w:r>
        <w:rPr>
          <w:sz w:val="19"/>
        </w:rPr>
        <w:t>water;</w:t>
      </w:r>
    </w:p>
    <w:p>
      <w:pPr>
        <w:spacing w:line="199" w:lineRule="exact" w:before="0"/>
        <w:ind w:left="121" w:right="0" w:firstLine="0"/>
        <w:jc w:val="left"/>
        <w:rPr>
          <w:sz w:val="19"/>
        </w:rPr>
      </w:pPr>
      <w:r>
        <w:rPr>
          <w:sz w:val="19"/>
        </w:rPr>
        <w:t>SDG</w:t>
      </w:r>
      <w:r>
        <w:rPr>
          <w:spacing w:val="40"/>
          <w:sz w:val="19"/>
        </w:rPr>
        <w:t> </w:t>
      </w:r>
      <w:r>
        <w:rPr>
          <w:sz w:val="19"/>
        </w:rPr>
        <w:t>15</w:t>
      </w:r>
      <w:r>
        <w:rPr>
          <w:spacing w:val="18"/>
          <w:sz w:val="19"/>
        </w:rPr>
        <w:t> </w:t>
      </w:r>
      <w:r>
        <w:rPr>
          <w:sz w:val="19"/>
        </w:rPr>
        <w:t>=</w:t>
      </w:r>
      <w:r>
        <w:rPr>
          <w:spacing w:val="22"/>
          <w:sz w:val="19"/>
        </w:rPr>
        <w:t> </w:t>
      </w:r>
      <w:r>
        <w:rPr>
          <w:sz w:val="19"/>
        </w:rPr>
        <w:t>Life</w:t>
      </w:r>
      <w:r>
        <w:rPr>
          <w:spacing w:val="14"/>
          <w:sz w:val="19"/>
        </w:rPr>
        <w:t> </w:t>
      </w:r>
      <w:r>
        <w:rPr>
          <w:sz w:val="19"/>
        </w:rPr>
        <w:t>on</w:t>
      </w:r>
      <w:r>
        <w:rPr>
          <w:spacing w:val="18"/>
          <w:sz w:val="19"/>
        </w:rPr>
        <w:t> </w:t>
      </w:r>
      <w:r>
        <w:rPr>
          <w:sz w:val="19"/>
        </w:rPr>
        <w:t>land;</w:t>
      </w:r>
      <w:r>
        <w:rPr>
          <w:spacing w:val="16"/>
          <w:sz w:val="19"/>
        </w:rPr>
        <w:t> </w:t>
      </w:r>
      <w:r>
        <w:rPr>
          <w:sz w:val="19"/>
        </w:rPr>
        <w:t>SDG</w:t>
      </w:r>
      <w:r>
        <w:rPr>
          <w:spacing w:val="21"/>
          <w:sz w:val="19"/>
        </w:rPr>
        <w:t> </w:t>
      </w:r>
      <w:r>
        <w:rPr>
          <w:sz w:val="19"/>
        </w:rPr>
        <w:t>16</w:t>
      </w:r>
      <w:r>
        <w:rPr>
          <w:spacing w:val="18"/>
          <w:sz w:val="19"/>
        </w:rPr>
        <w:t> </w:t>
      </w:r>
      <w:r>
        <w:rPr>
          <w:sz w:val="19"/>
        </w:rPr>
        <w:t>=</w:t>
      </w:r>
      <w:r>
        <w:rPr>
          <w:spacing w:val="3"/>
          <w:sz w:val="19"/>
        </w:rPr>
        <w:t> </w:t>
      </w:r>
      <w:r>
        <w:rPr>
          <w:sz w:val="19"/>
        </w:rPr>
        <w:t>Peace,</w:t>
      </w:r>
      <w:r>
        <w:rPr>
          <w:spacing w:val="4"/>
          <w:sz w:val="19"/>
        </w:rPr>
        <w:t> </w:t>
      </w:r>
      <w:r>
        <w:rPr>
          <w:sz w:val="19"/>
        </w:rPr>
        <w:t>justice</w:t>
      </w:r>
      <w:r>
        <w:rPr>
          <w:spacing w:val="14"/>
          <w:sz w:val="19"/>
        </w:rPr>
        <w:t> </w:t>
      </w:r>
      <w:r>
        <w:rPr>
          <w:sz w:val="19"/>
        </w:rPr>
        <w:t>and</w:t>
      </w:r>
      <w:r>
        <w:rPr>
          <w:spacing w:val="18"/>
          <w:sz w:val="19"/>
        </w:rPr>
        <w:t> </w:t>
      </w:r>
      <w:r>
        <w:rPr>
          <w:sz w:val="19"/>
        </w:rPr>
        <w:t>strong</w:t>
      </w:r>
      <w:r>
        <w:rPr>
          <w:spacing w:val="-1"/>
          <w:sz w:val="19"/>
        </w:rPr>
        <w:t> </w:t>
      </w:r>
      <w:r>
        <w:rPr>
          <w:sz w:val="19"/>
        </w:rPr>
        <w:t>institutions;</w:t>
      </w:r>
      <w:r>
        <w:rPr>
          <w:spacing w:val="16"/>
          <w:sz w:val="19"/>
        </w:rPr>
        <w:t> </w:t>
      </w:r>
      <w:r>
        <w:rPr>
          <w:sz w:val="19"/>
        </w:rPr>
        <w:t>SDG</w:t>
      </w:r>
      <w:r>
        <w:rPr>
          <w:spacing w:val="40"/>
          <w:sz w:val="19"/>
        </w:rPr>
        <w:t> </w:t>
      </w:r>
      <w:r>
        <w:rPr>
          <w:sz w:val="19"/>
        </w:rPr>
        <w:t>17</w:t>
      </w:r>
      <w:r>
        <w:rPr>
          <w:spacing w:val="19"/>
          <w:sz w:val="19"/>
        </w:rPr>
        <w:t> </w:t>
      </w:r>
      <w:r>
        <w:rPr>
          <w:sz w:val="19"/>
        </w:rPr>
        <w:t>=</w:t>
      </w:r>
      <w:r>
        <w:rPr>
          <w:spacing w:val="3"/>
          <w:sz w:val="19"/>
        </w:rPr>
        <w:t> </w:t>
      </w:r>
      <w:r>
        <w:rPr>
          <w:sz w:val="19"/>
        </w:rPr>
        <w:t>Partnerships</w:t>
      </w:r>
      <w:r>
        <w:rPr>
          <w:spacing w:val="27"/>
          <w:sz w:val="19"/>
        </w:rPr>
        <w:t> </w:t>
      </w:r>
      <w:r>
        <w:rPr>
          <w:sz w:val="19"/>
        </w:rPr>
        <w:t>for</w:t>
      </w:r>
      <w:r>
        <w:rPr>
          <w:spacing w:val="3"/>
          <w:sz w:val="19"/>
        </w:rPr>
        <w:t> </w:t>
      </w:r>
      <w:r>
        <w:rPr>
          <w:sz w:val="19"/>
        </w:rPr>
        <w:t>the</w:t>
      </w:r>
      <w:r>
        <w:rPr>
          <w:spacing w:val="13"/>
          <w:sz w:val="19"/>
        </w:rPr>
        <w:t> </w:t>
      </w:r>
      <w:r>
        <w:rPr>
          <w:spacing w:val="-2"/>
          <w:sz w:val="19"/>
        </w:rPr>
        <w:t>goals.</w:t>
      </w:r>
    </w:p>
    <w:p>
      <w:pPr>
        <w:pStyle w:val="BodyText"/>
        <w:spacing w:before="3"/>
        <w:ind w:left="0"/>
        <w:jc w:val="left"/>
        <w:rPr>
          <w:sz w:val="17"/>
        </w:rPr>
      </w:pPr>
    </w:p>
    <w:p>
      <w:pPr>
        <w:spacing w:line="266" w:lineRule="auto" w:before="0"/>
        <w:ind w:left="121" w:right="20" w:firstLine="0"/>
        <w:jc w:val="left"/>
        <w:rPr>
          <w:sz w:val="19"/>
        </w:rPr>
      </w:pPr>
      <w:r>
        <w:rPr>
          <w:sz w:val="19"/>
        </w:rPr>
        <w:t>Panel A</w:t>
      </w:r>
      <w:r>
        <w:rPr>
          <w:spacing w:val="37"/>
          <w:sz w:val="19"/>
        </w:rPr>
        <w:t> </w:t>
      </w:r>
      <w:r>
        <w:rPr>
          <w:sz w:val="19"/>
        </w:rPr>
        <w:t>presents</w:t>
      </w:r>
      <w:r>
        <w:rPr>
          <w:spacing w:val="21"/>
          <w:sz w:val="19"/>
        </w:rPr>
        <w:t> </w:t>
      </w:r>
      <w:r>
        <w:rPr>
          <w:sz w:val="19"/>
        </w:rPr>
        <w:t>the</w:t>
      </w:r>
      <w:r>
        <w:rPr>
          <w:spacing w:val="28"/>
          <w:sz w:val="19"/>
        </w:rPr>
        <w:t> </w:t>
      </w:r>
      <w:r>
        <w:rPr>
          <w:sz w:val="19"/>
        </w:rPr>
        <w:t>distribution</w:t>
      </w:r>
      <w:r>
        <w:rPr>
          <w:spacing w:val="34"/>
          <w:sz w:val="19"/>
        </w:rPr>
        <w:t> </w:t>
      </w:r>
      <w:r>
        <w:rPr>
          <w:sz w:val="19"/>
        </w:rPr>
        <w:t>of</w:t>
      </w:r>
      <w:r>
        <w:rPr>
          <w:spacing w:val="39"/>
          <w:sz w:val="19"/>
        </w:rPr>
        <w:t> </w:t>
      </w:r>
      <w:r>
        <w:rPr>
          <w:sz w:val="19"/>
        </w:rPr>
        <w:t>impact</w:t>
      </w:r>
      <w:r>
        <w:rPr>
          <w:spacing w:val="31"/>
          <w:sz w:val="19"/>
        </w:rPr>
        <w:t> </w:t>
      </w:r>
      <w:r>
        <w:rPr>
          <w:sz w:val="19"/>
        </w:rPr>
        <w:t>investment</w:t>
      </w:r>
      <w:r>
        <w:rPr>
          <w:spacing w:val="31"/>
          <w:sz w:val="19"/>
        </w:rPr>
        <w:t> </w:t>
      </w:r>
      <w:r>
        <w:rPr>
          <w:sz w:val="19"/>
        </w:rPr>
        <w:t>deals</w:t>
      </w:r>
      <w:r>
        <w:rPr>
          <w:spacing w:val="21"/>
          <w:sz w:val="19"/>
        </w:rPr>
        <w:t> </w:t>
      </w:r>
      <w:r>
        <w:rPr>
          <w:sz w:val="19"/>
        </w:rPr>
        <w:t>across</w:t>
      </w:r>
      <w:r>
        <w:rPr>
          <w:spacing w:val="21"/>
          <w:sz w:val="19"/>
        </w:rPr>
        <w:t> </w:t>
      </w:r>
      <w:r>
        <w:rPr>
          <w:sz w:val="19"/>
        </w:rPr>
        <w:t>SDGs</w:t>
      </w:r>
      <w:r>
        <w:rPr>
          <w:spacing w:val="21"/>
          <w:sz w:val="19"/>
        </w:rPr>
        <w:t> </w:t>
      </w:r>
      <w:r>
        <w:rPr>
          <w:sz w:val="19"/>
        </w:rPr>
        <w:t>when</w:t>
      </w:r>
      <w:r>
        <w:rPr>
          <w:spacing w:val="34"/>
          <w:sz w:val="19"/>
        </w:rPr>
        <w:t> </w:t>
      </w:r>
      <w:r>
        <w:rPr>
          <w:sz w:val="19"/>
        </w:rPr>
        <w:t>a</w:t>
      </w:r>
      <w:r>
        <w:rPr>
          <w:spacing w:val="40"/>
          <w:sz w:val="19"/>
        </w:rPr>
        <w:t> </w:t>
      </w:r>
      <w:r>
        <w:rPr>
          <w:sz w:val="19"/>
        </w:rPr>
        <w:t>deal’s</w:t>
      </w:r>
      <w:r>
        <w:rPr>
          <w:spacing w:val="21"/>
          <w:sz w:val="19"/>
        </w:rPr>
        <w:t> </w:t>
      </w:r>
      <w:r>
        <w:rPr>
          <w:sz w:val="19"/>
        </w:rPr>
        <w:t>secondary</w:t>
      </w:r>
      <w:r>
        <w:rPr>
          <w:spacing w:val="34"/>
          <w:sz w:val="19"/>
        </w:rPr>
        <w:t> </w:t>
      </w:r>
      <w:r>
        <w:rPr>
          <w:sz w:val="19"/>
        </w:rPr>
        <w:t>SDGs</w:t>
      </w:r>
      <w:r>
        <w:rPr>
          <w:spacing w:val="21"/>
          <w:sz w:val="19"/>
        </w:rPr>
        <w:t> </w:t>
      </w:r>
      <w:r>
        <w:rPr>
          <w:sz w:val="19"/>
        </w:rPr>
        <w:t>are</w:t>
      </w:r>
      <w:r>
        <w:rPr>
          <w:spacing w:val="28"/>
          <w:sz w:val="19"/>
        </w:rPr>
        <w:t> </w:t>
      </w:r>
      <w:r>
        <w:rPr>
          <w:sz w:val="19"/>
        </w:rPr>
        <w:t>considered.</w:t>
      </w:r>
      <w:r>
        <w:rPr>
          <w:spacing w:val="16"/>
          <w:sz w:val="19"/>
        </w:rPr>
        <w:t> </w:t>
      </w:r>
      <w:r>
        <w:rPr>
          <w:sz w:val="19"/>
        </w:rPr>
        <w:t>Here,</w:t>
      </w:r>
      <w:r>
        <w:rPr>
          <w:spacing w:val="40"/>
          <w:sz w:val="19"/>
        </w:rPr>
        <w:t> </w:t>
      </w:r>
      <w:r>
        <w:rPr>
          <w:rFonts w:ascii="Symbol" w:hAnsi="Symbol"/>
          <w:sz w:val="18"/>
        </w:rPr>
        <w:t></w:t>
      </w:r>
      <w:r>
        <w:rPr>
          <w:spacing w:val="20"/>
          <w:sz w:val="18"/>
        </w:rPr>
        <w:t> </w:t>
      </w:r>
      <w:r>
        <w:rPr>
          <w:sz w:val="19"/>
        </w:rPr>
        <w:t>=</w:t>
      </w:r>
      <w:r>
        <w:rPr>
          <w:spacing w:val="39"/>
          <w:sz w:val="19"/>
        </w:rPr>
        <w:t> </w:t>
      </w:r>
      <w:r>
        <w:rPr>
          <w:sz w:val="19"/>
        </w:rPr>
        <w:t>SDGs</w:t>
      </w:r>
      <w:r>
        <w:rPr>
          <w:spacing w:val="67"/>
          <w:sz w:val="19"/>
        </w:rPr>
        <w:t> </w:t>
      </w:r>
      <w:r>
        <w:rPr>
          <w:sz w:val="19"/>
        </w:rPr>
        <w:t>whose</w:t>
      </w:r>
      <w:r>
        <w:rPr>
          <w:spacing w:val="40"/>
          <w:sz w:val="19"/>
        </w:rPr>
        <w:t> </w:t>
      </w:r>
      <w:r>
        <w:rPr>
          <w:sz w:val="19"/>
        </w:rPr>
        <w:t>representation</w:t>
      </w:r>
      <w:r>
        <w:rPr>
          <w:spacing w:val="34"/>
          <w:sz w:val="19"/>
        </w:rPr>
        <w:t> </w:t>
      </w:r>
      <w:r>
        <w:rPr>
          <w:sz w:val="19"/>
        </w:rPr>
        <w:t>in</w:t>
      </w:r>
      <w:r>
        <w:rPr>
          <w:spacing w:val="34"/>
          <w:sz w:val="19"/>
        </w:rPr>
        <w:t> </w:t>
      </w:r>
      <w:r>
        <w:rPr>
          <w:sz w:val="19"/>
        </w:rPr>
        <w:t>impact investment</w:t>
      </w:r>
      <w:r>
        <w:rPr>
          <w:spacing w:val="25"/>
          <w:sz w:val="19"/>
        </w:rPr>
        <w:t> </w:t>
      </w:r>
      <w:r>
        <w:rPr>
          <w:sz w:val="19"/>
        </w:rPr>
        <w:t>deals</w:t>
      </w:r>
      <w:r>
        <w:rPr>
          <w:spacing w:val="16"/>
          <w:sz w:val="19"/>
        </w:rPr>
        <w:t> </w:t>
      </w:r>
      <w:r>
        <w:rPr>
          <w:sz w:val="19"/>
        </w:rPr>
        <w:t>has</w:t>
      </w:r>
      <w:r>
        <w:rPr>
          <w:spacing w:val="16"/>
          <w:sz w:val="19"/>
        </w:rPr>
        <w:t> </w:t>
      </w:r>
      <w:r>
        <w:rPr>
          <w:sz w:val="19"/>
        </w:rPr>
        <w:t>seen</w:t>
      </w:r>
      <w:r>
        <w:rPr>
          <w:spacing w:val="28"/>
          <w:sz w:val="19"/>
        </w:rPr>
        <w:t> </w:t>
      </w:r>
      <w:r>
        <w:rPr>
          <w:sz w:val="19"/>
        </w:rPr>
        <w:t>a</w:t>
      </w:r>
      <w:r>
        <w:rPr>
          <w:spacing w:val="40"/>
          <w:sz w:val="19"/>
        </w:rPr>
        <w:t> </w:t>
      </w:r>
      <w:r>
        <w:rPr>
          <w:sz w:val="19"/>
        </w:rPr>
        <w:t>relatively</w:t>
      </w:r>
      <w:r>
        <w:rPr>
          <w:spacing w:val="28"/>
          <w:sz w:val="19"/>
        </w:rPr>
        <w:t> </w:t>
      </w:r>
      <w:r>
        <w:rPr>
          <w:sz w:val="19"/>
        </w:rPr>
        <w:t>large</w:t>
      </w:r>
      <w:r>
        <w:rPr>
          <w:spacing w:val="22"/>
          <w:sz w:val="19"/>
        </w:rPr>
        <w:t> </w:t>
      </w:r>
      <w:r>
        <w:rPr>
          <w:sz w:val="19"/>
        </w:rPr>
        <w:t>increase</w:t>
      </w:r>
      <w:r>
        <w:rPr>
          <w:spacing w:val="22"/>
          <w:sz w:val="19"/>
        </w:rPr>
        <w:t> </w:t>
      </w:r>
      <w:r>
        <w:rPr>
          <w:sz w:val="19"/>
        </w:rPr>
        <w:t>when</w:t>
      </w:r>
      <w:r>
        <w:rPr>
          <w:spacing w:val="28"/>
          <w:sz w:val="19"/>
        </w:rPr>
        <w:t> </w:t>
      </w:r>
      <w:r>
        <w:rPr>
          <w:sz w:val="19"/>
        </w:rPr>
        <w:t>compared</w:t>
      </w:r>
      <w:r>
        <w:rPr>
          <w:spacing w:val="28"/>
          <w:sz w:val="19"/>
        </w:rPr>
        <w:t> </w:t>
      </w:r>
      <w:r>
        <w:rPr>
          <w:sz w:val="19"/>
        </w:rPr>
        <w:t>to</w:t>
      </w:r>
      <w:r>
        <w:rPr>
          <w:spacing w:val="28"/>
          <w:sz w:val="19"/>
        </w:rPr>
        <w:t> </w:t>
      </w:r>
      <w:r>
        <w:rPr>
          <w:sz w:val="19"/>
        </w:rPr>
        <w:t>Panel A</w:t>
      </w:r>
      <w:r>
        <w:rPr>
          <w:spacing w:val="9"/>
          <w:sz w:val="19"/>
        </w:rPr>
        <w:t> </w:t>
      </w:r>
      <w:r>
        <w:rPr>
          <w:sz w:val="19"/>
        </w:rPr>
        <w:t>in</w:t>
      </w:r>
      <w:r>
        <w:rPr>
          <w:spacing w:val="28"/>
          <w:sz w:val="19"/>
        </w:rPr>
        <w:t> </w:t>
      </w:r>
      <w:r>
        <w:rPr>
          <w:sz w:val="19"/>
        </w:rPr>
        <w:t>Table</w:t>
      </w:r>
      <w:r>
        <w:rPr>
          <w:spacing w:val="22"/>
          <w:sz w:val="19"/>
        </w:rPr>
        <w:t> </w:t>
      </w:r>
      <w:r>
        <w:rPr>
          <w:sz w:val="19"/>
        </w:rPr>
        <w:t>2;</w:t>
      </w:r>
      <w:r>
        <w:rPr>
          <w:spacing w:val="40"/>
          <w:sz w:val="19"/>
        </w:rPr>
        <w:t> </w:t>
      </w:r>
      <w:r>
        <w:rPr>
          <w:rFonts w:ascii="Symbol" w:hAnsi="Symbol"/>
          <w:sz w:val="18"/>
        </w:rPr>
        <w:t></w:t>
      </w:r>
      <w:r>
        <w:rPr>
          <w:spacing w:val="15"/>
          <w:sz w:val="18"/>
        </w:rPr>
        <w:t> </w:t>
      </w:r>
      <w:r>
        <w:rPr>
          <w:sz w:val="19"/>
        </w:rPr>
        <w:t>=</w:t>
      </w:r>
      <w:r>
        <w:rPr>
          <w:spacing w:val="10"/>
          <w:sz w:val="19"/>
        </w:rPr>
        <w:t> </w:t>
      </w:r>
      <w:r>
        <w:rPr>
          <w:sz w:val="19"/>
        </w:rPr>
        <w:t>SDGs</w:t>
      </w:r>
      <w:r>
        <w:rPr>
          <w:spacing w:val="39"/>
          <w:sz w:val="19"/>
        </w:rPr>
        <w:t> </w:t>
      </w:r>
      <w:r>
        <w:rPr>
          <w:sz w:val="19"/>
        </w:rPr>
        <w:t>whose</w:t>
      </w:r>
      <w:r>
        <w:rPr>
          <w:spacing w:val="40"/>
          <w:sz w:val="19"/>
        </w:rPr>
        <w:t> </w:t>
      </w:r>
      <w:r>
        <w:rPr>
          <w:sz w:val="19"/>
        </w:rPr>
        <w:t>representation</w:t>
      </w:r>
      <w:r>
        <w:rPr>
          <w:spacing w:val="28"/>
          <w:sz w:val="19"/>
        </w:rPr>
        <w:t> </w:t>
      </w:r>
      <w:r>
        <w:rPr>
          <w:sz w:val="19"/>
        </w:rPr>
        <w:t>in</w:t>
      </w:r>
      <w:r>
        <w:rPr>
          <w:spacing w:val="28"/>
          <w:sz w:val="19"/>
        </w:rPr>
        <w:t> </w:t>
      </w:r>
      <w:r>
        <w:rPr>
          <w:sz w:val="19"/>
        </w:rPr>
        <w:t>impact</w:t>
      </w:r>
      <w:r>
        <w:rPr>
          <w:spacing w:val="25"/>
          <w:sz w:val="19"/>
        </w:rPr>
        <w:t> </w:t>
      </w:r>
      <w:r>
        <w:rPr>
          <w:sz w:val="19"/>
        </w:rPr>
        <w:t>investment</w:t>
      </w:r>
      <w:r>
        <w:rPr>
          <w:spacing w:val="25"/>
          <w:sz w:val="19"/>
        </w:rPr>
        <w:t> </w:t>
      </w:r>
      <w:r>
        <w:rPr>
          <w:sz w:val="19"/>
        </w:rPr>
        <w:t>deals</w:t>
      </w:r>
      <w:r>
        <w:rPr>
          <w:spacing w:val="16"/>
          <w:sz w:val="19"/>
        </w:rPr>
        <w:t> </w:t>
      </w:r>
      <w:r>
        <w:rPr>
          <w:sz w:val="19"/>
        </w:rPr>
        <w:t>has</w:t>
      </w:r>
      <w:r>
        <w:rPr>
          <w:spacing w:val="16"/>
          <w:sz w:val="19"/>
        </w:rPr>
        <w:t> </w:t>
      </w:r>
      <w:r>
        <w:rPr>
          <w:sz w:val="19"/>
        </w:rPr>
        <w:t>seen</w:t>
      </w:r>
      <w:r>
        <w:rPr>
          <w:spacing w:val="28"/>
          <w:sz w:val="19"/>
        </w:rPr>
        <w:t> </w:t>
      </w:r>
      <w:r>
        <w:rPr>
          <w:sz w:val="19"/>
        </w:rPr>
        <w:t>a</w:t>
      </w:r>
      <w:r>
        <w:rPr>
          <w:spacing w:val="40"/>
          <w:sz w:val="19"/>
        </w:rPr>
        <w:t> </w:t>
      </w:r>
      <w:r>
        <w:rPr>
          <w:sz w:val="19"/>
        </w:rPr>
        <w:t>decrease when</w:t>
      </w:r>
      <w:r>
        <w:rPr>
          <w:spacing w:val="28"/>
          <w:sz w:val="19"/>
        </w:rPr>
        <w:t> </w:t>
      </w:r>
      <w:r>
        <w:rPr>
          <w:sz w:val="19"/>
        </w:rPr>
        <w:t>compared</w:t>
      </w:r>
      <w:r>
        <w:rPr>
          <w:spacing w:val="28"/>
          <w:sz w:val="19"/>
        </w:rPr>
        <w:t> </w:t>
      </w:r>
      <w:r>
        <w:rPr>
          <w:sz w:val="19"/>
        </w:rPr>
        <w:t>to</w:t>
      </w:r>
      <w:r>
        <w:rPr>
          <w:spacing w:val="28"/>
          <w:sz w:val="19"/>
        </w:rPr>
        <w:t> </w:t>
      </w:r>
      <w:r>
        <w:rPr>
          <w:sz w:val="19"/>
        </w:rPr>
        <w:t>Panel A</w:t>
      </w:r>
      <w:r>
        <w:rPr>
          <w:spacing w:val="9"/>
          <w:sz w:val="19"/>
        </w:rPr>
        <w:t> </w:t>
      </w:r>
      <w:r>
        <w:rPr>
          <w:sz w:val="19"/>
        </w:rPr>
        <w:t>in</w:t>
      </w:r>
      <w:r>
        <w:rPr>
          <w:spacing w:val="28"/>
          <w:sz w:val="19"/>
        </w:rPr>
        <w:t> </w:t>
      </w:r>
      <w:r>
        <w:rPr>
          <w:sz w:val="19"/>
        </w:rPr>
        <w:t>Table</w:t>
      </w:r>
      <w:r>
        <w:rPr>
          <w:spacing w:val="22"/>
          <w:sz w:val="19"/>
        </w:rPr>
        <w:t> </w:t>
      </w:r>
      <w:r>
        <w:rPr>
          <w:sz w:val="19"/>
        </w:rPr>
        <w:t>2;</w:t>
      </w:r>
      <w:r>
        <w:rPr>
          <w:spacing w:val="25"/>
          <w:sz w:val="19"/>
        </w:rPr>
        <w:t> </w:t>
      </w:r>
      <w:r>
        <w:rPr>
          <w:sz w:val="19"/>
        </w:rPr>
        <w:t>and</w:t>
      </w:r>
      <w:r>
        <w:rPr>
          <w:spacing w:val="40"/>
          <w:sz w:val="19"/>
        </w:rPr>
        <w:t> </w:t>
      </w:r>
      <w:r>
        <w:rPr>
          <w:rFonts w:ascii="Symbol" w:hAnsi="Symbol"/>
          <w:sz w:val="18"/>
        </w:rPr>
        <w:t></w:t>
      </w:r>
      <w:r>
        <w:rPr>
          <w:spacing w:val="31"/>
          <w:sz w:val="18"/>
        </w:rPr>
        <w:t> </w:t>
      </w:r>
      <w:r>
        <w:rPr>
          <w:sz w:val="19"/>
        </w:rPr>
        <w:t>=</w:t>
      </w:r>
      <w:r>
        <w:rPr>
          <w:spacing w:val="10"/>
          <w:sz w:val="19"/>
        </w:rPr>
        <w:t> </w:t>
      </w:r>
      <w:r>
        <w:rPr>
          <w:sz w:val="19"/>
        </w:rPr>
        <w:t>SDGs</w:t>
      </w:r>
      <w:r>
        <w:rPr>
          <w:spacing w:val="16"/>
          <w:sz w:val="19"/>
        </w:rPr>
        <w:t> </w:t>
      </w:r>
      <w:r>
        <w:rPr>
          <w:sz w:val="19"/>
        </w:rPr>
        <w:t>whose</w:t>
      </w:r>
      <w:r>
        <w:rPr>
          <w:spacing w:val="40"/>
          <w:sz w:val="19"/>
        </w:rPr>
        <w:t> </w:t>
      </w:r>
      <w:r>
        <w:rPr>
          <w:sz w:val="19"/>
        </w:rPr>
        <w:t>representation</w:t>
      </w:r>
      <w:r>
        <w:rPr>
          <w:spacing w:val="28"/>
          <w:sz w:val="19"/>
        </w:rPr>
        <w:t> </w:t>
      </w:r>
      <w:r>
        <w:rPr>
          <w:sz w:val="19"/>
        </w:rPr>
        <w:t>in</w:t>
      </w:r>
      <w:r>
        <w:rPr>
          <w:spacing w:val="28"/>
          <w:sz w:val="19"/>
        </w:rPr>
        <w:t> </w:t>
      </w:r>
      <w:r>
        <w:rPr>
          <w:sz w:val="19"/>
        </w:rPr>
        <w:t>impact</w:t>
      </w:r>
      <w:r>
        <w:rPr>
          <w:spacing w:val="25"/>
          <w:sz w:val="19"/>
        </w:rPr>
        <w:t> </w:t>
      </w:r>
      <w:r>
        <w:rPr>
          <w:sz w:val="19"/>
        </w:rPr>
        <w:t>investment</w:t>
      </w:r>
      <w:r>
        <w:rPr>
          <w:spacing w:val="25"/>
          <w:sz w:val="19"/>
        </w:rPr>
        <w:t> </w:t>
      </w:r>
      <w:r>
        <w:rPr>
          <w:sz w:val="19"/>
        </w:rPr>
        <w:t>deals</w:t>
      </w:r>
      <w:r>
        <w:rPr>
          <w:spacing w:val="16"/>
          <w:sz w:val="19"/>
        </w:rPr>
        <w:t> </w:t>
      </w:r>
      <w:r>
        <w:rPr>
          <w:sz w:val="19"/>
        </w:rPr>
        <w:t>has</w:t>
      </w:r>
      <w:r>
        <w:rPr>
          <w:spacing w:val="16"/>
          <w:sz w:val="19"/>
        </w:rPr>
        <w:t> </w:t>
      </w:r>
      <w:r>
        <w:rPr>
          <w:sz w:val="19"/>
        </w:rPr>
        <w:t>seen</w:t>
      </w:r>
      <w:r>
        <w:rPr>
          <w:spacing w:val="28"/>
          <w:sz w:val="19"/>
        </w:rPr>
        <w:t> </w:t>
      </w:r>
      <w:r>
        <w:rPr>
          <w:sz w:val="19"/>
        </w:rPr>
        <w:t>a</w:t>
      </w:r>
      <w:r>
        <w:rPr>
          <w:spacing w:val="40"/>
          <w:sz w:val="19"/>
        </w:rPr>
        <w:t> </w:t>
      </w:r>
      <w:r>
        <w:rPr>
          <w:sz w:val="19"/>
        </w:rPr>
        <w:t>little</w:t>
      </w:r>
      <w:r>
        <w:rPr>
          <w:spacing w:val="22"/>
          <w:sz w:val="19"/>
        </w:rPr>
        <w:t> </w:t>
      </w:r>
      <w:r>
        <w:rPr>
          <w:sz w:val="19"/>
        </w:rPr>
        <w:t>or</w:t>
      </w:r>
      <w:r>
        <w:rPr>
          <w:spacing w:val="10"/>
          <w:sz w:val="19"/>
        </w:rPr>
        <w:t> </w:t>
      </w:r>
      <w:r>
        <w:rPr>
          <w:sz w:val="19"/>
        </w:rPr>
        <w:t>moderate</w:t>
      </w:r>
      <w:r>
        <w:rPr>
          <w:spacing w:val="22"/>
          <w:sz w:val="19"/>
        </w:rPr>
        <w:t> </w:t>
      </w:r>
      <w:r>
        <w:rPr>
          <w:sz w:val="19"/>
        </w:rPr>
        <w:t>increase</w:t>
      </w:r>
      <w:r>
        <w:rPr>
          <w:spacing w:val="22"/>
          <w:sz w:val="19"/>
        </w:rPr>
        <w:t> </w:t>
      </w:r>
      <w:r>
        <w:rPr>
          <w:sz w:val="19"/>
        </w:rPr>
        <w:t>when</w:t>
      </w:r>
      <w:r>
        <w:rPr>
          <w:spacing w:val="28"/>
          <w:sz w:val="19"/>
        </w:rPr>
        <w:t> </w:t>
      </w:r>
      <w:r>
        <w:rPr>
          <w:sz w:val="19"/>
        </w:rPr>
        <w:t>compared</w:t>
      </w:r>
      <w:r>
        <w:rPr>
          <w:spacing w:val="28"/>
          <w:sz w:val="19"/>
        </w:rPr>
        <w:t> </w:t>
      </w:r>
      <w:r>
        <w:rPr>
          <w:sz w:val="19"/>
        </w:rPr>
        <w:t>to</w:t>
      </w:r>
      <w:r>
        <w:rPr>
          <w:spacing w:val="28"/>
          <w:sz w:val="19"/>
        </w:rPr>
        <w:t> </w:t>
      </w:r>
      <w:r>
        <w:rPr>
          <w:sz w:val="19"/>
        </w:rPr>
        <w:t>Panel A</w:t>
      </w:r>
      <w:r>
        <w:rPr>
          <w:spacing w:val="9"/>
          <w:sz w:val="19"/>
        </w:rPr>
        <w:t> </w:t>
      </w:r>
      <w:r>
        <w:rPr>
          <w:sz w:val="19"/>
        </w:rPr>
        <w:t>in Table</w:t>
      </w:r>
      <w:r>
        <w:rPr>
          <w:spacing w:val="31"/>
          <w:sz w:val="19"/>
        </w:rPr>
        <w:t> </w:t>
      </w:r>
      <w:r>
        <w:rPr>
          <w:sz w:val="19"/>
        </w:rPr>
        <w:t>2.</w:t>
      </w:r>
      <w:r>
        <w:rPr>
          <w:spacing w:val="22"/>
          <w:sz w:val="19"/>
        </w:rPr>
        <w:t> </w:t>
      </w:r>
      <w:r>
        <w:rPr>
          <w:sz w:val="19"/>
        </w:rPr>
        <w:t>Panel B</w:t>
      </w:r>
      <w:r>
        <w:rPr>
          <w:spacing w:val="32"/>
          <w:sz w:val="19"/>
        </w:rPr>
        <w:t> </w:t>
      </w:r>
      <w:r>
        <w:rPr>
          <w:sz w:val="19"/>
        </w:rPr>
        <w:t>provides</w:t>
      </w:r>
      <w:r>
        <w:rPr>
          <w:spacing w:val="40"/>
          <w:sz w:val="19"/>
        </w:rPr>
        <w:t> </w:t>
      </w:r>
      <w:r>
        <w:rPr>
          <w:sz w:val="19"/>
        </w:rPr>
        <w:t>the</w:t>
      </w:r>
      <w:r>
        <w:rPr>
          <w:spacing w:val="31"/>
          <w:sz w:val="19"/>
        </w:rPr>
        <w:t> </w:t>
      </w:r>
      <w:r>
        <w:rPr>
          <w:sz w:val="19"/>
        </w:rPr>
        <w:t>distribution</w:t>
      </w:r>
      <w:r>
        <w:rPr>
          <w:spacing w:val="37"/>
          <w:sz w:val="19"/>
        </w:rPr>
        <w:t> </w:t>
      </w:r>
      <w:r>
        <w:rPr>
          <w:sz w:val="19"/>
        </w:rPr>
        <w:t>of</w:t>
      </w:r>
      <w:r>
        <w:rPr>
          <w:spacing w:val="40"/>
          <w:sz w:val="19"/>
        </w:rPr>
        <w:t> </w:t>
      </w:r>
      <w:r>
        <w:rPr>
          <w:sz w:val="19"/>
        </w:rPr>
        <w:t>impact</w:t>
      </w:r>
      <w:r>
        <w:rPr>
          <w:spacing w:val="34"/>
          <w:sz w:val="19"/>
        </w:rPr>
        <w:t> </w:t>
      </w:r>
      <w:r>
        <w:rPr>
          <w:sz w:val="19"/>
        </w:rPr>
        <w:t>investment</w:t>
      </w:r>
      <w:r>
        <w:rPr>
          <w:spacing w:val="34"/>
          <w:sz w:val="19"/>
        </w:rPr>
        <w:t> </w:t>
      </w:r>
      <w:r>
        <w:rPr>
          <w:sz w:val="19"/>
        </w:rPr>
        <w:t>deals</w:t>
      </w:r>
      <w:r>
        <w:rPr>
          <w:spacing w:val="24"/>
          <w:sz w:val="19"/>
        </w:rPr>
        <w:t> </w:t>
      </w:r>
      <w:r>
        <w:rPr>
          <w:sz w:val="19"/>
        </w:rPr>
        <w:t>across</w:t>
      </w:r>
      <w:r>
        <w:rPr>
          <w:spacing w:val="24"/>
          <w:sz w:val="19"/>
        </w:rPr>
        <w:t> </w:t>
      </w:r>
      <w:r>
        <w:rPr>
          <w:sz w:val="19"/>
        </w:rPr>
        <w:t>regions</w:t>
      </w:r>
      <w:r>
        <w:rPr>
          <w:spacing w:val="24"/>
          <w:sz w:val="19"/>
        </w:rPr>
        <w:t> </w:t>
      </w:r>
      <w:r>
        <w:rPr>
          <w:sz w:val="19"/>
        </w:rPr>
        <w:t>and</w:t>
      </w:r>
      <w:r>
        <w:rPr>
          <w:spacing w:val="37"/>
          <w:sz w:val="19"/>
        </w:rPr>
        <w:t> </w:t>
      </w:r>
      <w:r>
        <w:rPr>
          <w:sz w:val="19"/>
        </w:rPr>
        <w:t>SDGs</w:t>
      </w:r>
      <w:r>
        <w:rPr>
          <w:spacing w:val="24"/>
          <w:sz w:val="19"/>
        </w:rPr>
        <w:t> </w:t>
      </w:r>
      <w:r>
        <w:rPr>
          <w:sz w:val="19"/>
        </w:rPr>
        <w:t>when</w:t>
      </w:r>
      <w:r>
        <w:rPr>
          <w:spacing w:val="37"/>
          <w:sz w:val="19"/>
        </w:rPr>
        <w:t> </w:t>
      </w:r>
      <w:r>
        <w:rPr>
          <w:sz w:val="19"/>
        </w:rPr>
        <w:t>a</w:t>
      </w:r>
      <w:r>
        <w:rPr>
          <w:spacing w:val="40"/>
          <w:sz w:val="19"/>
        </w:rPr>
        <w:t> </w:t>
      </w:r>
      <w:r>
        <w:rPr>
          <w:sz w:val="19"/>
        </w:rPr>
        <w:t>deal’s</w:t>
      </w:r>
      <w:r>
        <w:rPr>
          <w:spacing w:val="24"/>
          <w:sz w:val="19"/>
        </w:rPr>
        <w:t> </w:t>
      </w:r>
      <w:r>
        <w:rPr>
          <w:sz w:val="19"/>
        </w:rPr>
        <w:t>secondary</w:t>
      </w:r>
      <w:r>
        <w:rPr>
          <w:spacing w:val="37"/>
          <w:sz w:val="19"/>
        </w:rPr>
        <w:t> </w:t>
      </w:r>
      <w:r>
        <w:rPr>
          <w:sz w:val="19"/>
        </w:rPr>
        <w:t>SDGs</w:t>
      </w:r>
      <w:r>
        <w:rPr>
          <w:spacing w:val="24"/>
          <w:sz w:val="19"/>
        </w:rPr>
        <w:t> </w:t>
      </w:r>
      <w:r>
        <w:rPr>
          <w:sz w:val="19"/>
        </w:rPr>
        <w:t>are</w:t>
      </w:r>
      <w:r>
        <w:rPr>
          <w:spacing w:val="31"/>
          <w:sz w:val="19"/>
        </w:rPr>
        <w:t> </w:t>
      </w:r>
      <w:r>
        <w:rPr>
          <w:sz w:val="19"/>
        </w:rPr>
        <w:t>conside</w:t>
      </w:r>
      <w:r>
        <w:rPr>
          <w:spacing w:val="-6"/>
          <w:sz w:val="19"/>
        </w:rPr>
        <w:t> </w:t>
      </w:r>
      <w:r>
        <w:rPr>
          <w:sz w:val="19"/>
        </w:rPr>
        <w:t>red.</w:t>
      </w:r>
    </w:p>
    <w:p>
      <w:pPr>
        <w:spacing w:after="0" w:line="266" w:lineRule="auto"/>
        <w:jc w:val="left"/>
        <w:rPr>
          <w:sz w:val="19"/>
        </w:rPr>
        <w:sectPr>
          <w:pgSz w:w="16850" w:h="11910" w:orient="landscape"/>
          <w:pgMar w:header="0" w:footer="991" w:top="1340" w:bottom="1180" w:left="1320" w:right="1320"/>
        </w:sectPr>
      </w:pPr>
    </w:p>
    <w:p>
      <w:pPr>
        <w:pStyle w:val="Heading1"/>
        <w:spacing w:before="93"/>
        <w:ind w:left="121"/>
      </w:pPr>
      <w:r>
        <w:rPr/>
        <w:t>Table</w:t>
      </w:r>
      <w:r>
        <w:rPr>
          <w:spacing w:val="-10"/>
        </w:rPr>
        <w:t> </w:t>
      </w:r>
      <w:r>
        <w:rPr/>
        <w:t>4.</w:t>
      </w:r>
      <w:r>
        <w:rPr>
          <w:spacing w:val="-8"/>
        </w:rPr>
        <w:t> </w:t>
      </w:r>
      <w:r>
        <w:rPr/>
        <w:t>Impact investment</w:t>
      </w:r>
      <w:r>
        <w:rPr>
          <w:spacing w:val="12"/>
        </w:rPr>
        <w:t> </w:t>
      </w:r>
      <w:r>
        <w:rPr/>
        <w:t>deals</w:t>
      </w:r>
      <w:r>
        <w:rPr>
          <w:spacing w:val="-11"/>
        </w:rPr>
        <w:t> </w:t>
      </w:r>
      <w:r>
        <w:rPr/>
        <w:t>and</w:t>
      </w:r>
      <w:r>
        <w:rPr>
          <w:spacing w:val="-7"/>
        </w:rPr>
        <w:t> </w:t>
      </w:r>
      <w:r>
        <w:rPr/>
        <w:t>both</w:t>
      </w:r>
      <w:r>
        <w:rPr>
          <w:spacing w:val="-7"/>
        </w:rPr>
        <w:t> </w:t>
      </w:r>
      <w:r>
        <w:rPr/>
        <w:t>primary</w:t>
      </w:r>
      <w:r>
        <w:rPr>
          <w:spacing w:val="4"/>
        </w:rPr>
        <w:t> </w:t>
      </w:r>
      <w:r>
        <w:rPr/>
        <w:t>and</w:t>
      </w:r>
      <w:r>
        <w:rPr>
          <w:spacing w:val="-7"/>
        </w:rPr>
        <w:t> </w:t>
      </w:r>
      <w:r>
        <w:rPr/>
        <w:t>secondary</w:t>
      </w:r>
      <w:r>
        <w:rPr>
          <w:spacing w:val="-8"/>
        </w:rPr>
        <w:t> </w:t>
      </w:r>
      <w:r>
        <w:rPr>
          <w:spacing w:val="-4"/>
        </w:rPr>
        <w:t>SDGs</w:t>
      </w:r>
    </w:p>
    <w:p>
      <w:pPr>
        <w:pStyle w:val="BodyText"/>
        <w:spacing w:before="9"/>
        <w:ind w:left="0"/>
        <w:jc w:val="left"/>
        <w:rPr>
          <w:b/>
          <w:sz w:val="21"/>
        </w:rPr>
      </w:pPr>
    </w:p>
    <w:p>
      <w:pPr>
        <w:spacing w:before="0"/>
        <w:ind w:left="121" w:right="0" w:firstLine="0"/>
        <w:jc w:val="left"/>
        <w:rPr>
          <w:b/>
          <w:sz w:val="19"/>
        </w:rPr>
      </w:pPr>
      <w:r>
        <w:rPr>
          <w:b/>
          <w:sz w:val="19"/>
        </w:rPr>
        <w:t>Panel</w:t>
      </w:r>
      <w:r>
        <w:rPr>
          <w:b/>
          <w:spacing w:val="16"/>
          <w:sz w:val="19"/>
        </w:rPr>
        <w:t> </w:t>
      </w:r>
      <w:r>
        <w:rPr>
          <w:b/>
          <w:sz w:val="19"/>
        </w:rPr>
        <w:t>A:</w:t>
      </w:r>
      <w:r>
        <w:rPr>
          <w:b/>
          <w:spacing w:val="42"/>
          <w:sz w:val="19"/>
        </w:rPr>
        <w:t> </w:t>
      </w:r>
      <w:r>
        <w:rPr>
          <w:b/>
          <w:sz w:val="19"/>
        </w:rPr>
        <w:t>Distribution</w:t>
      </w:r>
      <w:r>
        <w:rPr>
          <w:b/>
          <w:spacing w:val="44"/>
          <w:sz w:val="19"/>
        </w:rPr>
        <w:t> </w:t>
      </w:r>
      <w:r>
        <w:rPr>
          <w:b/>
          <w:sz w:val="19"/>
        </w:rPr>
        <w:t>of</w:t>
      </w:r>
      <w:r>
        <w:rPr>
          <w:b/>
          <w:spacing w:val="23"/>
          <w:sz w:val="19"/>
        </w:rPr>
        <w:t> </w:t>
      </w:r>
      <w:r>
        <w:rPr>
          <w:b/>
          <w:sz w:val="19"/>
        </w:rPr>
        <w:t>impact</w:t>
      </w:r>
      <w:r>
        <w:rPr>
          <w:b/>
          <w:spacing w:val="3"/>
          <w:sz w:val="19"/>
        </w:rPr>
        <w:t> </w:t>
      </w:r>
      <w:r>
        <w:rPr>
          <w:b/>
          <w:sz w:val="19"/>
        </w:rPr>
        <w:t>investment</w:t>
      </w:r>
      <w:r>
        <w:rPr>
          <w:b/>
          <w:spacing w:val="23"/>
          <w:sz w:val="19"/>
        </w:rPr>
        <w:t> </w:t>
      </w:r>
      <w:r>
        <w:rPr>
          <w:b/>
          <w:sz w:val="19"/>
        </w:rPr>
        <w:t>deals</w:t>
      </w:r>
      <w:r>
        <w:rPr>
          <w:b/>
          <w:spacing w:val="9"/>
          <w:sz w:val="19"/>
        </w:rPr>
        <w:t> </w:t>
      </w:r>
      <w:r>
        <w:rPr>
          <w:b/>
          <w:sz w:val="19"/>
        </w:rPr>
        <w:t>across</w:t>
      </w:r>
      <w:r>
        <w:rPr>
          <w:b/>
          <w:spacing w:val="9"/>
          <w:sz w:val="19"/>
        </w:rPr>
        <w:t> </w:t>
      </w:r>
      <w:r>
        <w:rPr>
          <w:b/>
          <w:spacing w:val="-4"/>
          <w:sz w:val="19"/>
        </w:rPr>
        <w:t>SDGs</w:t>
      </w:r>
    </w:p>
    <w:p>
      <w:pPr>
        <w:pStyle w:val="BodyText"/>
        <w:spacing w:before="7"/>
        <w:ind w:left="0"/>
        <w:jc w:val="left"/>
        <w:rPr>
          <w:b/>
          <w:sz w:val="22"/>
        </w:rPr>
      </w:pPr>
    </w:p>
    <w:tbl>
      <w:tblPr>
        <w:tblW w:w="0" w:type="auto"/>
        <w:jc w:val="left"/>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06"/>
        <w:gridCol w:w="736"/>
        <w:gridCol w:w="735"/>
        <w:gridCol w:w="735"/>
        <w:gridCol w:w="630"/>
        <w:gridCol w:w="736"/>
        <w:gridCol w:w="736"/>
        <w:gridCol w:w="721"/>
        <w:gridCol w:w="736"/>
        <w:gridCol w:w="631"/>
        <w:gridCol w:w="735"/>
        <w:gridCol w:w="645"/>
        <w:gridCol w:w="630"/>
        <w:gridCol w:w="735"/>
        <w:gridCol w:w="630"/>
        <w:gridCol w:w="736"/>
        <w:gridCol w:w="736"/>
        <w:gridCol w:w="631"/>
      </w:tblGrid>
      <w:tr>
        <w:trPr>
          <w:trHeight w:val="285" w:hRule="atLeast"/>
        </w:trPr>
        <w:tc>
          <w:tcPr>
            <w:tcW w:w="1606" w:type="dxa"/>
          </w:tcPr>
          <w:p>
            <w:pPr>
              <w:pStyle w:val="TableParagraph"/>
              <w:spacing w:before="3"/>
              <w:ind w:left="127"/>
              <w:jc w:val="left"/>
              <w:rPr>
                <w:sz w:val="19"/>
              </w:rPr>
            </w:pPr>
            <w:r>
              <w:rPr>
                <w:spacing w:val="-4"/>
                <w:sz w:val="19"/>
              </w:rPr>
              <w:t>SDGs</w:t>
            </w:r>
          </w:p>
        </w:tc>
        <w:tc>
          <w:tcPr>
            <w:tcW w:w="736" w:type="dxa"/>
          </w:tcPr>
          <w:p>
            <w:pPr>
              <w:pStyle w:val="TableParagraph"/>
              <w:spacing w:before="3"/>
              <w:ind w:right="5"/>
              <w:rPr>
                <w:sz w:val="19"/>
              </w:rPr>
            </w:pPr>
            <w:r>
              <w:rPr>
                <w:w w:val="102"/>
                <w:sz w:val="19"/>
              </w:rPr>
              <w:t>1</w:t>
            </w:r>
          </w:p>
        </w:tc>
        <w:tc>
          <w:tcPr>
            <w:tcW w:w="735" w:type="dxa"/>
          </w:tcPr>
          <w:p>
            <w:pPr>
              <w:pStyle w:val="TableParagraph"/>
              <w:spacing w:before="3"/>
              <w:ind w:right="5"/>
              <w:rPr>
                <w:sz w:val="19"/>
              </w:rPr>
            </w:pPr>
            <w:r>
              <w:rPr>
                <w:w w:val="102"/>
                <w:sz w:val="19"/>
              </w:rPr>
              <w:t>2</w:t>
            </w:r>
          </w:p>
        </w:tc>
        <w:tc>
          <w:tcPr>
            <w:tcW w:w="735" w:type="dxa"/>
          </w:tcPr>
          <w:p>
            <w:pPr>
              <w:pStyle w:val="TableParagraph"/>
              <w:spacing w:before="3"/>
              <w:ind w:right="4"/>
              <w:rPr>
                <w:sz w:val="19"/>
              </w:rPr>
            </w:pPr>
            <w:r>
              <w:rPr>
                <w:w w:val="102"/>
                <w:sz w:val="19"/>
              </w:rPr>
              <w:t>3</w:t>
            </w:r>
          </w:p>
        </w:tc>
        <w:tc>
          <w:tcPr>
            <w:tcW w:w="630" w:type="dxa"/>
          </w:tcPr>
          <w:p>
            <w:pPr>
              <w:pStyle w:val="TableParagraph"/>
              <w:spacing w:before="3"/>
              <w:ind w:left="10"/>
              <w:rPr>
                <w:sz w:val="19"/>
              </w:rPr>
            </w:pPr>
            <w:r>
              <w:rPr>
                <w:w w:val="102"/>
                <w:sz w:val="19"/>
              </w:rPr>
              <w:t>4</w:t>
            </w:r>
          </w:p>
        </w:tc>
        <w:tc>
          <w:tcPr>
            <w:tcW w:w="736" w:type="dxa"/>
          </w:tcPr>
          <w:p>
            <w:pPr>
              <w:pStyle w:val="TableParagraph"/>
              <w:spacing w:before="3"/>
              <w:ind w:right="2"/>
              <w:rPr>
                <w:sz w:val="19"/>
              </w:rPr>
            </w:pPr>
            <w:r>
              <w:rPr>
                <w:w w:val="102"/>
                <w:sz w:val="19"/>
              </w:rPr>
              <w:t>5</w:t>
            </w:r>
          </w:p>
        </w:tc>
        <w:tc>
          <w:tcPr>
            <w:tcW w:w="736" w:type="dxa"/>
          </w:tcPr>
          <w:p>
            <w:pPr>
              <w:pStyle w:val="TableParagraph"/>
              <w:spacing w:before="3"/>
              <w:ind w:right="3"/>
              <w:rPr>
                <w:sz w:val="19"/>
              </w:rPr>
            </w:pPr>
            <w:r>
              <w:rPr>
                <w:w w:val="102"/>
                <w:sz w:val="19"/>
              </w:rPr>
              <w:t>6</w:t>
            </w:r>
          </w:p>
        </w:tc>
        <w:tc>
          <w:tcPr>
            <w:tcW w:w="721" w:type="dxa"/>
          </w:tcPr>
          <w:p>
            <w:pPr>
              <w:pStyle w:val="TableParagraph"/>
              <w:spacing w:before="3"/>
              <w:ind w:left="8"/>
              <w:rPr>
                <w:sz w:val="19"/>
              </w:rPr>
            </w:pPr>
            <w:r>
              <w:rPr>
                <w:w w:val="102"/>
                <w:sz w:val="19"/>
              </w:rPr>
              <w:t>7</w:t>
            </w:r>
          </w:p>
        </w:tc>
        <w:tc>
          <w:tcPr>
            <w:tcW w:w="736" w:type="dxa"/>
          </w:tcPr>
          <w:p>
            <w:pPr>
              <w:pStyle w:val="TableParagraph"/>
              <w:spacing w:before="3"/>
              <w:ind w:left="23"/>
              <w:rPr>
                <w:sz w:val="19"/>
              </w:rPr>
            </w:pPr>
            <w:r>
              <w:rPr>
                <w:w w:val="102"/>
                <w:sz w:val="19"/>
              </w:rPr>
              <w:t>8</w:t>
            </w:r>
          </w:p>
        </w:tc>
        <w:tc>
          <w:tcPr>
            <w:tcW w:w="631" w:type="dxa"/>
          </w:tcPr>
          <w:p>
            <w:pPr>
              <w:pStyle w:val="TableParagraph"/>
              <w:spacing w:before="3"/>
              <w:ind w:left="7"/>
              <w:rPr>
                <w:sz w:val="19"/>
              </w:rPr>
            </w:pPr>
            <w:r>
              <w:rPr>
                <w:w w:val="102"/>
                <w:sz w:val="19"/>
              </w:rPr>
              <w:t>9</w:t>
            </w:r>
          </w:p>
        </w:tc>
        <w:tc>
          <w:tcPr>
            <w:tcW w:w="735" w:type="dxa"/>
          </w:tcPr>
          <w:p>
            <w:pPr>
              <w:pStyle w:val="TableParagraph"/>
              <w:spacing w:before="3"/>
              <w:ind w:left="103" w:right="58"/>
              <w:rPr>
                <w:sz w:val="19"/>
              </w:rPr>
            </w:pPr>
            <w:r>
              <w:rPr>
                <w:spacing w:val="-5"/>
                <w:sz w:val="19"/>
              </w:rPr>
              <w:t>10</w:t>
            </w:r>
          </w:p>
        </w:tc>
        <w:tc>
          <w:tcPr>
            <w:tcW w:w="645" w:type="dxa"/>
          </w:tcPr>
          <w:p>
            <w:pPr>
              <w:pStyle w:val="TableParagraph"/>
              <w:spacing w:before="3"/>
              <w:ind w:left="126" w:right="80"/>
              <w:rPr>
                <w:sz w:val="19"/>
              </w:rPr>
            </w:pPr>
            <w:r>
              <w:rPr>
                <w:spacing w:val="-5"/>
                <w:sz w:val="19"/>
              </w:rPr>
              <w:t>11</w:t>
            </w:r>
          </w:p>
        </w:tc>
        <w:tc>
          <w:tcPr>
            <w:tcW w:w="630" w:type="dxa"/>
          </w:tcPr>
          <w:p>
            <w:pPr>
              <w:pStyle w:val="TableParagraph"/>
              <w:spacing w:before="3"/>
              <w:ind w:left="101" w:right="70"/>
              <w:rPr>
                <w:sz w:val="19"/>
              </w:rPr>
            </w:pPr>
            <w:r>
              <w:rPr>
                <w:spacing w:val="-5"/>
                <w:sz w:val="19"/>
              </w:rPr>
              <w:t>12</w:t>
            </w:r>
          </w:p>
        </w:tc>
        <w:tc>
          <w:tcPr>
            <w:tcW w:w="735" w:type="dxa"/>
          </w:tcPr>
          <w:p>
            <w:pPr>
              <w:pStyle w:val="TableParagraph"/>
              <w:spacing w:before="3"/>
              <w:ind w:left="90" w:right="71"/>
              <w:rPr>
                <w:sz w:val="19"/>
              </w:rPr>
            </w:pPr>
            <w:r>
              <w:rPr>
                <w:spacing w:val="-5"/>
                <w:sz w:val="19"/>
              </w:rPr>
              <w:t>13</w:t>
            </w:r>
          </w:p>
        </w:tc>
        <w:tc>
          <w:tcPr>
            <w:tcW w:w="630" w:type="dxa"/>
          </w:tcPr>
          <w:p>
            <w:pPr>
              <w:pStyle w:val="TableParagraph"/>
              <w:spacing w:before="3"/>
              <w:ind w:left="101" w:right="66"/>
              <w:rPr>
                <w:sz w:val="19"/>
              </w:rPr>
            </w:pPr>
            <w:r>
              <w:rPr>
                <w:spacing w:val="-5"/>
                <w:sz w:val="19"/>
              </w:rPr>
              <w:t>14</w:t>
            </w:r>
          </w:p>
        </w:tc>
        <w:tc>
          <w:tcPr>
            <w:tcW w:w="736" w:type="dxa"/>
          </w:tcPr>
          <w:p>
            <w:pPr>
              <w:pStyle w:val="TableParagraph"/>
              <w:spacing w:before="3"/>
              <w:ind w:left="91" w:right="71"/>
              <w:rPr>
                <w:sz w:val="19"/>
              </w:rPr>
            </w:pPr>
            <w:r>
              <w:rPr>
                <w:spacing w:val="-5"/>
                <w:sz w:val="19"/>
              </w:rPr>
              <w:t>15</w:t>
            </w:r>
          </w:p>
        </w:tc>
        <w:tc>
          <w:tcPr>
            <w:tcW w:w="736" w:type="dxa"/>
          </w:tcPr>
          <w:p>
            <w:pPr>
              <w:pStyle w:val="TableParagraph"/>
              <w:spacing w:before="3"/>
              <w:ind w:left="90" w:right="71"/>
              <w:rPr>
                <w:sz w:val="19"/>
              </w:rPr>
            </w:pPr>
            <w:r>
              <w:rPr>
                <w:spacing w:val="-5"/>
                <w:sz w:val="19"/>
              </w:rPr>
              <w:t>16</w:t>
            </w:r>
          </w:p>
        </w:tc>
        <w:tc>
          <w:tcPr>
            <w:tcW w:w="631" w:type="dxa"/>
          </w:tcPr>
          <w:p>
            <w:pPr>
              <w:pStyle w:val="TableParagraph"/>
              <w:spacing w:before="3"/>
              <w:ind w:left="101" w:right="68"/>
              <w:rPr>
                <w:sz w:val="19"/>
              </w:rPr>
            </w:pPr>
            <w:r>
              <w:rPr>
                <w:spacing w:val="-5"/>
                <w:sz w:val="19"/>
              </w:rPr>
              <w:t>17</w:t>
            </w:r>
          </w:p>
        </w:tc>
      </w:tr>
      <w:tr>
        <w:trPr>
          <w:trHeight w:val="450" w:hRule="atLeast"/>
        </w:trPr>
        <w:tc>
          <w:tcPr>
            <w:tcW w:w="1606" w:type="dxa"/>
          </w:tcPr>
          <w:p>
            <w:pPr>
              <w:pStyle w:val="TableParagraph"/>
              <w:spacing w:line="206" w:lineRule="exact"/>
              <w:ind w:left="127"/>
              <w:jc w:val="left"/>
              <w:rPr>
                <w:sz w:val="19"/>
              </w:rPr>
            </w:pPr>
            <w:r>
              <w:rPr>
                <w:sz w:val="19"/>
              </w:rPr>
              <w:t>Count</w:t>
            </w:r>
            <w:r>
              <w:rPr>
                <w:spacing w:val="26"/>
                <w:sz w:val="19"/>
              </w:rPr>
              <w:t> </w:t>
            </w:r>
            <w:r>
              <w:rPr>
                <w:sz w:val="19"/>
              </w:rPr>
              <w:t>(out</w:t>
            </w:r>
            <w:r>
              <w:rPr>
                <w:spacing w:val="26"/>
                <w:sz w:val="19"/>
              </w:rPr>
              <w:t> </w:t>
            </w:r>
            <w:r>
              <w:rPr>
                <w:spacing w:val="-5"/>
                <w:sz w:val="19"/>
              </w:rPr>
              <w:t>of</w:t>
            </w:r>
          </w:p>
          <w:p>
            <w:pPr>
              <w:pStyle w:val="TableParagraph"/>
              <w:spacing w:line="202" w:lineRule="exact" w:before="22"/>
              <w:ind w:left="127"/>
              <w:jc w:val="left"/>
              <w:rPr>
                <w:sz w:val="19"/>
              </w:rPr>
            </w:pPr>
            <w:r>
              <w:rPr>
                <w:sz w:val="19"/>
              </w:rPr>
              <w:t>292</w:t>
            </w:r>
            <w:r>
              <w:rPr>
                <w:spacing w:val="23"/>
                <w:sz w:val="19"/>
              </w:rPr>
              <w:t> </w:t>
            </w:r>
            <w:r>
              <w:rPr>
                <w:spacing w:val="-2"/>
                <w:sz w:val="19"/>
              </w:rPr>
              <w:t>deals)</w:t>
            </w:r>
          </w:p>
        </w:tc>
        <w:tc>
          <w:tcPr>
            <w:tcW w:w="736" w:type="dxa"/>
          </w:tcPr>
          <w:p>
            <w:pPr>
              <w:pStyle w:val="TableParagraph"/>
              <w:spacing w:before="108"/>
              <w:ind w:left="71" w:right="71"/>
              <w:rPr>
                <w:sz w:val="19"/>
              </w:rPr>
            </w:pPr>
            <w:r>
              <w:rPr>
                <w:spacing w:val="-5"/>
                <w:sz w:val="19"/>
              </w:rPr>
              <w:t>285</w:t>
            </w:r>
          </w:p>
        </w:tc>
        <w:tc>
          <w:tcPr>
            <w:tcW w:w="735" w:type="dxa"/>
          </w:tcPr>
          <w:p>
            <w:pPr>
              <w:pStyle w:val="TableParagraph"/>
              <w:spacing w:before="108"/>
              <w:ind w:left="71" w:right="71"/>
              <w:rPr>
                <w:sz w:val="19"/>
              </w:rPr>
            </w:pPr>
            <w:r>
              <w:rPr>
                <w:spacing w:val="-5"/>
                <w:sz w:val="19"/>
              </w:rPr>
              <w:t>234</w:t>
            </w:r>
          </w:p>
        </w:tc>
        <w:tc>
          <w:tcPr>
            <w:tcW w:w="735" w:type="dxa"/>
          </w:tcPr>
          <w:p>
            <w:pPr>
              <w:pStyle w:val="TableParagraph"/>
              <w:spacing w:before="108"/>
              <w:ind w:left="72" w:right="71"/>
              <w:rPr>
                <w:sz w:val="19"/>
              </w:rPr>
            </w:pPr>
            <w:r>
              <w:rPr>
                <w:spacing w:val="-5"/>
                <w:sz w:val="19"/>
              </w:rPr>
              <w:t>275</w:t>
            </w:r>
          </w:p>
        </w:tc>
        <w:tc>
          <w:tcPr>
            <w:tcW w:w="630" w:type="dxa"/>
          </w:tcPr>
          <w:p>
            <w:pPr>
              <w:pStyle w:val="TableParagraph"/>
              <w:spacing w:before="108"/>
              <w:ind w:left="101" w:right="68"/>
              <w:rPr>
                <w:sz w:val="19"/>
              </w:rPr>
            </w:pPr>
            <w:r>
              <w:rPr>
                <w:spacing w:val="-5"/>
                <w:sz w:val="19"/>
              </w:rPr>
              <w:t>29</w:t>
            </w:r>
          </w:p>
        </w:tc>
        <w:tc>
          <w:tcPr>
            <w:tcW w:w="736" w:type="dxa"/>
          </w:tcPr>
          <w:p>
            <w:pPr>
              <w:pStyle w:val="TableParagraph"/>
              <w:spacing w:before="108"/>
              <w:ind w:left="73" w:right="71"/>
              <w:rPr>
                <w:sz w:val="19"/>
              </w:rPr>
            </w:pPr>
            <w:r>
              <w:rPr>
                <w:spacing w:val="-5"/>
                <w:sz w:val="19"/>
              </w:rPr>
              <w:t>172</w:t>
            </w:r>
          </w:p>
        </w:tc>
        <w:tc>
          <w:tcPr>
            <w:tcW w:w="736" w:type="dxa"/>
          </w:tcPr>
          <w:p>
            <w:pPr>
              <w:pStyle w:val="TableParagraph"/>
              <w:spacing w:before="108"/>
              <w:ind w:left="88" w:right="71"/>
              <w:rPr>
                <w:sz w:val="19"/>
              </w:rPr>
            </w:pPr>
            <w:r>
              <w:rPr>
                <w:spacing w:val="-5"/>
                <w:sz w:val="19"/>
              </w:rPr>
              <w:t>44</w:t>
            </w:r>
          </w:p>
        </w:tc>
        <w:tc>
          <w:tcPr>
            <w:tcW w:w="721" w:type="dxa"/>
          </w:tcPr>
          <w:p>
            <w:pPr>
              <w:pStyle w:val="TableParagraph"/>
              <w:spacing w:before="108"/>
              <w:ind w:left="101" w:right="71"/>
              <w:rPr>
                <w:sz w:val="19"/>
              </w:rPr>
            </w:pPr>
            <w:r>
              <w:rPr>
                <w:spacing w:val="-5"/>
                <w:sz w:val="19"/>
              </w:rPr>
              <w:t>83</w:t>
            </w:r>
          </w:p>
        </w:tc>
        <w:tc>
          <w:tcPr>
            <w:tcW w:w="736" w:type="dxa"/>
          </w:tcPr>
          <w:p>
            <w:pPr>
              <w:pStyle w:val="TableParagraph"/>
              <w:spacing w:before="108"/>
              <w:ind w:left="102" w:right="71"/>
              <w:rPr>
                <w:sz w:val="19"/>
              </w:rPr>
            </w:pPr>
            <w:r>
              <w:rPr>
                <w:spacing w:val="-5"/>
                <w:sz w:val="19"/>
              </w:rPr>
              <w:t>262</w:t>
            </w:r>
          </w:p>
        </w:tc>
        <w:tc>
          <w:tcPr>
            <w:tcW w:w="631" w:type="dxa"/>
          </w:tcPr>
          <w:p>
            <w:pPr>
              <w:pStyle w:val="TableParagraph"/>
              <w:spacing w:before="108"/>
              <w:ind w:left="7"/>
              <w:rPr>
                <w:sz w:val="19"/>
              </w:rPr>
            </w:pPr>
            <w:r>
              <w:rPr>
                <w:w w:val="102"/>
                <w:sz w:val="19"/>
              </w:rPr>
              <w:t>9</w:t>
            </w:r>
          </w:p>
        </w:tc>
        <w:tc>
          <w:tcPr>
            <w:tcW w:w="735" w:type="dxa"/>
          </w:tcPr>
          <w:p>
            <w:pPr>
              <w:pStyle w:val="TableParagraph"/>
              <w:spacing w:before="108"/>
              <w:ind w:left="100" w:right="71"/>
              <w:rPr>
                <w:sz w:val="19"/>
              </w:rPr>
            </w:pPr>
            <w:r>
              <w:rPr>
                <w:spacing w:val="-5"/>
                <w:sz w:val="19"/>
              </w:rPr>
              <w:t>150</w:t>
            </w:r>
          </w:p>
        </w:tc>
        <w:tc>
          <w:tcPr>
            <w:tcW w:w="645" w:type="dxa"/>
          </w:tcPr>
          <w:p>
            <w:pPr>
              <w:pStyle w:val="TableParagraph"/>
              <w:spacing w:before="108"/>
              <w:ind w:left="126" w:right="80"/>
              <w:rPr>
                <w:sz w:val="19"/>
              </w:rPr>
            </w:pPr>
            <w:r>
              <w:rPr>
                <w:spacing w:val="-5"/>
                <w:sz w:val="19"/>
              </w:rPr>
              <w:t>12</w:t>
            </w:r>
          </w:p>
        </w:tc>
        <w:tc>
          <w:tcPr>
            <w:tcW w:w="630" w:type="dxa"/>
          </w:tcPr>
          <w:p>
            <w:pPr>
              <w:pStyle w:val="TableParagraph"/>
              <w:spacing w:before="108"/>
              <w:ind w:left="101" w:right="70"/>
              <w:rPr>
                <w:sz w:val="19"/>
              </w:rPr>
            </w:pPr>
            <w:r>
              <w:rPr>
                <w:spacing w:val="-5"/>
                <w:sz w:val="19"/>
              </w:rPr>
              <w:t>14</w:t>
            </w:r>
          </w:p>
        </w:tc>
        <w:tc>
          <w:tcPr>
            <w:tcW w:w="735" w:type="dxa"/>
          </w:tcPr>
          <w:p>
            <w:pPr>
              <w:pStyle w:val="TableParagraph"/>
              <w:spacing w:before="108"/>
              <w:ind w:left="90" w:right="71"/>
              <w:rPr>
                <w:sz w:val="19"/>
              </w:rPr>
            </w:pPr>
            <w:r>
              <w:rPr>
                <w:spacing w:val="-5"/>
                <w:sz w:val="19"/>
              </w:rPr>
              <w:t>64</w:t>
            </w:r>
          </w:p>
        </w:tc>
        <w:tc>
          <w:tcPr>
            <w:tcW w:w="630" w:type="dxa"/>
          </w:tcPr>
          <w:p>
            <w:pPr>
              <w:pStyle w:val="TableParagraph"/>
              <w:spacing w:before="108"/>
              <w:ind w:left="12"/>
              <w:rPr>
                <w:sz w:val="19"/>
              </w:rPr>
            </w:pPr>
            <w:r>
              <w:rPr>
                <w:w w:val="102"/>
                <w:sz w:val="19"/>
              </w:rPr>
              <w:t>7</w:t>
            </w:r>
          </w:p>
        </w:tc>
        <w:tc>
          <w:tcPr>
            <w:tcW w:w="736" w:type="dxa"/>
          </w:tcPr>
          <w:p>
            <w:pPr>
              <w:pStyle w:val="TableParagraph"/>
              <w:spacing w:before="108"/>
              <w:ind w:left="91" w:right="71"/>
              <w:rPr>
                <w:sz w:val="19"/>
              </w:rPr>
            </w:pPr>
            <w:r>
              <w:rPr>
                <w:spacing w:val="-5"/>
                <w:sz w:val="19"/>
              </w:rPr>
              <w:t>78</w:t>
            </w:r>
          </w:p>
        </w:tc>
        <w:tc>
          <w:tcPr>
            <w:tcW w:w="736" w:type="dxa"/>
          </w:tcPr>
          <w:p>
            <w:pPr>
              <w:pStyle w:val="TableParagraph"/>
              <w:spacing w:before="108"/>
              <w:ind w:left="90" w:right="71"/>
              <w:rPr>
                <w:sz w:val="19"/>
              </w:rPr>
            </w:pPr>
            <w:r>
              <w:rPr>
                <w:spacing w:val="-5"/>
                <w:sz w:val="19"/>
              </w:rPr>
              <w:t>32</w:t>
            </w:r>
          </w:p>
        </w:tc>
        <w:tc>
          <w:tcPr>
            <w:tcW w:w="631" w:type="dxa"/>
          </w:tcPr>
          <w:p>
            <w:pPr>
              <w:pStyle w:val="TableParagraph"/>
              <w:spacing w:before="108"/>
              <w:ind w:left="11"/>
              <w:rPr>
                <w:sz w:val="19"/>
              </w:rPr>
            </w:pPr>
            <w:r>
              <w:rPr>
                <w:w w:val="102"/>
                <w:sz w:val="19"/>
              </w:rPr>
              <w:t>2</w:t>
            </w:r>
          </w:p>
        </w:tc>
      </w:tr>
      <w:tr>
        <w:trPr>
          <w:trHeight w:val="450" w:hRule="atLeast"/>
        </w:trPr>
        <w:tc>
          <w:tcPr>
            <w:tcW w:w="1606" w:type="dxa"/>
          </w:tcPr>
          <w:p>
            <w:pPr>
              <w:pStyle w:val="TableParagraph"/>
              <w:spacing w:line="226" w:lineRule="exact"/>
              <w:ind w:left="127"/>
              <w:jc w:val="left"/>
              <w:rPr>
                <w:sz w:val="19"/>
              </w:rPr>
            </w:pPr>
            <w:r>
              <w:rPr>
                <w:sz w:val="19"/>
              </w:rPr>
              <w:t>% (out of </w:t>
            </w:r>
            <w:r>
              <w:rPr>
                <w:sz w:val="19"/>
              </w:rPr>
              <w:t>292 </w:t>
            </w:r>
            <w:r>
              <w:rPr>
                <w:spacing w:val="-2"/>
                <w:sz w:val="19"/>
              </w:rPr>
              <w:t>deals)</w:t>
            </w:r>
          </w:p>
        </w:tc>
        <w:tc>
          <w:tcPr>
            <w:tcW w:w="736" w:type="dxa"/>
          </w:tcPr>
          <w:p>
            <w:pPr>
              <w:pStyle w:val="TableParagraph"/>
              <w:spacing w:before="3"/>
              <w:ind w:left="98" w:right="71"/>
              <w:rPr>
                <w:sz w:val="19"/>
              </w:rPr>
            </w:pPr>
            <w:r>
              <w:rPr>
                <w:spacing w:val="-2"/>
                <w:sz w:val="19"/>
              </w:rPr>
              <w:t>97.6%</w:t>
            </w:r>
          </w:p>
        </w:tc>
        <w:tc>
          <w:tcPr>
            <w:tcW w:w="735" w:type="dxa"/>
          </w:tcPr>
          <w:p>
            <w:pPr>
              <w:pStyle w:val="TableParagraph"/>
              <w:spacing w:before="3"/>
              <w:ind w:left="98" w:right="71"/>
              <w:rPr>
                <w:sz w:val="19"/>
              </w:rPr>
            </w:pPr>
            <w:r>
              <w:rPr>
                <w:spacing w:val="-2"/>
                <w:sz w:val="19"/>
              </w:rPr>
              <w:t>80.1%</w:t>
            </w:r>
          </w:p>
        </w:tc>
        <w:tc>
          <w:tcPr>
            <w:tcW w:w="735" w:type="dxa"/>
          </w:tcPr>
          <w:p>
            <w:pPr>
              <w:pStyle w:val="TableParagraph"/>
              <w:spacing w:before="3"/>
              <w:ind w:left="99" w:right="71"/>
              <w:rPr>
                <w:sz w:val="19"/>
              </w:rPr>
            </w:pPr>
            <w:r>
              <w:rPr>
                <w:spacing w:val="-2"/>
                <w:sz w:val="19"/>
              </w:rPr>
              <w:t>94.2%</w:t>
            </w:r>
          </w:p>
        </w:tc>
        <w:tc>
          <w:tcPr>
            <w:tcW w:w="630" w:type="dxa"/>
          </w:tcPr>
          <w:p>
            <w:pPr>
              <w:pStyle w:val="TableParagraph"/>
              <w:spacing w:before="3"/>
              <w:ind w:left="101" w:right="72"/>
              <w:rPr>
                <w:sz w:val="19"/>
              </w:rPr>
            </w:pPr>
            <w:r>
              <w:rPr>
                <w:spacing w:val="-4"/>
                <w:sz w:val="19"/>
              </w:rPr>
              <w:t>9.9%</w:t>
            </w:r>
          </w:p>
        </w:tc>
        <w:tc>
          <w:tcPr>
            <w:tcW w:w="736" w:type="dxa"/>
          </w:tcPr>
          <w:p>
            <w:pPr>
              <w:pStyle w:val="TableParagraph"/>
              <w:spacing w:before="3"/>
              <w:ind w:left="100" w:right="71"/>
              <w:rPr>
                <w:sz w:val="19"/>
              </w:rPr>
            </w:pPr>
            <w:r>
              <w:rPr>
                <w:spacing w:val="-2"/>
                <w:sz w:val="19"/>
              </w:rPr>
              <w:t>58.9%</w:t>
            </w:r>
          </w:p>
        </w:tc>
        <w:tc>
          <w:tcPr>
            <w:tcW w:w="736" w:type="dxa"/>
          </w:tcPr>
          <w:p>
            <w:pPr>
              <w:pStyle w:val="TableParagraph"/>
              <w:spacing w:before="3"/>
              <w:ind w:left="100" w:right="71"/>
              <w:rPr>
                <w:sz w:val="19"/>
              </w:rPr>
            </w:pPr>
            <w:r>
              <w:rPr>
                <w:spacing w:val="-2"/>
                <w:sz w:val="19"/>
              </w:rPr>
              <w:t>15.1%</w:t>
            </w:r>
          </w:p>
        </w:tc>
        <w:tc>
          <w:tcPr>
            <w:tcW w:w="721" w:type="dxa"/>
          </w:tcPr>
          <w:p>
            <w:pPr>
              <w:pStyle w:val="TableParagraph"/>
              <w:spacing w:before="3"/>
              <w:ind w:left="113" w:right="70"/>
              <w:rPr>
                <w:sz w:val="19"/>
              </w:rPr>
            </w:pPr>
            <w:r>
              <w:rPr>
                <w:spacing w:val="-2"/>
                <w:sz w:val="19"/>
              </w:rPr>
              <w:t>28.4%</w:t>
            </w:r>
          </w:p>
        </w:tc>
        <w:tc>
          <w:tcPr>
            <w:tcW w:w="736" w:type="dxa"/>
          </w:tcPr>
          <w:p>
            <w:pPr>
              <w:pStyle w:val="TableParagraph"/>
              <w:spacing w:before="3"/>
              <w:ind w:left="113" w:right="56"/>
              <w:rPr>
                <w:sz w:val="19"/>
              </w:rPr>
            </w:pPr>
            <w:r>
              <w:rPr>
                <w:spacing w:val="-2"/>
                <w:sz w:val="19"/>
              </w:rPr>
              <w:t>89.7%</w:t>
            </w:r>
          </w:p>
        </w:tc>
        <w:tc>
          <w:tcPr>
            <w:tcW w:w="631" w:type="dxa"/>
          </w:tcPr>
          <w:p>
            <w:pPr>
              <w:pStyle w:val="TableParagraph"/>
              <w:spacing w:before="3"/>
              <w:ind w:left="101" w:right="74"/>
              <w:rPr>
                <w:sz w:val="19"/>
              </w:rPr>
            </w:pPr>
            <w:r>
              <w:rPr>
                <w:spacing w:val="-4"/>
                <w:sz w:val="19"/>
              </w:rPr>
              <w:t>3.1%</w:t>
            </w:r>
          </w:p>
        </w:tc>
        <w:tc>
          <w:tcPr>
            <w:tcW w:w="735" w:type="dxa"/>
          </w:tcPr>
          <w:p>
            <w:pPr>
              <w:pStyle w:val="TableParagraph"/>
              <w:spacing w:before="3"/>
              <w:ind w:left="103" w:right="47"/>
              <w:rPr>
                <w:sz w:val="19"/>
              </w:rPr>
            </w:pPr>
            <w:r>
              <w:rPr>
                <w:spacing w:val="-2"/>
                <w:sz w:val="19"/>
              </w:rPr>
              <w:t>51.4%</w:t>
            </w:r>
          </w:p>
        </w:tc>
        <w:tc>
          <w:tcPr>
            <w:tcW w:w="645" w:type="dxa"/>
          </w:tcPr>
          <w:p>
            <w:pPr>
              <w:pStyle w:val="TableParagraph"/>
              <w:spacing w:before="3"/>
              <w:ind w:left="126" w:right="83"/>
              <w:rPr>
                <w:sz w:val="19"/>
              </w:rPr>
            </w:pPr>
            <w:r>
              <w:rPr>
                <w:spacing w:val="-4"/>
                <w:sz w:val="19"/>
              </w:rPr>
              <w:t>4.1%</w:t>
            </w:r>
          </w:p>
        </w:tc>
        <w:tc>
          <w:tcPr>
            <w:tcW w:w="630" w:type="dxa"/>
          </w:tcPr>
          <w:p>
            <w:pPr>
              <w:pStyle w:val="TableParagraph"/>
              <w:spacing w:before="3"/>
              <w:ind w:left="101" w:right="72"/>
              <w:rPr>
                <w:sz w:val="19"/>
              </w:rPr>
            </w:pPr>
            <w:r>
              <w:rPr>
                <w:spacing w:val="-4"/>
                <w:sz w:val="19"/>
              </w:rPr>
              <w:t>4.8%</w:t>
            </w:r>
          </w:p>
        </w:tc>
        <w:tc>
          <w:tcPr>
            <w:tcW w:w="735" w:type="dxa"/>
          </w:tcPr>
          <w:p>
            <w:pPr>
              <w:pStyle w:val="TableParagraph"/>
              <w:spacing w:before="3"/>
              <w:ind w:left="101" w:right="71"/>
              <w:rPr>
                <w:sz w:val="19"/>
              </w:rPr>
            </w:pPr>
            <w:r>
              <w:rPr>
                <w:spacing w:val="-2"/>
                <w:sz w:val="19"/>
              </w:rPr>
              <w:t>21.9%</w:t>
            </w:r>
          </w:p>
        </w:tc>
        <w:tc>
          <w:tcPr>
            <w:tcW w:w="630" w:type="dxa"/>
          </w:tcPr>
          <w:p>
            <w:pPr>
              <w:pStyle w:val="TableParagraph"/>
              <w:spacing w:before="3"/>
              <w:ind w:left="101" w:right="69"/>
              <w:rPr>
                <w:sz w:val="19"/>
              </w:rPr>
            </w:pPr>
            <w:r>
              <w:rPr>
                <w:spacing w:val="-4"/>
                <w:sz w:val="19"/>
              </w:rPr>
              <w:t>2.4%</w:t>
            </w:r>
          </w:p>
        </w:tc>
        <w:tc>
          <w:tcPr>
            <w:tcW w:w="736" w:type="dxa"/>
          </w:tcPr>
          <w:p>
            <w:pPr>
              <w:pStyle w:val="TableParagraph"/>
              <w:spacing w:before="3"/>
              <w:ind w:left="103" w:right="71"/>
              <w:rPr>
                <w:sz w:val="19"/>
              </w:rPr>
            </w:pPr>
            <w:r>
              <w:rPr>
                <w:spacing w:val="-2"/>
                <w:sz w:val="19"/>
              </w:rPr>
              <w:t>26.7%</w:t>
            </w:r>
          </w:p>
        </w:tc>
        <w:tc>
          <w:tcPr>
            <w:tcW w:w="736" w:type="dxa"/>
          </w:tcPr>
          <w:p>
            <w:pPr>
              <w:pStyle w:val="TableParagraph"/>
              <w:spacing w:before="3"/>
              <w:ind w:left="102" w:right="71"/>
              <w:rPr>
                <w:sz w:val="19"/>
              </w:rPr>
            </w:pPr>
            <w:r>
              <w:rPr>
                <w:spacing w:val="-2"/>
                <w:sz w:val="19"/>
              </w:rPr>
              <w:t>11.0%</w:t>
            </w:r>
          </w:p>
        </w:tc>
        <w:tc>
          <w:tcPr>
            <w:tcW w:w="631" w:type="dxa"/>
          </w:tcPr>
          <w:p>
            <w:pPr>
              <w:pStyle w:val="TableParagraph"/>
              <w:spacing w:before="3"/>
              <w:ind w:left="101" w:right="71"/>
              <w:rPr>
                <w:sz w:val="19"/>
              </w:rPr>
            </w:pPr>
            <w:r>
              <w:rPr>
                <w:spacing w:val="-4"/>
                <w:sz w:val="19"/>
              </w:rPr>
              <w:t>0.7%</w:t>
            </w:r>
          </w:p>
        </w:tc>
      </w:tr>
    </w:tbl>
    <w:p>
      <w:pPr>
        <w:pStyle w:val="BodyText"/>
        <w:spacing w:before="3"/>
        <w:ind w:left="0"/>
        <w:jc w:val="left"/>
        <w:rPr>
          <w:b/>
          <w:sz w:val="21"/>
        </w:rPr>
      </w:pPr>
    </w:p>
    <w:p>
      <w:pPr>
        <w:spacing w:before="0"/>
        <w:ind w:left="121" w:right="0" w:firstLine="0"/>
        <w:jc w:val="left"/>
        <w:rPr>
          <w:b/>
          <w:sz w:val="19"/>
        </w:rPr>
      </w:pPr>
      <w:r>
        <w:rPr>
          <w:b/>
          <w:sz w:val="19"/>
        </w:rPr>
        <w:t>Panel</w:t>
      </w:r>
      <w:r>
        <w:rPr>
          <w:b/>
          <w:spacing w:val="19"/>
          <w:sz w:val="19"/>
        </w:rPr>
        <w:t> </w:t>
      </w:r>
      <w:r>
        <w:rPr>
          <w:b/>
          <w:sz w:val="19"/>
        </w:rPr>
        <w:t>B:</w:t>
      </w:r>
      <w:r>
        <w:rPr>
          <w:b/>
          <w:spacing w:val="25"/>
          <w:sz w:val="19"/>
        </w:rPr>
        <w:t> </w:t>
      </w:r>
      <w:r>
        <w:rPr>
          <w:b/>
          <w:sz w:val="19"/>
        </w:rPr>
        <w:t>Distribution</w:t>
      </w:r>
      <w:r>
        <w:rPr>
          <w:b/>
          <w:spacing w:val="48"/>
          <w:sz w:val="19"/>
        </w:rPr>
        <w:t> </w:t>
      </w:r>
      <w:r>
        <w:rPr>
          <w:b/>
          <w:sz w:val="19"/>
        </w:rPr>
        <w:t>of</w:t>
      </w:r>
      <w:r>
        <w:rPr>
          <w:b/>
          <w:spacing w:val="25"/>
          <w:sz w:val="19"/>
        </w:rPr>
        <w:t> </w:t>
      </w:r>
      <w:r>
        <w:rPr>
          <w:b/>
          <w:sz w:val="19"/>
        </w:rPr>
        <w:t>impact</w:t>
      </w:r>
      <w:r>
        <w:rPr>
          <w:b/>
          <w:spacing w:val="6"/>
          <w:sz w:val="19"/>
        </w:rPr>
        <w:t> </w:t>
      </w:r>
      <w:r>
        <w:rPr>
          <w:b/>
          <w:sz w:val="19"/>
        </w:rPr>
        <w:t>investment</w:t>
      </w:r>
      <w:r>
        <w:rPr>
          <w:b/>
          <w:spacing w:val="46"/>
          <w:sz w:val="19"/>
        </w:rPr>
        <w:t> </w:t>
      </w:r>
      <w:r>
        <w:rPr>
          <w:b/>
          <w:sz w:val="19"/>
        </w:rPr>
        <w:t>deals</w:t>
      </w:r>
      <w:r>
        <w:rPr>
          <w:b/>
          <w:spacing w:val="11"/>
          <w:sz w:val="19"/>
        </w:rPr>
        <w:t> </w:t>
      </w:r>
      <w:r>
        <w:rPr>
          <w:b/>
          <w:sz w:val="19"/>
        </w:rPr>
        <w:t>across</w:t>
      </w:r>
      <w:r>
        <w:rPr>
          <w:b/>
          <w:spacing w:val="11"/>
          <w:sz w:val="19"/>
        </w:rPr>
        <w:t> </w:t>
      </w:r>
      <w:r>
        <w:rPr>
          <w:b/>
          <w:sz w:val="19"/>
        </w:rPr>
        <w:t>regions</w:t>
      </w:r>
      <w:r>
        <w:rPr>
          <w:b/>
          <w:spacing w:val="11"/>
          <w:sz w:val="19"/>
        </w:rPr>
        <w:t> </w:t>
      </w:r>
      <w:r>
        <w:rPr>
          <w:b/>
          <w:sz w:val="19"/>
        </w:rPr>
        <w:t>and</w:t>
      </w:r>
      <w:r>
        <w:rPr>
          <w:b/>
          <w:spacing w:val="7"/>
          <w:sz w:val="19"/>
        </w:rPr>
        <w:t> </w:t>
      </w:r>
      <w:r>
        <w:rPr>
          <w:b/>
          <w:spacing w:val="-4"/>
          <w:sz w:val="19"/>
        </w:rPr>
        <w:t>SDGs</w:t>
      </w:r>
    </w:p>
    <w:p>
      <w:pPr>
        <w:pStyle w:val="BodyText"/>
        <w:spacing w:before="10"/>
        <w:ind w:left="0"/>
        <w:jc w:val="left"/>
        <w:rPr>
          <w:b/>
          <w:sz w:val="23"/>
        </w:rPr>
      </w:pPr>
    </w:p>
    <w:tbl>
      <w:tblPr>
        <w:tblW w:w="0" w:type="auto"/>
        <w:jc w:val="left"/>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56"/>
        <w:gridCol w:w="2777"/>
        <w:gridCol w:w="555"/>
        <w:gridCol w:w="555"/>
        <w:gridCol w:w="555"/>
        <w:gridCol w:w="525"/>
        <w:gridCol w:w="525"/>
        <w:gridCol w:w="510"/>
        <w:gridCol w:w="510"/>
        <w:gridCol w:w="555"/>
        <w:gridCol w:w="510"/>
        <w:gridCol w:w="525"/>
        <w:gridCol w:w="510"/>
        <w:gridCol w:w="510"/>
        <w:gridCol w:w="509"/>
        <w:gridCol w:w="524"/>
        <w:gridCol w:w="509"/>
        <w:gridCol w:w="509"/>
        <w:gridCol w:w="524"/>
      </w:tblGrid>
      <w:tr>
        <w:trPr>
          <w:trHeight w:val="252" w:hRule="atLeast"/>
        </w:trPr>
        <w:tc>
          <w:tcPr>
            <w:tcW w:w="3933" w:type="dxa"/>
            <w:gridSpan w:val="2"/>
            <w:vMerge w:val="restart"/>
            <w:tcBorders>
              <w:bottom w:val="single" w:sz="8" w:space="0" w:color="000000"/>
            </w:tcBorders>
          </w:tcPr>
          <w:p>
            <w:pPr>
              <w:pStyle w:val="TableParagraph"/>
              <w:jc w:val="left"/>
              <w:rPr>
                <w:sz w:val="18"/>
              </w:rPr>
            </w:pPr>
          </w:p>
        </w:tc>
        <w:tc>
          <w:tcPr>
            <w:tcW w:w="8920" w:type="dxa"/>
            <w:gridSpan w:val="17"/>
          </w:tcPr>
          <w:p>
            <w:pPr>
              <w:pStyle w:val="TableParagraph"/>
              <w:spacing w:before="3"/>
              <w:ind w:left="4242" w:right="4183"/>
              <w:rPr>
                <w:sz w:val="19"/>
              </w:rPr>
            </w:pPr>
            <w:r>
              <w:rPr>
                <w:spacing w:val="-4"/>
                <w:sz w:val="19"/>
              </w:rPr>
              <w:t>SDGs</w:t>
            </w:r>
          </w:p>
        </w:tc>
      </w:tr>
      <w:tr>
        <w:trPr>
          <w:trHeight w:val="265" w:hRule="atLeast"/>
        </w:trPr>
        <w:tc>
          <w:tcPr>
            <w:tcW w:w="3933" w:type="dxa"/>
            <w:gridSpan w:val="2"/>
            <w:vMerge/>
            <w:tcBorders>
              <w:top w:val="nil"/>
              <w:bottom w:val="single" w:sz="8" w:space="0" w:color="000000"/>
            </w:tcBorders>
          </w:tcPr>
          <w:p>
            <w:pPr>
              <w:rPr>
                <w:sz w:val="2"/>
                <w:szCs w:val="2"/>
              </w:rPr>
            </w:pPr>
          </w:p>
        </w:tc>
        <w:tc>
          <w:tcPr>
            <w:tcW w:w="555" w:type="dxa"/>
            <w:tcBorders>
              <w:bottom w:val="single" w:sz="8" w:space="0" w:color="000000"/>
            </w:tcBorders>
          </w:tcPr>
          <w:p>
            <w:pPr>
              <w:pStyle w:val="TableParagraph"/>
              <w:ind w:left="23"/>
              <w:rPr>
                <w:sz w:val="19"/>
              </w:rPr>
            </w:pPr>
            <w:r>
              <w:rPr>
                <w:w w:val="102"/>
                <w:sz w:val="19"/>
              </w:rPr>
              <w:t>1</w:t>
            </w:r>
          </w:p>
        </w:tc>
        <w:tc>
          <w:tcPr>
            <w:tcW w:w="555" w:type="dxa"/>
            <w:tcBorders>
              <w:bottom w:val="single" w:sz="8" w:space="0" w:color="000000"/>
            </w:tcBorders>
          </w:tcPr>
          <w:p>
            <w:pPr>
              <w:pStyle w:val="TableParagraph"/>
              <w:ind w:right="3"/>
              <w:rPr>
                <w:sz w:val="19"/>
              </w:rPr>
            </w:pPr>
            <w:r>
              <w:rPr>
                <w:w w:val="102"/>
                <w:sz w:val="19"/>
              </w:rPr>
              <w:t>2</w:t>
            </w:r>
          </w:p>
        </w:tc>
        <w:tc>
          <w:tcPr>
            <w:tcW w:w="555" w:type="dxa"/>
            <w:tcBorders>
              <w:bottom w:val="single" w:sz="8" w:space="0" w:color="000000"/>
            </w:tcBorders>
          </w:tcPr>
          <w:p>
            <w:pPr>
              <w:pStyle w:val="TableParagraph"/>
              <w:ind w:right="2"/>
              <w:rPr>
                <w:sz w:val="19"/>
              </w:rPr>
            </w:pPr>
            <w:r>
              <w:rPr>
                <w:w w:val="102"/>
                <w:sz w:val="19"/>
              </w:rPr>
              <w:t>3</w:t>
            </w:r>
          </w:p>
        </w:tc>
        <w:tc>
          <w:tcPr>
            <w:tcW w:w="525" w:type="dxa"/>
            <w:tcBorders>
              <w:bottom w:val="single" w:sz="8" w:space="0" w:color="000000"/>
            </w:tcBorders>
          </w:tcPr>
          <w:p>
            <w:pPr>
              <w:pStyle w:val="TableParagraph"/>
              <w:ind w:left="26"/>
              <w:rPr>
                <w:sz w:val="19"/>
              </w:rPr>
            </w:pPr>
            <w:r>
              <w:rPr>
                <w:w w:val="102"/>
                <w:sz w:val="19"/>
              </w:rPr>
              <w:t>4</w:t>
            </w:r>
          </w:p>
        </w:tc>
        <w:tc>
          <w:tcPr>
            <w:tcW w:w="525" w:type="dxa"/>
            <w:tcBorders>
              <w:bottom w:val="single" w:sz="8" w:space="0" w:color="000000"/>
            </w:tcBorders>
          </w:tcPr>
          <w:p>
            <w:pPr>
              <w:pStyle w:val="TableParagraph"/>
              <w:ind w:left="27"/>
              <w:rPr>
                <w:sz w:val="19"/>
              </w:rPr>
            </w:pPr>
            <w:r>
              <w:rPr>
                <w:w w:val="102"/>
                <w:sz w:val="19"/>
              </w:rPr>
              <w:t>5</w:t>
            </w:r>
          </w:p>
        </w:tc>
        <w:tc>
          <w:tcPr>
            <w:tcW w:w="510" w:type="dxa"/>
            <w:tcBorders>
              <w:bottom w:val="single" w:sz="8" w:space="0" w:color="000000"/>
            </w:tcBorders>
          </w:tcPr>
          <w:p>
            <w:pPr>
              <w:pStyle w:val="TableParagraph"/>
              <w:ind w:left="205"/>
              <w:jc w:val="left"/>
              <w:rPr>
                <w:sz w:val="19"/>
              </w:rPr>
            </w:pPr>
            <w:r>
              <w:rPr>
                <w:w w:val="102"/>
                <w:sz w:val="19"/>
              </w:rPr>
              <w:t>6</w:t>
            </w:r>
          </w:p>
        </w:tc>
        <w:tc>
          <w:tcPr>
            <w:tcW w:w="510" w:type="dxa"/>
            <w:tcBorders>
              <w:bottom w:val="single" w:sz="8" w:space="0" w:color="000000"/>
            </w:tcBorders>
          </w:tcPr>
          <w:p>
            <w:pPr>
              <w:pStyle w:val="TableParagraph"/>
              <w:ind w:left="13"/>
              <w:rPr>
                <w:sz w:val="19"/>
              </w:rPr>
            </w:pPr>
            <w:r>
              <w:rPr>
                <w:w w:val="102"/>
                <w:sz w:val="19"/>
              </w:rPr>
              <w:t>7</w:t>
            </w:r>
          </w:p>
        </w:tc>
        <w:tc>
          <w:tcPr>
            <w:tcW w:w="555" w:type="dxa"/>
            <w:tcBorders>
              <w:bottom w:val="single" w:sz="8" w:space="0" w:color="000000"/>
            </w:tcBorders>
          </w:tcPr>
          <w:p>
            <w:pPr>
              <w:pStyle w:val="TableParagraph"/>
              <w:ind w:left="29"/>
              <w:rPr>
                <w:sz w:val="19"/>
              </w:rPr>
            </w:pPr>
            <w:r>
              <w:rPr>
                <w:w w:val="102"/>
                <w:sz w:val="19"/>
              </w:rPr>
              <w:t>8</w:t>
            </w:r>
          </w:p>
        </w:tc>
        <w:tc>
          <w:tcPr>
            <w:tcW w:w="510" w:type="dxa"/>
            <w:tcBorders>
              <w:bottom w:val="single" w:sz="8" w:space="0" w:color="000000"/>
            </w:tcBorders>
          </w:tcPr>
          <w:p>
            <w:pPr>
              <w:pStyle w:val="TableParagraph"/>
              <w:ind w:left="15"/>
              <w:rPr>
                <w:sz w:val="19"/>
              </w:rPr>
            </w:pPr>
            <w:r>
              <w:rPr>
                <w:w w:val="102"/>
                <w:sz w:val="19"/>
              </w:rPr>
              <w:t>9</w:t>
            </w:r>
          </w:p>
        </w:tc>
        <w:tc>
          <w:tcPr>
            <w:tcW w:w="525" w:type="dxa"/>
            <w:tcBorders>
              <w:bottom w:val="single" w:sz="8" w:space="0" w:color="000000"/>
            </w:tcBorders>
          </w:tcPr>
          <w:p>
            <w:pPr>
              <w:pStyle w:val="TableParagraph"/>
              <w:ind w:left="177"/>
              <w:jc w:val="left"/>
              <w:rPr>
                <w:sz w:val="19"/>
              </w:rPr>
            </w:pPr>
            <w:r>
              <w:rPr>
                <w:spacing w:val="-5"/>
                <w:sz w:val="19"/>
              </w:rPr>
              <w:t>10</w:t>
            </w:r>
          </w:p>
        </w:tc>
        <w:tc>
          <w:tcPr>
            <w:tcW w:w="510" w:type="dxa"/>
            <w:tcBorders>
              <w:bottom w:val="single" w:sz="8" w:space="0" w:color="000000"/>
            </w:tcBorders>
          </w:tcPr>
          <w:p>
            <w:pPr>
              <w:pStyle w:val="TableParagraph"/>
              <w:ind w:left="105" w:right="66"/>
              <w:rPr>
                <w:sz w:val="19"/>
              </w:rPr>
            </w:pPr>
            <w:r>
              <w:rPr>
                <w:spacing w:val="-5"/>
                <w:sz w:val="19"/>
              </w:rPr>
              <w:t>11</w:t>
            </w:r>
          </w:p>
        </w:tc>
        <w:tc>
          <w:tcPr>
            <w:tcW w:w="510" w:type="dxa"/>
            <w:tcBorders>
              <w:bottom w:val="single" w:sz="8" w:space="0" w:color="000000"/>
            </w:tcBorders>
          </w:tcPr>
          <w:p>
            <w:pPr>
              <w:pStyle w:val="TableParagraph"/>
              <w:ind w:left="162"/>
              <w:jc w:val="left"/>
              <w:rPr>
                <w:sz w:val="19"/>
              </w:rPr>
            </w:pPr>
            <w:r>
              <w:rPr>
                <w:spacing w:val="-5"/>
                <w:sz w:val="19"/>
              </w:rPr>
              <w:t>12</w:t>
            </w:r>
          </w:p>
        </w:tc>
        <w:tc>
          <w:tcPr>
            <w:tcW w:w="509" w:type="dxa"/>
            <w:tcBorders>
              <w:bottom w:val="single" w:sz="8" w:space="0" w:color="000000"/>
            </w:tcBorders>
          </w:tcPr>
          <w:p>
            <w:pPr>
              <w:pStyle w:val="TableParagraph"/>
              <w:ind w:left="148" w:right="106"/>
              <w:rPr>
                <w:sz w:val="19"/>
              </w:rPr>
            </w:pPr>
            <w:r>
              <w:rPr>
                <w:spacing w:val="-5"/>
                <w:sz w:val="19"/>
              </w:rPr>
              <w:t>13</w:t>
            </w:r>
          </w:p>
        </w:tc>
        <w:tc>
          <w:tcPr>
            <w:tcW w:w="524" w:type="dxa"/>
            <w:tcBorders>
              <w:bottom w:val="single" w:sz="8" w:space="0" w:color="000000"/>
            </w:tcBorders>
          </w:tcPr>
          <w:p>
            <w:pPr>
              <w:pStyle w:val="TableParagraph"/>
              <w:ind w:left="160" w:right="129"/>
              <w:rPr>
                <w:sz w:val="19"/>
              </w:rPr>
            </w:pPr>
            <w:r>
              <w:rPr>
                <w:spacing w:val="-5"/>
                <w:sz w:val="19"/>
              </w:rPr>
              <w:t>14</w:t>
            </w:r>
          </w:p>
        </w:tc>
        <w:tc>
          <w:tcPr>
            <w:tcW w:w="509" w:type="dxa"/>
            <w:tcBorders>
              <w:bottom w:val="single" w:sz="8" w:space="0" w:color="000000"/>
            </w:tcBorders>
          </w:tcPr>
          <w:p>
            <w:pPr>
              <w:pStyle w:val="TableParagraph"/>
              <w:ind w:left="148" w:right="100"/>
              <w:rPr>
                <w:sz w:val="19"/>
              </w:rPr>
            </w:pPr>
            <w:r>
              <w:rPr>
                <w:spacing w:val="-5"/>
                <w:sz w:val="19"/>
              </w:rPr>
              <w:t>15</w:t>
            </w:r>
          </w:p>
        </w:tc>
        <w:tc>
          <w:tcPr>
            <w:tcW w:w="509" w:type="dxa"/>
            <w:tcBorders>
              <w:bottom w:val="single" w:sz="8" w:space="0" w:color="000000"/>
            </w:tcBorders>
          </w:tcPr>
          <w:p>
            <w:pPr>
              <w:pStyle w:val="TableParagraph"/>
              <w:ind w:left="135" w:right="113"/>
              <w:rPr>
                <w:sz w:val="19"/>
              </w:rPr>
            </w:pPr>
            <w:r>
              <w:rPr>
                <w:spacing w:val="-5"/>
                <w:sz w:val="19"/>
              </w:rPr>
              <w:t>16</w:t>
            </w:r>
          </w:p>
        </w:tc>
        <w:tc>
          <w:tcPr>
            <w:tcW w:w="524" w:type="dxa"/>
            <w:tcBorders>
              <w:bottom w:val="single" w:sz="8" w:space="0" w:color="000000"/>
            </w:tcBorders>
          </w:tcPr>
          <w:p>
            <w:pPr>
              <w:pStyle w:val="TableParagraph"/>
              <w:ind w:left="168"/>
              <w:jc w:val="left"/>
              <w:rPr>
                <w:sz w:val="19"/>
              </w:rPr>
            </w:pPr>
            <w:r>
              <w:rPr>
                <w:spacing w:val="-5"/>
                <w:sz w:val="19"/>
              </w:rPr>
              <w:t>17</w:t>
            </w:r>
          </w:p>
        </w:tc>
      </w:tr>
      <w:tr>
        <w:trPr>
          <w:trHeight w:val="252" w:hRule="atLeast"/>
        </w:trPr>
        <w:tc>
          <w:tcPr>
            <w:tcW w:w="1156" w:type="dxa"/>
            <w:vMerge w:val="restart"/>
            <w:tcBorders>
              <w:top w:val="single" w:sz="8" w:space="0" w:color="000000"/>
            </w:tcBorders>
          </w:tcPr>
          <w:p>
            <w:pPr>
              <w:pStyle w:val="TableParagraph"/>
              <w:spacing w:line="204" w:lineRule="exact"/>
              <w:ind w:left="157"/>
              <w:jc w:val="left"/>
              <w:rPr>
                <w:sz w:val="19"/>
              </w:rPr>
            </w:pPr>
            <w:r>
              <w:rPr>
                <w:spacing w:val="-2"/>
                <w:sz w:val="19"/>
              </w:rPr>
              <w:t>Developed</w:t>
            </w:r>
          </w:p>
          <w:p>
            <w:pPr>
              <w:pStyle w:val="TableParagraph"/>
              <w:spacing w:before="22"/>
              <w:ind w:left="262"/>
              <w:jc w:val="left"/>
              <w:rPr>
                <w:sz w:val="19"/>
              </w:rPr>
            </w:pPr>
            <w:r>
              <w:rPr>
                <w:spacing w:val="-2"/>
                <w:sz w:val="19"/>
              </w:rPr>
              <w:t>Regions</w:t>
            </w:r>
          </w:p>
        </w:tc>
        <w:tc>
          <w:tcPr>
            <w:tcW w:w="2777" w:type="dxa"/>
            <w:tcBorders>
              <w:top w:val="single" w:sz="8" w:space="0" w:color="000000"/>
            </w:tcBorders>
          </w:tcPr>
          <w:p>
            <w:pPr>
              <w:pStyle w:val="TableParagraph"/>
              <w:spacing w:line="204" w:lineRule="exact"/>
              <w:ind w:left="112"/>
              <w:jc w:val="left"/>
              <w:rPr>
                <w:sz w:val="19"/>
              </w:rPr>
            </w:pPr>
            <w:r>
              <w:rPr>
                <w:sz w:val="19"/>
              </w:rPr>
              <w:t>US</w:t>
            </w:r>
            <w:r>
              <w:rPr>
                <w:spacing w:val="8"/>
                <w:sz w:val="19"/>
              </w:rPr>
              <w:t> </w:t>
            </w:r>
            <w:r>
              <w:rPr>
                <w:sz w:val="19"/>
              </w:rPr>
              <w:t>&amp;</w:t>
            </w:r>
            <w:r>
              <w:rPr>
                <w:spacing w:val="10"/>
                <w:sz w:val="19"/>
              </w:rPr>
              <w:t> </w:t>
            </w:r>
            <w:r>
              <w:rPr>
                <w:spacing w:val="-2"/>
                <w:sz w:val="19"/>
              </w:rPr>
              <w:t>Canada</w:t>
            </w:r>
          </w:p>
        </w:tc>
        <w:tc>
          <w:tcPr>
            <w:tcW w:w="555" w:type="dxa"/>
            <w:tcBorders>
              <w:top w:val="single" w:sz="8" w:space="0" w:color="000000"/>
            </w:tcBorders>
          </w:tcPr>
          <w:p>
            <w:pPr>
              <w:pStyle w:val="TableParagraph"/>
              <w:ind w:left="130" w:right="99"/>
              <w:rPr>
                <w:sz w:val="19"/>
              </w:rPr>
            </w:pPr>
            <w:r>
              <w:rPr>
                <w:spacing w:val="-5"/>
                <w:sz w:val="19"/>
              </w:rPr>
              <w:t>129</w:t>
            </w:r>
          </w:p>
        </w:tc>
        <w:tc>
          <w:tcPr>
            <w:tcW w:w="555" w:type="dxa"/>
            <w:tcBorders>
              <w:top w:val="single" w:sz="8" w:space="0" w:color="000000"/>
            </w:tcBorders>
          </w:tcPr>
          <w:p>
            <w:pPr>
              <w:pStyle w:val="TableParagraph"/>
              <w:ind w:right="109"/>
              <w:jc w:val="right"/>
              <w:rPr>
                <w:sz w:val="19"/>
              </w:rPr>
            </w:pPr>
            <w:r>
              <w:rPr>
                <w:spacing w:val="-5"/>
                <w:sz w:val="19"/>
              </w:rPr>
              <w:t>107</w:t>
            </w:r>
          </w:p>
        </w:tc>
        <w:tc>
          <w:tcPr>
            <w:tcW w:w="555" w:type="dxa"/>
            <w:tcBorders>
              <w:top w:val="single" w:sz="8" w:space="0" w:color="000000"/>
            </w:tcBorders>
          </w:tcPr>
          <w:p>
            <w:pPr>
              <w:pStyle w:val="TableParagraph"/>
              <w:ind w:right="108"/>
              <w:jc w:val="right"/>
              <w:rPr>
                <w:sz w:val="19"/>
              </w:rPr>
            </w:pPr>
            <w:r>
              <w:rPr>
                <w:spacing w:val="-5"/>
                <w:sz w:val="19"/>
              </w:rPr>
              <w:t>126</w:t>
            </w:r>
          </w:p>
        </w:tc>
        <w:tc>
          <w:tcPr>
            <w:tcW w:w="525" w:type="dxa"/>
            <w:tcBorders>
              <w:top w:val="single" w:sz="8" w:space="0" w:color="000000"/>
            </w:tcBorders>
          </w:tcPr>
          <w:p>
            <w:pPr>
              <w:pStyle w:val="TableParagraph"/>
              <w:ind w:left="87" w:right="68"/>
              <w:rPr>
                <w:sz w:val="19"/>
              </w:rPr>
            </w:pPr>
            <w:r>
              <w:rPr>
                <w:spacing w:val="-5"/>
                <w:sz w:val="19"/>
              </w:rPr>
              <w:t>16</w:t>
            </w:r>
          </w:p>
        </w:tc>
        <w:tc>
          <w:tcPr>
            <w:tcW w:w="525" w:type="dxa"/>
            <w:tcBorders>
              <w:top w:val="single" w:sz="8" w:space="0" w:color="000000"/>
            </w:tcBorders>
          </w:tcPr>
          <w:p>
            <w:pPr>
              <w:pStyle w:val="TableParagraph"/>
              <w:ind w:left="118" w:right="68"/>
              <w:rPr>
                <w:sz w:val="19"/>
              </w:rPr>
            </w:pPr>
            <w:r>
              <w:rPr>
                <w:spacing w:val="-5"/>
                <w:sz w:val="19"/>
              </w:rPr>
              <w:t>76</w:t>
            </w:r>
          </w:p>
        </w:tc>
        <w:tc>
          <w:tcPr>
            <w:tcW w:w="510" w:type="dxa"/>
            <w:tcBorders>
              <w:top w:val="single" w:sz="8" w:space="0" w:color="000000"/>
            </w:tcBorders>
          </w:tcPr>
          <w:p>
            <w:pPr>
              <w:pStyle w:val="TableParagraph"/>
              <w:ind w:left="160"/>
              <w:jc w:val="left"/>
              <w:rPr>
                <w:sz w:val="19"/>
              </w:rPr>
            </w:pPr>
            <w:r>
              <w:rPr>
                <w:spacing w:val="-5"/>
                <w:sz w:val="19"/>
              </w:rPr>
              <w:t>10</w:t>
            </w:r>
          </w:p>
        </w:tc>
        <w:tc>
          <w:tcPr>
            <w:tcW w:w="510" w:type="dxa"/>
            <w:tcBorders>
              <w:top w:val="single" w:sz="8" w:space="0" w:color="000000"/>
            </w:tcBorders>
          </w:tcPr>
          <w:p>
            <w:pPr>
              <w:pStyle w:val="TableParagraph"/>
              <w:ind w:left="102" w:right="66"/>
              <w:rPr>
                <w:sz w:val="19"/>
              </w:rPr>
            </w:pPr>
            <w:r>
              <w:rPr>
                <w:spacing w:val="-5"/>
                <w:sz w:val="19"/>
              </w:rPr>
              <w:t>44</w:t>
            </w:r>
          </w:p>
        </w:tc>
        <w:tc>
          <w:tcPr>
            <w:tcW w:w="555" w:type="dxa"/>
            <w:tcBorders>
              <w:top w:val="single" w:sz="8" w:space="0" w:color="000000"/>
            </w:tcBorders>
          </w:tcPr>
          <w:p>
            <w:pPr>
              <w:pStyle w:val="TableParagraph"/>
              <w:ind w:right="91"/>
              <w:jc w:val="right"/>
              <w:rPr>
                <w:sz w:val="19"/>
              </w:rPr>
            </w:pPr>
            <w:r>
              <w:rPr>
                <w:spacing w:val="-5"/>
                <w:sz w:val="19"/>
              </w:rPr>
              <w:t>120</w:t>
            </w:r>
          </w:p>
        </w:tc>
        <w:tc>
          <w:tcPr>
            <w:tcW w:w="510" w:type="dxa"/>
            <w:tcBorders>
              <w:top w:val="single" w:sz="8" w:space="0" w:color="000000"/>
            </w:tcBorders>
          </w:tcPr>
          <w:p>
            <w:pPr>
              <w:pStyle w:val="TableParagraph"/>
              <w:ind w:left="15"/>
              <w:rPr>
                <w:sz w:val="19"/>
              </w:rPr>
            </w:pPr>
            <w:r>
              <w:rPr>
                <w:w w:val="102"/>
                <w:sz w:val="19"/>
              </w:rPr>
              <w:t>2</w:t>
            </w:r>
          </w:p>
        </w:tc>
        <w:tc>
          <w:tcPr>
            <w:tcW w:w="525" w:type="dxa"/>
            <w:tcBorders>
              <w:top w:val="single" w:sz="8" w:space="0" w:color="000000"/>
            </w:tcBorders>
          </w:tcPr>
          <w:p>
            <w:pPr>
              <w:pStyle w:val="TableParagraph"/>
              <w:ind w:left="177"/>
              <w:jc w:val="left"/>
              <w:rPr>
                <w:sz w:val="19"/>
              </w:rPr>
            </w:pPr>
            <w:r>
              <w:rPr>
                <w:spacing w:val="-5"/>
                <w:sz w:val="19"/>
              </w:rPr>
              <w:t>79</w:t>
            </w:r>
          </w:p>
        </w:tc>
        <w:tc>
          <w:tcPr>
            <w:tcW w:w="510" w:type="dxa"/>
            <w:tcBorders>
              <w:top w:val="single" w:sz="8" w:space="0" w:color="000000"/>
            </w:tcBorders>
          </w:tcPr>
          <w:p>
            <w:pPr>
              <w:pStyle w:val="TableParagraph"/>
              <w:ind w:left="17"/>
              <w:rPr>
                <w:sz w:val="19"/>
              </w:rPr>
            </w:pPr>
            <w:r>
              <w:rPr>
                <w:w w:val="102"/>
                <w:sz w:val="19"/>
              </w:rPr>
              <w:t>4</w:t>
            </w:r>
          </w:p>
        </w:tc>
        <w:tc>
          <w:tcPr>
            <w:tcW w:w="510" w:type="dxa"/>
            <w:tcBorders>
              <w:top w:val="single" w:sz="8" w:space="0" w:color="000000"/>
            </w:tcBorders>
          </w:tcPr>
          <w:p>
            <w:pPr>
              <w:pStyle w:val="TableParagraph"/>
              <w:ind w:left="207"/>
              <w:jc w:val="left"/>
              <w:rPr>
                <w:sz w:val="19"/>
              </w:rPr>
            </w:pPr>
            <w:r>
              <w:rPr>
                <w:w w:val="102"/>
                <w:sz w:val="19"/>
              </w:rPr>
              <w:t>3</w:t>
            </w:r>
          </w:p>
        </w:tc>
        <w:tc>
          <w:tcPr>
            <w:tcW w:w="509" w:type="dxa"/>
            <w:tcBorders>
              <w:top w:val="single" w:sz="8" w:space="0" w:color="000000"/>
            </w:tcBorders>
          </w:tcPr>
          <w:p>
            <w:pPr>
              <w:pStyle w:val="TableParagraph"/>
              <w:ind w:left="148" w:right="106"/>
              <w:rPr>
                <w:sz w:val="19"/>
              </w:rPr>
            </w:pPr>
            <w:r>
              <w:rPr>
                <w:spacing w:val="-5"/>
                <w:sz w:val="19"/>
              </w:rPr>
              <w:t>14</w:t>
            </w:r>
          </w:p>
        </w:tc>
        <w:tc>
          <w:tcPr>
            <w:tcW w:w="524" w:type="dxa"/>
            <w:tcBorders>
              <w:top w:val="single" w:sz="8" w:space="0" w:color="000000"/>
            </w:tcBorders>
          </w:tcPr>
          <w:p>
            <w:pPr>
              <w:pStyle w:val="TableParagraph"/>
              <w:ind w:left="38"/>
              <w:rPr>
                <w:sz w:val="19"/>
              </w:rPr>
            </w:pPr>
            <w:r>
              <w:rPr>
                <w:w w:val="102"/>
                <w:sz w:val="19"/>
              </w:rPr>
              <w:t>2</w:t>
            </w:r>
          </w:p>
        </w:tc>
        <w:tc>
          <w:tcPr>
            <w:tcW w:w="509" w:type="dxa"/>
            <w:tcBorders>
              <w:top w:val="single" w:sz="8" w:space="0" w:color="000000"/>
            </w:tcBorders>
          </w:tcPr>
          <w:p>
            <w:pPr>
              <w:pStyle w:val="TableParagraph"/>
              <w:ind w:left="148" w:right="100"/>
              <w:rPr>
                <w:sz w:val="19"/>
              </w:rPr>
            </w:pPr>
            <w:r>
              <w:rPr>
                <w:spacing w:val="-5"/>
                <w:sz w:val="19"/>
              </w:rPr>
              <w:t>46</w:t>
            </w:r>
          </w:p>
        </w:tc>
        <w:tc>
          <w:tcPr>
            <w:tcW w:w="509" w:type="dxa"/>
            <w:tcBorders>
              <w:top w:val="single" w:sz="8" w:space="0" w:color="000000"/>
            </w:tcBorders>
          </w:tcPr>
          <w:p>
            <w:pPr>
              <w:pStyle w:val="TableParagraph"/>
              <w:ind w:left="29"/>
              <w:rPr>
                <w:sz w:val="19"/>
              </w:rPr>
            </w:pPr>
            <w:r>
              <w:rPr>
                <w:w w:val="102"/>
                <w:sz w:val="19"/>
              </w:rPr>
              <w:t>8</w:t>
            </w:r>
          </w:p>
        </w:tc>
        <w:tc>
          <w:tcPr>
            <w:tcW w:w="524" w:type="dxa"/>
            <w:tcBorders>
              <w:top w:val="single" w:sz="8" w:space="0" w:color="000000"/>
            </w:tcBorders>
          </w:tcPr>
          <w:p>
            <w:pPr>
              <w:pStyle w:val="TableParagraph"/>
              <w:ind w:left="229"/>
              <w:jc w:val="left"/>
              <w:rPr>
                <w:sz w:val="19"/>
              </w:rPr>
            </w:pPr>
            <w:r>
              <w:rPr>
                <w:w w:val="102"/>
                <w:sz w:val="19"/>
              </w:rPr>
              <w:t>0</w:t>
            </w:r>
          </w:p>
        </w:tc>
      </w:tr>
      <w:tr>
        <w:trPr>
          <w:trHeight w:val="450" w:hRule="atLeast"/>
        </w:trPr>
        <w:tc>
          <w:tcPr>
            <w:tcW w:w="1156" w:type="dxa"/>
            <w:vMerge/>
            <w:tcBorders>
              <w:top w:val="nil"/>
            </w:tcBorders>
          </w:tcPr>
          <w:p>
            <w:pPr>
              <w:rPr>
                <w:sz w:val="2"/>
                <w:szCs w:val="2"/>
              </w:rPr>
            </w:pPr>
          </w:p>
        </w:tc>
        <w:tc>
          <w:tcPr>
            <w:tcW w:w="2777" w:type="dxa"/>
          </w:tcPr>
          <w:p>
            <w:pPr>
              <w:pStyle w:val="TableParagraph"/>
              <w:spacing w:line="226" w:lineRule="exact"/>
              <w:ind w:left="112" w:right="200"/>
              <w:jc w:val="left"/>
              <w:rPr>
                <w:sz w:val="19"/>
              </w:rPr>
            </w:pPr>
            <w:r>
              <w:rPr>
                <w:sz w:val="19"/>
              </w:rPr>
              <w:t>Western, Northern, and Southern Europe</w:t>
            </w:r>
          </w:p>
        </w:tc>
        <w:tc>
          <w:tcPr>
            <w:tcW w:w="555" w:type="dxa"/>
          </w:tcPr>
          <w:p>
            <w:pPr>
              <w:pStyle w:val="TableParagraph"/>
              <w:spacing w:before="108"/>
              <w:ind w:left="130" w:right="84"/>
              <w:rPr>
                <w:sz w:val="19"/>
              </w:rPr>
            </w:pPr>
            <w:r>
              <w:rPr>
                <w:spacing w:val="-5"/>
                <w:sz w:val="19"/>
              </w:rPr>
              <w:t>10</w:t>
            </w:r>
          </w:p>
        </w:tc>
        <w:tc>
          <w:tcPr>
            <w:tcW w:w="555" w:type="dxa"/>
          </w:tcPr>
          <w:p>
            <w:pPr>
              <w:pStyle w:val="TableParagraph"/>
              <w:spacing w:before="108"/>
              <w:ind w:right="3"/>
              <w:rPr>
                <w:sz w:val="19"/>
              </w:rPr>
            </w:pPr>
            <w:r>
              <w:rPr>
                <w:w w:val="102"/>
                <w:sz w:val="19"/>
              </w:rPr>
              <w:t>9</w:t>
            </w:r>
          </w:p>
        </w:tc>
        <w:tc>
          <w:tcPr>
            <w:tcW w:w="555" w:type="dxa"/>
          </w:tcPr>
          <w:p>
            <w:pPr>
              <w:pStyle w:val="TableParagraph"/>
              <w:spacing w:before="108"/>
              <w:ind w:right="153"/>
              <w:jc w:val="right"/>
              <w:rPr>
                <w:sz w:val="19"/>
              </w:rPr>
            </w:pPr>
            <w:r>
              <w:rPr>
                <w:spacing w:val="-5"/>
                <w:sz w:val="19"/>
              </w:rPr>
              <w:t>10</w:t>
            </w:r>
          </w:p>
        </w:tc>
        <w:tc>
          <w:tcPr>
            <w:tcW w:w="525" w:type="dxa"/>
          </w:tcPr>
          <w:p>
            <w:pPr>
              <w:pStyle w:val="TableParagraph"/>
              <w:spacing w:before="108"/>
              <w:ind w:left="26"/>
              <w:rPr>
                <w:sz w:val="19"/>
              </w:rPr>
            </w:pPr>
            <w:r>
              <w:rPr>
                <w:w w:val="102"/>
                <w:sz w:val="19"/>
              </w:rPr>
              <w:t>1</w:t>
            </w:r>
          </w:p>
        </w:tc>
        <w:tc>
          <w:tcPr>
            <w:tcW w:w="525" w:type="dxa"/>
          </w:tcPr>
          <w:p>
            <w:pPr>
              <w:pStyle w:val="TableParagraph"/>
              <w:spacing w:before="108"/>
              <w:ind w:left="27"/>
              <w:rPr>
                <w:sz w:val="19"/>
              </w:rPr>
            </w:pPr>
            <w:r>
              <w:rPr>
                <w:w w:val="102"/>
                <w:sz w:val="19"/>
              </w:rPr>
              <w:t>8</w:t>
            </w:r>
          </w:p>
        </w:tc>
        <w:tc>
          <w:tcPr>
            <w:tcW w:w="510" w:type="dxa"/>
          </w:tcPr>
          <w:p>
            <w:pPr>
              <w:pStyle w:val="TableParagraph"/>
              <w:spacing w:before="108"/>
              <w:ind w:left="205"/>
              <w:jc w:val="left"/>
              <w:rPr>
                <w:sz w:val="19"/>
              </w:rPr>
            </w:pPr>
            <w:r>
              <w:rPr>
                <w:w w:val="102"/>
                <w:sz w:val="19"/>
              </w:rPr>
              <w:t>0</w:t>
            </w:r>
          </w:p>
        </w:tc>
        <w:tc>
          <w:tcPr>
            <w:tcW w:w="510" w:type="dxa"/>
          </w:tcPr>
          <w:p>
            <w:pPr>
              <w:pStyle w:val="TableParagraph"/>
              <w:spacing w:before="108"/>
              <w:ind w:left="13"/>
              <w:rPr>
                <w:sz w:val="19"/>
              </w:rPr>
            </w:pPr>
            <w:r>
              <w:rPr>
                <w:w w:val="102"/>
                <w:sz w:val="19"/>
              </w:rPr>
              <w:t>1</w:t>
            </w:r>
          </w:p>
        </w:tc>
        <w:tc>
          <w:tcPr>
            <w:tcW w:w="555" w:type="dxa"/>
          </w:tcPr>
          <w:p>
            <w:pPr>
              <w:pStyle w:val="TableParagraph"/>
              <w:spacing w:before="108"/>
              <w:ind w:left="29"/>
              <w:rPr>
                <w:sz w:val="19"/>
              </w:rPr>
            </w:pPr>
            <w:r>
              <w:rPr>
                <w:w w:val="102"/>
                <w:sz w:val="19"/>
              </w:rPr>
              <w:t>9</w:t>
            </w:r>
          </w:p>
        </w:tc>
        <w:tc>
          <w:tcPr>
            <w:tcW w:w="510" w:type="dxa"/>
          </w:tcPr>
          <w:p>
            <w:pPr>
              <w:pStyle w:val="TableParagraph"/>
              <w:spacing w:before="108"/>
              <w:ind w:left="15"/>
              <w:rPr>
                <w:sz w:val="19"/>
              </w:rPr>
            </w:pPr>
            <w:r>
              <w:rPr>
                <w:w w:val="102"/>
                <w:sz w:val="19"/>
              </w:rPr>
              <w:t>0</w:t>
            </w:r>
          </w:p>
        </w:tc>
        <w:tc>
          <w:tcPr>
            <w:tcW w:w="525" w:type="dxa"/>
          </w:tcPr>
          <w:p>
            <w:pPr>
              <w:pStyle w:val="TableParagraph"/>
              <w:spacing w:before="108"/>
              <w:ind w:left="222"/>
              <w:jc w:val="left"/>
              <w:rPr>
                <w:sz w:val="19"/>
              </w:rPr>
            </w:pPr>
            <w:r>
              <w:rPr>
                <w:w w:val="102"/>
                <w:sz w:val="19"/>
              </w:rPr>
              <w:t>8</w:t>
            </w:r>
          </w:p>
        </w:tc>
        <w:tc>
          <w:tcPr>
            <w:tcW w:w="510" w:type="dxa"/>
          </w:tcPr>
          <w:p>
            <w:pPr>
              <w:pStyle w:val="TableParagraph"/>
              <w:spacing w:before="108"/>
              <w:ind w:left="17"/>
              <w:rPr>
                <w:sz w:val="19"/>
              </w:rPr>
            </w:pPr>
            <w:r>
              <w:rPr>
                <w:w w:val="102"/>
                <w:sz w:val="19"/>
              </w:rPr>
              <w:t>0</w:t>
            </w:r>
          </w:p>
        </w:tc>
        <w:tc>
          <w:tcPr>
            <w:tcW w:w="510" w:type="dxa"/>
          </w:tcPr>
          <w:p>
            <w:pPr>
              <w:pStyle w:val="TableParagraph"/>
              <w:spacing w:before="108"/>
              <w:ind w:left="207"/>
              <w:jc w:val="left"/>
              <w:rPr>
                <w:sz w:val="19"/>
              </w:rPr>
            </w:pPr>
            <w:r>
              <w:rPr>
                <w:w w:val="102"/>
                <w:sz w:val="19"/>
              </w:rPr>
              <w:t>0</w:t>
            </w:r>
          </w:p>
        </w:tc>
        <w:tc>
          <w:tcPr>
            <w:tcW w:w="509" w:type="dxa"/>
          </w:tcPr>
          <w:p>
            <w:pPr>
              <w:pStyle w:val="TableParagraph"/>
              <w:spacing w:before="108"/>
              <w:ind w:left="50"/>
              <w:rPr>
                <w:sz w:val="19"/>
              </w:rPr>
            </w:pPr>
            <w:r>
              <w:rPr>
                <w:w w:val="102"/>
                <w:sz w:val="19"/>
              </w:rPr>
              <w:t>1</w:t>
            </w:r>
          </w:p>
        </w:tc>
        <w:tc>
          <w:tcPr>
            <w:tcW w:w="524" w:type="dxa"/>
          </w:tcPr>
          <w:p>
            <w:pPr>
              <w:pStyle w:val="TableParagraph"/>
              <w:spacing w:before="108"/>
              <w:ind w:left="38"/>
              <w:rPr>
                <w:sz w:val="19"/>
              </w:rPr>
            </w:pPr>
            <w:r>
              <w:rPr>
                <w:w w:val="102"/>
                <w:sz w:val="19"/>
              </w:rPr>
              <w:t>0</w:t>
            </w:r>
          </w:p>
        </w:tc>
        <w:tc>
          <w:tcPr>
            <w:tcW w:w="509" w:type="dxa"/>
          </w:tcPr>
          <w:p>
            <w:pPr>
              <w:pStyle w:val="TableParagraph"/>
              <w:spacing w:before="108"/>
              <w:ind w:left="26"/>
              <w:rPr>
                <w:sz w:val="19"/>
              </w:rPr>
            </w:pPr>
            <w:r>
              <w:rPr>
                <w:w w:val="102"/>
                <w:sz w:val="19"/>
              </w:rPr>
              <w:t>2</w:t>
            </w:r>
          </w:p>
        </w:tc>
        <w:tc>
          <w:tcPr>
            <w:tcW w:w="509" w:type="dxa"/>
          </w:tcPr>
          <w:p>
            <w:pPr>
              <w:pStyle w:val="TableParagraph"/>
              <w:spacing w:before="108"/>
              <w:ind w:left="29"/>
              <w:rPr>
                <w:sz w:val="19"/>
              </w:rPr>
            </w:pPr>
            <w:r>
              <w:rPr>
                <w:w w:val="102"/>
                <w:sz w:val="19"/>
              </w:rPr>
              <w:t>1</w:t>
            </w:r>
          </w:p>
        </w:tc>
        <w:tc>
          <w:tcPr>
            <w:tcW w:w="524" w:type="dxa"/>
          </w:tcPr>
          <w:p>
            <w:pPr>
              <w:pStyle w:val="TableParagraph"/>
              <w:spacing w:before="108"/>
              <w:ind w:left="229"/>
              <w:jc w:val="left"/>
              <w:rPr>
                <w:sz w:val="19"/>
              </w:rPr>
            </w:pPr>
            <w:r>
              <w:rPr>
                <w:w w:val="102"/>
                <w:sz w:val="19"/>
              </w:rPr>
              <w:t>0</w:t>
            </w:r>
          </w:p>
        </w:tc>
      </w:tr>
      <w:tr>
        <w:trPr>
          <w:trHeight w:val="268" w:hRule="atLeast"/>
        </w:trPr>
        <w:tc>
          <w:tcPr>
            <w:tcW w:w="1156" w:type="dxa"/>
            <w:vMerge/>
            <w:tcBorders>
              <w:top w:val="nil"/>
            </w:tcBorders>
          </w:tcPr>
          <w:p>
            <w:pPr>
              <w:rPr>
                <w:sz w:val="2"/>
                <w:szCs w:val="2"/>
              </w:rPr>
            </w:pPr>
          </w:p>
        </w:tc>
        <w:tc>
          <w:tcPr>
            <w:tcW w:w="2777" w:type="dxa"/>
          </w:tcPr>
          <w:p>
            <w:pPr>
              <w:pStyle w:val="TableParagraph"/>
              <w:spacing w:before="1"/>
              <w:ind w:left="112"/>
              <w:jc w:val="left"/>
              <w:rPr>
                <w:sz w:val="19"/>
              </w:rPr>
            </w:pPr>
            <w:r>
              <w:rPr>
                <w:spacing w:val="-2"/>
                <w:sz w:val="19"/>
              </w:rPr>
              <w:t>Oceania</w:t>
            </w:r>
          </w:p>
        </w:tc>
        <w:tc>
          <w:tcPr>
            <w:tcW w:w="555" w:type="dxa"/>
          </w:tcPr>
          <w:p>
            <w:pPr>
              <w:pStyle w:val="TableParagraph"/>
              <w:spacing w:before="16"/>
              <w:ind w:left="23"/>
              <w:rPr>
                <w:sz w:val="19"/>
              </w:rPr>
            </w:pPr>
            <w:r>
              <w:rPr>
                <w:w w:val="102"/>
                <w:sz w:val="19"/>
              </w:rPr>
              <w:t>1</w:t>
            </w:r>
          </w:p>
        </w:tc>
        <w:tc>
          <w:tcPr>
            <w:tcW w:w="555" w:type="dxa"/>
          </w:tcPr>
          <w:p>
            <w:pPr>
              <w:pStyle w:val="TableParagraph"/>
              <w:spacing w:before="16"/>
              <w:ind w:right="3"/>
              <w:rPr>
                <w:sz w:val="19"/>
              </w:rPr>
            </w:pPr>
            <w:r>
              <w:rPr>
                <w:w w:val="102"/>
                <w:sz w:val="19"/>
              </w:rPr>
              <w:t>1</w:t>
            </w:r>
          </w:p>
        </w:tc>
        <w:tc>
          <w:tcPr>
            <w:tcW w:w="555" w:type="dxa"/>
          </w:tcPr>
          <w:p>
            <w:pPr>
              <w:pStyle w:val="TableParagraph"/>
              <w:spacing w:before="16"/>
              <w:ind w:right="2"/>
              <w:rPr>
                <w:sz w:val="19"/>
              </w:rPr>
            </w:pPr>
            <w:r>
              <w:rPr>
                <w:w w:val="102"/>
                <w:sz w:val="19"/>
              </w:rPr>
              <w:t>0</w:t>
            </w:r>
          </w:p>
        </w:tc>
        <w:tc>
          <w:tcPr>
            <w:tcW w:w="525" w:type="dxa"/>
          </w:tcPr>
          <w:p>
            <w:pPr>
              <w:pStyle w:val="TableParagraph"/>
              <w:spacing w:before="16"/>
              <w:ind w:left="26"/>
              <w:rPr>
                <w:sz w:val="19"/>
              </w:rPr>
            </w:pPr>
            <w:r>
              <w:rPr>
                <w:w w:val="102"/>
                <w:sz w:val="19"/>
              </w:rPr>
              <w:t>0</w:t>
            </w:r>
          </w:p>
        </w:tc>
        <w:tc>
          <w:tcPr>
            <w:tcW w:w="525" w:type="dxa"/>
          </w:tcPr>
          <w:p>
            <w:pPr>
              <w:pStyle w:val="TableParagraph"/>
              <w:spacing w:before="16"/>
              <w:ind w:left="27"/>
              <w:rPr>
                <w:sz w:val="19"/>
              </w:rPr>
            </w:pPr>
            <w:r>
              <w:rPr>
                <w:w w:val="102"/>
                <w:sz w:val="19"/>
              </w:rPr>
              <w:t>0</w:t>
            </w:r>
          </w:p>
        </w:tc>
        <w:tc>
          <w:tcPr>
            <w:tcW w:w="510" w:type="dxa"/>
          </w:tcPr>
          <w:p>
            <w:pPr>
              <w:pStyle w:val="TableParagraph"/>
              <w:spacing w:before="16"/>
              <w:ind w:left="205"/>
              <w:jc w:val="left"/>
              <w:rPr>
                <w:sz w:val="19"/>
              </w:rPr>
            </w:pPr>
            <w:r>
              <w:rPr>
                <w:w w:val="102"/>
                <w:sz w:val="19"/>
              </w:rPr>
              <w:t>1</w:t>
            </w:r>
          </w:p>
        </w:tc>
        <w:tc>
          <w:tcPr>
            <w:tcW w:w="510" w:type="dxa"/>
          </w:tcPr>
          <w:p>
            <w:pPr>
              <w:pStyle w:val="TableParagraph"/>
              <w:spacing w:before="16"/>
              <w:ind w:left="13"/>
              <w:rPr>
                <w:sz w:val="19"/>
              </w:rPr>
            </w:pPr>
            <w:r>
              <w:rPr>
                <w:w w:val="102"/>
                <w:sz w:val="19"/>
              </w:rPr>
              <w:t>1</w:t>
            </w:r>
          </w:p>
        </w:tc>
        <w:tc>
          <w:tcPr>
            <w:tcW w:w="555" w:type="dxa"/>
          </w:tcPr>
          <w:p>
            <w:pPr>
              <w:pStyle w:val="TableParagraph"/>
              <w:spacing w:before="16"/>
              <w:ind w:left="29"/>
              <w:rPr>
                <w:sz w:val="19"/>
              </w:rPr>
            </w:pPr>
            <w:r>
              <w:rPr>
                <w:w w:val="102"/>
                <w:sz w:val="19"/>
              </w:rPr>
              <w:t>1</w:t>
            </w:r>
          </w:p>
        </w:tc>
        <w:tc>
          <w:tcPr>
            <w:tcW w:w="510" w:type="dxa"/>
          </w:tcPr>
          <w:p>
            <w:pPr>
              <w:pStyle w:val="TableParagraph"/>
              <w:spacing w:before="16"/>
              <w:ind w:left="15"/>
              <w:rPr>
                <w:sz w:val="19"/>
              </w:rPr>
            </w:pPr>
            <w:r>
              <w:rPr>
                <w:w w:val="102"/>
                <w:sz w:val="19"/>
              </w:rPr>
              <w:t>1</w:t>
            </w:r>
          </w:p>
        </w:tc>
        <w:tc>
          <w:tcPr>
            <w:tcW w:w="525" w:type="dxa"/>
          </w:tcPr>
          <w:p>
            <w:pPr>
              <w:pStyle w:val="TableParagraph"/>
              <w:spacing w:before="16"/>
              <w:ind w:left="222"/>
              <w:jc w:val="left"/>
              <w:rPr>
                <w:sz w:val="19"/>
              </w:rPr>
            </w:pPr>
            <w:r>
              <w:rPr>
                <w:w w:val="102"/>
                <w:sz w:val="19"/>
              </w:rPr>
              <w:t>0</w:t>
            </w:r>
          </w:p>
        </w:tc>
        <w:tc>
          <w:tcPr>
            <w:tcW w:w="510" w:type="dxa"/>
          </w:tcPr>
          <w:p>
            <w:pPr>
              <w:pStyle w:val="TableParagraph"/>
              <w:spacing w:before="16"/>
              <w:ind w:left="17"/>
              <w:rPr>
                <w:sz w:val="19"/>
              </w:rPr>
            </w:pPr>
            <w:r>
              <w:rPr>
                <w:w w:val="102"/>
                <w:sz w:val="19"/>
              </w:rPr>
              <w:t>0</w:t>
            </w:r>
          </w:p>
        </w:tc>
        <w:tc>
          <w:tcPr>
            <w:tcW w:w="510" w:type="dxa"/>
          </w:tcPr>
          <w:p>
            <w:pPr>
              <w:pStyle w:val="TableParagraph"/>
              <w:spacing w:before="16"/>
              <w:ind w:left="207"/>
              <w:jc w:val="left"/>
              <w:rPr>
                <w:sz w:val="19"/>
              </w:rPr>
            </w:pPr>
            <w:r>
              <w:rPr>
                <w:w w:val="102"/>
                <w:sz w:val="19"/>
              </w:rPr>
              <w:t>0</w:t>
            </w:r>
          </w:p>
        </w:tc>
        <w:tc>
          <w:tcPr>
            <w:tcW w:w="509" w:type="dxa"/>
          </w:tcPr>
          <w:p>
            <w:pPr>
              <w:pStyle w:val="TableParagraph"/>
              <w:spacing w:before="16"/>
              <w:ind w:left="50"/>
              <w:rPr>
                <w:sz w:val="19"/>
              </w:rPr>
            </w:pPr>
            <w:r>
              <w:rPr>
                <w:w w:val="102"/>
                <w:sz w:val="19"/>
              </w:rPr>
              <w:t>0</w:t>
            </w:r>
          </w:p>
        </w:tc>
        <w:tc>
          <w:tcPr>
            <w:tcW w:w="524" w:type="dxa"/>
          </w:tcPr>
          <w:p>
            <w:pPr>
              <w:pStyle w:val="TableParagraph"/>
              <w:spacing w:before="16"/>
              <w:ind w:left="38"/>
              <w:rPr>
                <w:sz w:val="19"/>
              </w:rPr>
            </w:pPr>
            <w:r>
              <w:rPr>
                <w:w w:val="102"/>
                <w:sz w:val="19"/>
              </w:rPr>
              <w:t>0</w:t>
            </w:r>
          </w:p>
        </w:tc>
        <w:tc>
          <w:tcPr>
            <w:tcW w:w="509" w:type="dxa"/>
          </w:tcPr>
          <w:p>
            <w:pPr>
              <w:pStyle w:val="TableParagraph"/>
              <w:spacing w:before="16"/>
              <w:ind w:left="26"/>
              <w:rPr>
                <w:sz w:val="19"/>
              </w:rPr>
            </w:pPr>
            <w:r>
              <w:rPr>
                <w:w w:val="102"/>
                <w:sz w:val="19"/>
              </w:rPr>
              <w:t>0</w:t>
            </w:r>
          </w:p>
        </w:tc>
        <w:tc>
          <w:tcPr>
            <w:tcW w:w="509" w:type="dxa"/>
          </w:tcPr>
          <w:p>
            <w:pPr>
              <w:pStyle w:val="TableParagraph"/>
              <w:spacing w:before="16"/>
              <w:ind w:left="29"/>
              <w:rPr>
                <w:sz w:val="19"/>
              </w:rPr>
            </w:pPr>
            <w:r>
              <w:rPr>
                <w:w w:val="102"/>
                <w:sz w:val="19"/>
              </w:rPr>
              <w:t>0</w:t>
            </w:r>
          </w:p>
        </w:tc>
        <w:tc>
          <w:tcPr>
            <w:tcW w:w="524" w:type="dxa"/>
          </w:tcPr>
          <w:p>
            <w:pPr>
              <w:pStyle w:val="TableParagraph"/>
              <w:spacing w:before="16"/>
              <w:ind w:left="229"/>
              <w:jc w:val="left"/>
              <w:rPr>
                <w:sz w:val="19"/>
              </w:rPr>
            </w:pPr>
            <w:r>
              <w:rPr>
                <w:w w:val="102"/>
                <w:sz w:val="19"/>
              </w:rPr>
              <w:t>0</w:t>
            </w:r>
          </w:p>
        </w:tc>
      </w:tr>
      <w:tr>
        <w:trPr>
          <w:trHeight w:val="450" w:hRule="atLeast"/>
        </w:trPr>
        <w:tc>
          <w:tcPr>
            <w:tcW w:w="1156" w:type="dxa"/>
            <w:vMerge w:val="restart"/>
          </w:tcPr>
          <w:p>
            <w:pPr>
              <w:pStyle w:val="TableParagraph"/>
              <w:spacing w:line="264" w:lineRule="auto"/>
              <w:ind w:left="262" w:hanging="60"/>
              <w:jc w:val="left"/>
              <w:rPr>
                <w:sz w:val="19"/>
              </w:rPr>
            </w:pPr>
            <w:r>
              <w:rPr>
                <w:spacing w:val="-2"/>
                <w:sz w:val="19"/>
              </w:rPr>
              <w:t>Emerging Regions</w:t>
            </w:r>
          </w:p>
        </w:tc>
        <w:tc>
          <w:tcPr>
            <w:tcW w:w="2777" w:type="dxa"/>
          </w:tcPr>
          <w:p>
            <w:pPr>
              <w:pStyle w:val="TableParagraph"/>
              <w:spacing w:line="207" w:lineRule="exact"/>
              <w:ind w:left="112"/>
              <w:jc w:val="left"/>
              <w:rPr>
                <w:sz w:val="19"/>
              </w:rPr>
            </w:pPr>
            <w:r>
              <w:rPr>
                <w:sz w:val="19"/>
              </w:rPr>
              <w:t>Latin</w:t>
            </w:r>
            <w:r>
              <w:rPr>
                <w:spacing w:val="27"/>
                <w:sz w:val="19"/>
              </w:rPr>
              <w:t> </w:t>
            </w:r>
            <w:r>
              <w:rPr>
                <w:sz w:val="19"/>
              </w:rPr>
              <w:t>America,</w:t>
            </w:r>
            <w:r>
              <w:rPr>
                <w:spacing w:val="11"/>
                <w:sz w:val="19"/>
              </w:rPr>
              <w:t> </w:t>
            </w:r>
            <w:r>
              <w:rPr>
                <w:sz w:val="19"/>
              </w:rPr>
              <w:t>the</w:t>
            </w:r>
            <w:r>
              <w:rPr>
                <w:spacing w:val="21"/>
                <w:sz w:val="19"/>
              </w:rPr>
              <w:t> </w:t>
            </w:r>
            <w:r>
              <w:rPr>
                <w:spacing w:val="-2"/>
                <w:sz w:val="19"/>
              </w:rPr>
              <w:t>Caribbean,</w:t>
            </w:r>
          </w:p>
          <w:p>
            <w:pPr>
              <w:pStyle w:val="TableParagraph"/>
              <w:spacing w:line="202" w:lineRule="exact" w:before="21"/>
              <w:ind w:left="112"/>
              <w:jc w:val="left"/>
              <w:rPr>
                <w:sz w:val="19"/>
              </w:rPr>
            </w:pPr>
            <w:r>
              <w:rPr>
                <w:sz w:val="19"/>
              </w:rPr>
              <w:t>and</w:t>
            </w:r>
            <w:r>
              <w:rPr>
                <w:spacing w:val="34"/>
                <w:sz w:val="19"/>
              </w:rPr>
              <w:t> </w:t>
            </w:r>
            <w:r>
              <w:rPr>
                <w:spacing w:val="-2"/>
                <w:sz w:val="19"/>
              </w:rPr>
              <w:t>Mexico</w:t>
            </w:r>
          </w:p>
        </w:tc>
        <w:tc>
          <w:tcPr>
            <w:tcW w:w="555" w:type="dxa"/>
          </w:tcPr>
          <w:p>
            <w:pPr>
              <w:pStyle w:val="TableParagraph"/>
              <w:spacing w:before="108"/>
              <w:ind w:left="130" w:right="84"/>
              <w:rPr>
                <w:sz w:val="19"/>
              </w:rPr>
            </w:pPr>
            <w:r>
              <w:rPr>
                <w:spacing w:val="-5"/>
                <w:sz w:val="19"/>
              </w:rPr>
              <w:t>20</w:t>
            </w:r>
          </w:p>
        </w:tc>
        <w:tc>
          <w:tcPr>
            <w:tcW w:w="555" w:type="dxa"/>
          </w:tcPr>
          <w:p>
            <w:pPr>
              <w:pStyle w:val="TableParagraph"/>
              <w:spacing w:before="108"/>
              <w:ind w:right="154"/>
              <w:jc w:val="right"/>
              <w:rPr>
                <w:sz w:val="19"/>
              </w:rPr>
            </w:pPr>
            <w:r>
              <w:rPr>
                <w:spacing w:val="-5"/>
                <w:sz w:val="19"/>
              </w:rPr>
              <w:t>17</w:t>
            </w:r>
          </w:p>
        </w:tc>
        <w:tc>
          <w:tcPr>
            <w:tcW w:w="555" w:type="dxa"/>
          </w:tcPr>
          <w:p>
            <w:pPr>
              <w:pStyle w:val="TableParagraph"/>
              <w:spacing w:before="108"/>
              <w:ind w:right="153"/>
              <w:jc w:val="right"/>
              <w:rPr>
                <w:sz w:val="19"/>
              </w:rPr>
            </w:pPr>
            <w:r>
              <w:rPr>
                <w:spacing w:val="-5"/>
                <w:sz w:val="19"/>
              </w:rPr>
              <w:t>20</w:t>
            </w:r>
          </w:p>
        </w:tc>
        <w:tc>
          <w:tcPr>
            <w:tcW w:w="525" w:type="dxa"/>
          </w:tcPr>
          <w:p>
            <w:pPr>
              <w:pStyle w:val="TableParagraph"/>
              <w:spacing w:before="108"/>
              <w:ind w:left="26"/>
              <w:rPr>
                <w:sz w:val="19"/>
              </w:rPr>
            </w:pPr>
            <w:r>
              <w:rPr>
                <w:w w:val="102"/>
                <w:sz w:val="19"/>
              </w:rPr>
              <w:t>2</w:t>
            </w:r>
          </w:p>
        </w:tc>
        <w:tc>
          <w:tcPr>
            <w:tcW w:w="525" w:type="dxa"/>
          </w:tcPr>
          <w:p>
            <w:pPr>
              <w:pStyle w:val="TableParagraph"/>
              <w:spacing w:before="108"/>
              <w:ind w:left="118" w:right="68"/>
              <w:rPr>
                <w:sz w:val="19"/>
              </w:rPr>
            </w:pPr>
            <w:r>
              <w:rPr>
                <w:spacing w:val="-5"/>
                <w:sz w:val="19"/>
              </w:rPr>
              <w:t>14</w:t>
            </w:r>
          </w:p>
        </w:tc>
        <w:tc>
          <w:tcPr>
            <w:tcW w:w="510" w:type="dxa"/>
          </w:tcPr>
          <w:p>
            <w:pPr>
              <w:pStyle w:val="TableParagraph"/>
              <w:spacing w:before="108"/>
              <w:ind w:left="205"/>
              <w:jc w:val="left"/>
              <w:rPr>
                <w:sz w:val="19"/>
              </w:rPr>
            </w:pPr>
            <w:r>
              <w:rPr>
                <w:w w:val="102"/>
                <w:sz w:val="19"/>
              </w:rPr>
              <w:t>3</w:t>
            </w:r>
          </w:p>
        </w:tc>
        <w:tc>
          <w:tcPr>
            <w:tcW w:w="510" w:type="dxa"/>
          </w:tcPr>
          <w:p>
            <w:pPr>
              <w:pStyle w:val="TableParagraph"/>
              <w:spacing w:before="108"/>
              <w:ind w:left="13"/>
              <w:rPr>
                <w:sz w:val="19"/>
              </w:rPr>
            </w:pPr>
            <w:r>
              <w:rPr>
                <w:w w:val="102"/>
                <w:sz w:val="19"/>
              </w:rPr>
              <w:t>5</w:t>
            </w:r>
          </w:p>
        </w:tc>
        <w:tc>
          <w:tcPr>
            <w:tcW w:w="555" w:type="dxa"/>
          </w:tcPr>
          <w:p>
            <w:pPr>
              <w:pStyle w:val="TableParagraph"/>
              <w:spacing w:before="108"/>
              <w:ind w:right="136"/>
              <w:jc w:val="right"/>
              <w:rPr>
                <w:sz w:val="19"/>
              </w:rPr>
            </w:pPr>
            <w:r>
              <w:rPr>
                <w:spacing w:val="-5"/>
                <w:sz w:val="19"/>
              </w:rPr>
              <w:t>20</w:t>
            </w:r>
          </w:p>
        </w:tc>
        <w:tc>
          <w:tcPr>
            <w:tcW w:w="510" w:type="dxa"/>
          </w:tcPr>
          <w:p>
            <w:pPr>
              <w:pStyle w:val="TableParagraph"/>
              <w:spacing w:before="108"/>
              <w:ind w:left="15"/>
              <w:rPr>
                <w:sz w:val="19"/>
              </w:rPr>
            </w:pPr>
            <w:r>
              <w:rPr>
                <w:w w:val="102"/>
                <w:sz w:val="19"/>
              </w:rPr>
              <w:t>0</w:t>
            </w:r>
          </w:p>
        </w:tc>
        <w:tc>
          <w:tcPr>
            <w:tcW w:w="525" w:type="dxa"/>
          </w:tcPr>
          <w:p>
            <w:pPr>
              <w:pStyle w:val="TableParagraph"/>
              <w:spacing w:before="108"/>
              <w:ind w:left="222"/>
              <w:jc w:val="left"/>
              <w:rPr>
                <w:sz w:val="19"/>
              </w:rPr>
            </w:pPr>
            <w:r>
              <w:rPr>
                <w:w w:val="102"/>
                <w:sz w:val="19"/>
              </w:rPr>
              <w:t>9</w:t>
            </w:r>
          </w:p>
        </w:tc>
        <w:tc>
          <w:tcPr>
            <w:tcW w:w="510" w:type="dxa"/>
          </w:tcPr>
          <w:p>
            <w:pPr>
              <w:pStyle w:val="TableParagraph"/>
              <w:spacing w:before="108"/>
              <w:ind w:left="17"/>
              <w:rPr>
                <w:sz w:val="19"/>
              </w:rPr>
            </w:pPr>
            <w:r>
              <w:rPr>
                <w:w w:val="102"/>
                <w:sz w:val="19"/>
              </w:rPr>
              <w:t>0</w:t>
            </w:r>
          </w:p>
        </w:tc>
        <w:tc>
          <w:tcPr>
            <w:tcW w:w="510" w:type="dxa"/>
          </w:tcPr>
          <w:p>
            <w:pPr>
              <w:pStyle w:val="TableParagraph"/>
              <w:spacing w:before="108"/>
              <w:ind w:left="207"/>
              <w:jc w:val="left"/>
              <w:rPr>
                <w:sz w:val="19"/>
              </w:rPr>
            </w:pPr>
            <w:r>
              <w:rPr>
                <w:w w:val="102"/>
                <w:sz w:val="19"/>
              </w:rPr>
              <w:t>1</w:t>
            </w:r>
          </w:p>
        </w:tc>
        <w:tc>
          <w:tcPr>
            <w:tcW w:w="509" w:type="dxa"/>
          </w:tcPr>
          <w:p>
            <w:pPr>
              <w:pStyle w:val="TableParagraph"/>
              <w:spacing w:before="108"/>
              <w:ind w:left="50"/>
              <w:rPr>
                <w:sz w:val="19"/>
              </w:rPr>
            </w:pPr>
            <w:r>
              <w:rPr>
                <w:w w:val="102"/>
                <w:sz w:val="19"/>
              </w:rPr>
              <w:t>5</w:t>
            </w:r>
          </w:p>
        </w:tc>
        <w:tc>
          <w:tcPr>
            <w:tcW w:w="524" w:type="dxa"/>
          </w:tcPr>
          <w:p>
            <w:pPr>
              <w:pStyle w:val="TableParagraph"/>
              <w:spacing w:before="108"/>
              <w:ind w:left="38"/>
              <w:rPr>
                <w:sz w:val="19"/>
              </w:rPr>
            </w:pPr>
            <w:r>
              <w:rPr>
                <w:w w:val="102"/>
                <w:sz w:val="19"/>
              </w:rPr>
              <w:t>0</w:t>
            </w:r>
          </w:p>
        </w:tc>
        <w:tc>
          <w:tcPr>
            <w:tcW w:w="509" w:type="dxa"/>
          </w:tcPr>
          <w:p>
            <w:pPr>
              <w:pStyle w:val="TableParagraph"/>
              <w:spacing w:before="108"/>
              <w:ind w:left="26"/>
              <w:rPr>
                <w:sz w:val="19"/>
              </w:rPr>
            </w:pPr>
            <w:r>
              <w:rPr>
                <w:w w:val="102"/>
                <w:sz w:val="19"/>
              </w:rPr>
              <w:t>3</w:t>
            </w:r>
          </w:p>
        </w:tc>
        <w:tc>
          <w:tcPr>
            <w:tcW w:w="509" w:type="dxa"/>
          </w:tcPr>
          <w:p>
            <w:pPr>
              <w:pStyle w:val="TableParagraph"/>
              <w:spacing w:before="108"/>
              <w:ind w:left="29"/>
              <w:rPr>
                <w:sz w:val="19"/>
              </w:rPr>
            </w:pPr>
            <w:r>
              <w:rPr>
                <w:w w:val="102"/>
                <w:sz w:val="19"/>
              </w:rPr>
              <w:t>1</w:t>
            </w:r>
          </w:p>
        </w:tc>
        <w:tc>
          <w:tcPr>
            <w:tcW w:w="524" w:type="dxa"/>
          </w:tcPr>
          <w:p>
            <w:pPr>
              <w:pStyle w:val="TableParagraph"/>
              <w:spacing w:before="108"/>
              <w:ind w:left="229"/>
              <w:jc w:val="left"/>
              <w:rPr>
                <w:sz w:val="19"/>
              </w:rPr>
            </w:pPr>
            <w:r>
              <w:rPr>
                <w:w w:val="102"/>
                <w:sz w:val="19"/>
              </w:rPr>
              <w:t>0</w:t>
            </w:r>
          </w:p>
        </w:tc>
      </w:tr>
      <w:tr>
        <w:trPr>
          <w:trHeight w:val="255" w:hRule="atLeast"/>
        </w:trPr>
        <w:tc>
          <w:tcPr>
            <w:tcW w:w="1156" w:type="dxa"/>
            <w:vMerge/>
            <w:tcBorders>
              <w:top w:val="nil"/>
            </w:tcBorders>
          </w:tcPr>
          <w:p>
            <w:pPr>
              <w:rPr>
                <w:sz w:val="2"/>
                <w:szCs w:val="2"/>
              </w:rPr>
            </w:pPr>
          </w:p>
        </w:tc>
        <w:tc>
          <w:tcPr>
            <w:tcW w:w="2777" w:type="dxa"/>
          </w:tcPr>
          <w:p>
            <w:pPr>
              <w:pStyle w:val="TableParagraph"/>
              <w:spacing w:before="3"/>
              <w:ind w:left="112"/>
              <w:jc w:val="left"/>
              <w:rPr>
                <w:sz w:val="19"/>
              </w:rPr>
            </w:pPr>
            <w:r>
              <w:rPr>
                <w:sz w:val="19"/>
              </w:rPr>
              <w:t>Middle</w:t>
            </w:r>
            <w:r>
              <w:rPr>
                <w:spacing w:val="36"/>
                <w:sz w:val="19"/>
              </w:rPr>
              <w:t> </w:t>
            </w:r>
            <w:r>
              <w:rPr>
                <w:sz w:val="19"/>
              </w:rPr>
              <w:t>East</w:t>
            </w:r>
            <w:r>
              <w:rPr>
                <w:spacing w:val="18"/>
                <w:sz w:val="19"/>
              </w:rPr>
              <w:t> </w:t>
            </w:r>
            <w:r>
              <w:rPr>
                <w:sz w:val="19"/>
              </w:rPr>
              <w:t>and</w:t>
            </w:r>
            <w:r>
              <w:rPr>
                <w:spacing w:val="22"/>
                <w:sz w:val="19"/>
              </w:rPr>
              <w:t> </w:t>
            </w:r>
            <w:r>
              <w:rPr>
                <w:sz w:val="19"/>
              </w:rPr>
              <w:t>North</w:t>
            </w:r>
            <w:r>
              <w:rPr>
                <w:spacing w:val="21"/>
                <w:sz w:val="19"/>
              </w:rPr>
              <w:t> </w:t>
            </w:r>
            <w:r>
              <w:rPr>
                <w:spacing w:val="-2"/>
                <w:sz w:val="19"/>
              </w:rPr>
              <w:t>Africa</w:t>
            </w:r>
          </w:p>
        </w:tc>
        <w:tc>
          <w:tcPr>
            <w:tcW w:w="555" w:type="dxa"/>
          </w:tcPr>
          <w:p>
            <w:pPr>
              <w:pStyle w:val="TableParagraph"/>
              <w:spacing w:line="218" w:lineRule="exact" w:before="18"/>
              <w:ind w:left="23"/>
              <w:rPr>
                <w:sz w:val="19"/>
              </w:rPr>
            </w:pPr>
            <w:r>
              <w:rPr>
                <w:w w:val="102"/>
                <w:sz w:val="19"/>
              </w:rPr>
              <w:t>8</w:t>
            </w:r>
          </w:p>
        </w:tc>
        <w:tc>
          <w:tcPr>
            <w:tcW w:w="555" w:type="dxa"/>
          </w:tcPr>
          <w:p>
            <w:pPr>
              <w:pStyle w:val="TableParagraph"/>
              <w:spacing w:line="218" w:lineRule="exact" w:before="18"/>
              <w:ind w:right="3"/>
              <w:rPr>
                <w:sz w:val="19"/>
              </w:rPr>
            </w:pPr>
            <w:r>
              <w:rPr>
                <w:w w:val="102"/>
                <w:sz w:val="19"/>
              </w:rPr>
              <w:t>7</w:t>
            </w:r>
          </w:p>
        </w:tc>
        <w:tc>
          <w:tcPr>
            <w:tcW w:w="555" w:type="dxa"/>
          </w:tcPr>
          <w:p>
            <w:pPr>
              <w:pStyle w:val="TableParagraph"/>
              <w:spacing w:line="218" w:lineRule="exact" w:before="18"/>
              <w:ind w:right="2"/>
              <w:rPr>
                <w:sz w:val="19"/>
              </w:rPr>
            </w:pPr>
            <w:r>
              <w:rPr>
                <w:w w:val="102"/>
                <w:sz w:val="19"/>
              </w:rPr>
              <w:t>8</w:t>
            </w:r>
          </w:p>
        </w:tc>
        <w:tc>
          <w:tcPr>
            <w:tcW w:w="525" w:type="dxa"/>
          </w:tcPr>
          <w:p>
            <w:pPr>
              <w:pStyle w:val="TableParagraph"/>
              <w:spacing w:line="218" w:lineRule="exact" w:before="18"/>
              <w:ind w:left="26"/>
              <w:rPr>
                <w:sz w:val="19"/>
              </w:rPr>
            </w:pPr>
            <w:r>
              <w:rPr>
                <w:w w:val="102"/>
                <w:sz w:val="19"/>
              </w:rPr>
              <w:t>0</w:t>
            </w:r>
          </w:p>
        </w:tc>
        <w:tc>
          <w:tcPr>
            <w:tcW w:w="525" w:type="dxa"/>
          </w:tcPr>
          <w:p>
            <w:pPr>
              <w:pStyle w:val="TableParagraph"/>
              <w:spacing w:line="218" w:lineRule="exact" w:before="18"/>
              <w:ind w:left="27"/>
              <w:rPr>
                <w:sz w:val="19"/>
              </w:rPr>
            </w:pPr>
            <w:r>
              <w:rPr>
                <w:w w:val="102"/>
                <w:sz w:val="19"/>
              </w:rPr>
              <w:t>4</w:t>
            </w:r>
          </w:p>
        </w:tc>
        <w:tc>
          <w:tcPr>
            <w:tcW w:w="510" w:type="dxa"/>
          </w:tcPr>
          <w:p>
            <w:pPr>
              <w:pStyle w:val="TableParagraph"/>
              <w:spacing w:line="218" w:lineRule="exact" w:before="18"/>
              <w:ind w:left="205"/>
              <w:jc w:val="left"/>
              <w:rPr>
                <w:sz w:val="19"/>
              </w:rPr>
            </w:pPr>
            <w:r>
              <w:rPr>
                <w:w w:val="102"/>
                <w:sz w:val="19"/>
              </w:rPr>
              <w:t>2</w:t>
            </w:r>
          </w:p>
        </w:tc>
        <w:tc>
          <w:tcPr>
            <w:tcW w:w="510" w:type="dxa"/>
          </w:tcPr>
          <w:p>
            <w:pPr>
              <w:pStyle w:val="TableParagraph"/>
              <w:spacing w:line="218" w:lineRule="exact" w:before="18"/>
              <w:ind w:left="13"/>
              <w:rPr>
                <w:sz w:val="19"/>
              </w:rPr>
            </w:pPr>
            <w:r>
              <w:rPr>
                <w:w w:val="102"/>
                <w:sz w:val="19"/>
              </w:rPr>
              <w:t>3</w:t>
            </w:r>
          </w:p>
        </w:tc>
        <w:tc>
          <w:tcPr>
            <w:tcW w:w="555" w:type="dxa"/>
          </w:tcPr>
          <w:p>
            <w:pPr>
              <w:pStyle w:val="TableParagraph"/>
              <w:spacing w:line="218" w:lineRule="exact" w:before="18"/>
              <w:ind w:left="29"/>
              <w:rPr>
                <w:sz w:val="19"/>
              </w:rPr>
            </w:pPr>
            <w:r>
              <w:rPr>
                <w:w w:val="102"/>
                <w:sz w:val="19"/>
              </w:rPr>
              <w:t>7</w:t>
            </w:r>
          </w:p>
        </w:tc>
        <w:tc>
          <w:tcPr>
            <w:tcW w:w="510" w:type="dxa"/>
          </w:tcPr>
          <w:p>
            <w:pPr>
              <w:pStyle w:val="TableParagraph"/>
              <w:spacing w:line="218" w:lineRule="exact" w:before="18"/>
              <w:ind w:left="15"/>
              <w:rPr>
                <w:sz w:val="19"/>
              </w:rPr>
            </w:pPr>
            <w:r>
              <w:rPr>
                <w:w w:val="102"/>
                <w:sz w:val="19"/>
              </w:rPr>
              <w:t>0</w:t>
            </w:r>
          </w:p>
        </w:tc>
        <w:tc>
          <w:tcPr>
            <w:tcW w:w="525" w:type="dxa"/>
          </w:tcPr>
          <w:p>
            <w:pPr>
              <w:pStyle w:val="TableParagraph"/>
              <w:spacing w:line="218" w:lineRule="exact" w:before="18"/>
              <w:ind w:left="222"/>
              <w:jc w:val="left"/>
              <w:rPr>
                <w:sz w:val="19"/>
              </w:rPr>
            </w:pPr>
            <w:r>
              <w:rPr>
                <w:w w:val="102"/>
                <w:sz w:val="19"/>
              </w:rPr>
              <w:t>5</w:t>
            </w:r>
          </w:p>
        </w:tc>
        <w:tc>
          <w:tcPr>
            <w:tcW w:w="510" w:type="dxa"/>
          </w:tcPr>
          <w:p>
            <w:pPr>
              <w:pStyle w:val="TableParagraph"/>
              <w:spacing w:line="218" w:lineRule="exact" w:before="18"/>
              <w:ind w:left="17"/>
              <w:rPr>
                <w:sz w:val="19"/>
              </w:rPr>
            </w:pPr>
            <w:r>
              <w:rPr>
                <w:w w:val="102"/>
                <w:sz w:val="19"/>
              </w:rPr>
              <w:t>1</w:t>
            </w:r>
          </w:p>
        </w:tc>
        <w:tc>
          <w:tcPr>
            <w:tcW w:w="510" w:type="dxa"/>
          </w:tcPr>
          <w:p>
            <w:pPr>
              <w:pStyle w:val="TableParagraph"/>
              <w:spacing w:line="218" w:lineRule="exact" w:before="18"/>
              <w:ind w:left="207"/>
              <w:jc w:val="left"/>
              <w:rPr>
                <w:sz w:val="19"/>
              </w:rPr>
            </w:pPr>
            <w:r>
              <w:rPr>
                <w:w w:val="102"/>
                <w:sz w:val="19"/>
              </w:rPr>
              <w:t>1</w:t>
            </w:r>
          </w:p>
        </w:tc>
        <w:tc>
          <w:tcPr>
            <w:tcW w:w="509" w:type="dxa"/>
          </w:tcPr>
          <w:p>
            <w:pPr>
              <w:pStyle w:val="TableParagraph"/>
              <w:spacing w:line="218" w:lineRule="exact" w:before="18"/>
              <w:ind w:left="50"/>
              <w:rPr>
                <w:sz w:val="19"/>
              </w:rPr>
            </w:pPr>
            <w:r>
              <w:rPr>
                <w:w w:val="102"/>
                <w:sz w:val="19"/>
              </w:rPr>
              <w:t>1</w:t>
            </w:r>
          </w:p>
        </w:tc>
        <w:tc>
          <w:tcPr>
            <w:tcW w:w="524" w:type="dxa"/>
          </w:tcPr>
          <w:p>
            <w:pPr>
              <w:pStyle w:val="TableParagraph"/>
              <w:spacing w:line="218" w:lineRule="exact" w:before="18"/>
              <w:ind w:left="38"/>
              <w:rPr>
                <w:sz w:val="19"/>
              </w:rPr>
            </w:pPr>
            <w:r>
              <w:rPr>
                <w:w w:val="102"/>
                <w:sz w:val="19"/>
              </w:rPr>
              <w:t>1</w:t>
            </w:r>
          </w:p>
        </w:tc>
        <w:tc>
          <w:tcPr>
            <w:tcW w:w="509" w:type="dxa"/>
          </w:tcPr>
          <w:p>
            <w:pPr>
              <w:pStyle w:val="TableParagraph"/>
              <w:spacing w:line="218" w:lineRule="exact" w:before="18"/>
              <w:ind w:left="26"/>
              <w:rPr>
                <w:sz w:val="19"/>
              </w:rPr>
            </w:pPr>
            <w:r>
              <w:rPr>
                <w:w w:val="102"/>
                <w:sz w:val="19"/>
              </w:rPr>
              <w:t>4</w:t>
            </w:r>
          </w:p>
        </w:tc>
        <w:tc>
          <w:tcPr>
            <w:tcW w:w="509" w:type="dxa"/>
          </w:tcPr>
          <w:p>
            <w:pPr>
              <w:pStyle w:val="TableParagraph"/>
              <w:spacing w:line="218" w:lineRule="exact" w:before="18"/>
              <w:ind w:left="29"/>
              <w:rPr>
                <w:sz w:val="19"/>
              </w:rPr>
            </w:pPr>
            <w:r>
              <w:rPr>
                <w:w w:val="102"/>
                <w:sz w:val="19"/>
              </w:rPr>
              <w:t>2</w:t>
            </w:r>
          </w:p>
        </w:tc>
        <w:tc>
          <w:tcPr>
            <w:tcW w:w="524" w:type="dxa"/>
          </w:tcPr>
          <w:p>
            <w:pPr>
              <w:pStyle w:val="TableParagraph"/>
              <w:spacing w:line="218" w:lineRule="exact" w:before="18"/>
              <w:ind w:left="229"/>
              <w:jc w:val="left"/>
              <w:rPr>
                <w:sz w:val="19"/>
              </w:rPr>
            </w:pPr>
            <w:r>
              <w:rPr>
                <w:w w:val="102"/>
                <w:sz w:val="19"/>
              </w:rPr>
              <w:t>0</w:t>
            </w:r>
          </w:p>
        </w:tc>
      </w:tr>
      <w:tr>
        <w:trPr>
          <w:trHeight w:val="270" w:hRule="atLeast"/>
        </w:trPr>
        <w:tc>
          <w:tcPr>
            <w:tcW w:w="1156" w:type="dxa"/>
            <w:vMerge/>
            <w:tcBorders>
              <w:top w:val="nil"/>
            </w:tcBorders>
          </w:tcPr>
          <w:p>
            <w:pPr>
              <w:rPr>
                <w:sz w:val="2"/>
                <w:szCs w:val="2"/>
              </w:rPr>
            </w:pPr>
          </w:p>
        </w:tc>
        <w:tc>
          <w:tcPr>
            <w:tcW w:w="2777" w:type="dxa"/>
          </w:tcPr>
          <w:p>
            <w:pPr>
              <w:pStyle w:val="TableParagraph"/>
              <w:spacing w:before="2"/>
              <w:ind w:left="112"/>
              <w:jc w:val="left"/>
              <w:rPr>
                <w:sz w:val="19"/>
              </w:rPr>
            </w:pPr>
            <w:r>
              <w:rPr>
                <w:sz w:val="19"/>
              </w:rPr>
              <w:t>South</w:t>
            </w:r>
            <w:r>
              <w:rPr>
                <w:spacing w:val="27"/>
                <w:sz w:val="19"/>
              </w:rPr>
              <w:t> </w:t>
            </w:r>
            <w:r>
              <w:rPr>
                <w:spacing w:val="-4"/>
                <w:sz w:val="19"/>
              </w:rPr>
              <w:t>Asia</w:t>
            </w:r>
          </w:p>
        </w:tc>
        <w:tc>
          <w:tcPr>
            <w:tcW w:w="555" w:type="dxa"/>
          </w:tcPr>
          <w:p>
            <w:pPr>
              <w:pStyle w:val="TableParagraph"/>
              <w:spacing w:before="17"/>
              <w:ind w:left="130" w:right="84"/>
              <w:rPr>
                <w:sz w:val="19"/>
              </w:rPr>
            </w:pPr>
            <w:r>
              <w:rPr>
                <w:spacing w:val="-5"/>
                <w:sz w:val="19"/>
              </w:rPr>
              <w:t>31</w:t>
            </w:r>
          </w:p>
        </w:tc>
        <w:tc>
          <w:tcPr>
            <w:tcW w:w="555" w:type="dxa"/>
          </w:tcPr>
          <w:p>
            <w:pPr>
              <w:pStyle w:val="TableParagraph"/>
              <w:spacing w:before="17"/>
              <w:ind w:right="154"/>
              <w:jc w:val="right"/>
              <w:rPr>
                <w:sz w:val="19"/>
              </w:rPr>
            </w:pPr>
            <w:r>
              <w:rPr>
                <w:spacing w:val="-5"/>
                <w:sz w:val="19"/>
              </w:rPr>
              <w:t>26</w:t>
            </w:r>
          </w:p>
        </w:tc>
        <w:tc>
          <w:tcPr>
            <w:tcW w:w="555" w:type="dxa"/>
          </w:tcPr>
          <w:p>
            <w:pPr>
              <w:pStyle w:val="TableParagraph"/>
              <w:spacing w:before="17"/>
              <w:ind w:right="153"/>
              <w:jc w:val="right"/>
              <w:rPr>
                <w:sz w:val="19"/>
              </w:rPr>
            </w:pPr>
            <w:r>
              <w:rPr>
                <w:spacing w:val="-5"/>
                <w:sz w:val="19"/>
              </w:rPr>
              <w:t>29</w:t>
            </w:r>
          </w:p>
        </w:tc>
        <w:tc>
          <w:tcPr>
            <w:tcW w:w="525" w:type="dxa"/>
          </w:tcPr>
          <w:p>
            <w:pPr>
              <w:pStyle w:val="TableParagraph"/>
              <w:spacing w:before="17"/>
              <w:ind w:left="26"/>
              <w:rPr>
                <w:sz w:val="19"/>
              </w:rPr>
            </w:pPr>
            <w:r>
              <w:rPr>
                <w:w w:val="102"/>
                <w:sz w:val="19"/>
              </w:rPr>
              <w:t>2</w:t>
            </w:r>
          </w:p>
        </w:tc>
        <w:tc>
          <w:tcPr>
            <w:tcW w:w="525" w:type="dxa"/>
          </w:tcPr>
          <w:p>
            <w:pPr>
              <w:pStyle w:val="TableParagraph"/>
              <w:spacing w:before="17"/>
              <w:ind w:left="118" w:right="68"/>
              <w:rPr>
                <w:sz w:val="19"/>
              </w:rPr>
            </w:pPr>
            <w:r>
              <w:rPr>
                <w:spacing w:val="-5"/>
                <w:sz w:val="19"/>
              </w:rPr>
              <w:t>17</w:t>
            </w:r>
          </w:p>
        </w:tc>
        <w:tc>
          <w:tcPr>
            <w:tcW w:w="510" w:type="dxa"/>
          </w:tcPr>
          <w:p>
            <w:pPr>
              <w:pStyle w:val="TableParagraph"/>
              <w:spacing w:before="17"/>
              <w:ind w:left="205"/>
              <w:jc w:val="left"/>
              <w:rPr>
                <w:sz w:val="19"/>
              </w:rPr>
            </w:pPr>
            <w:r>
              <w:rPr>
                <w:w w:val="102"/>
                <w:sz w:val="19"/>
              </w:rPr>
              <w:t>9</w:t>
            </w:r>
          </w:p>
        </w:tc>
        <w:tc>
          <w:tcPr>
            <w:tcW w:w="510" w:type="dxa"/>
          </w:tcPr>
          <w:p>
            <w:pPr>
              <w:pStyle w:val="TableParagraph"/>
              <w:spacing w:before="17"/>
              <w:ind w:left="13"/>
              <w:rPr>
                <w:sz w:val="19"/>
              </w:rPr>
            </w:pPr>
            <w:r>
              <w:rPr>
                <w:w w:val="102"/>
                <w:sz w:val="19"/>
              </w:rPr>
              <w:t>8</w:t>
            </w:r>
          </w:p>
        </w:tc>
        <w:tc>
          <w:tcPr>
            <w:tcW w:w="555" w:type="dxa"/>
          </w:tcPr>
          <w:p>
            <w:pPr>
              <w:pStyle w:val="TableParagraph"/>
              <w:spacing w:before="17"/>
              <w:ind w:right="136"/>
              <w:jc w:val="right"/>
              <w:rPr>
                <w:sz w:val="19"/>
              </w:rPr>
            </w:pPr>
            <w:r>
              <w:rPr>
                <w:spacing w:val="-5"/>
                <w:sz w:val="19"/>
              </w:rPr>
              <w:t>28</w:t>
            </w:r>
          </w:p>
        </w:tc>
        <w:tc>
          <w:tcPr>
            <w:tcW w:w="510" w:type="dxa"/>
          </w:tcPr>
          <w:p>
            <w:pPr>
              <w:pStyle w:val="TableParagraph"/>
              <w:spacing w:before="17"/>
              <w:ind w:left="15"/>
              <w:rPr>
                <w:sz w:val="19"/>
              </w:rPr>
            </w:pPr>
            <w:r>
              <w:rPr>
                <w:w w:val="102"/>
                <w:sz w:val="19"/>
              </w:rPr>
              <w:t>2</w:t>
            </w:r>
          </w:p>
        </w:tc>
        <w:tc>
          <w:tcPr>
            <w:tcW w:w="525" w:type="dxa"/>
          </w:tcPr>
          <w:p>
            <w:pPr>
              <w:pStyle w:val="TableParagraph"/>
              <w:spacing w:before="17"/>
              <w:ind w:left="177"/>
              <w:jc w:val="left"/>
              <w:rPr>
                <w:sz w:val="19"/>
              </w:rPr>
            </w:pPr>
            <w:r>
              <w:rPr>
                <w:spacing w:val="-5"/>
                <w:sz w:val="19"/>
              </w:rPr>
              <w:t>12</w:t>
            </w:r>
          </w:p>
        </w:tc>
        <w:tc>
          <w:tcPr>
            <w:tcW w:w="510" w:type="dxa"/>
          </w:tcPr>
          <w:p>
            <w:pPr>
              <w:pStyle w:val="TableParagraph"/>
              <w:spacing w:before="17"/>
              <w:ind w:left="17"/>
              <w:rPr>
                <w:sz w:val="19"/>
              </w:rPr>
            </w:pPr>
            <w:r>
              <w:rPr>
                <w:w w:val="102"/>
                <w:sz w:val="19"/>
              </w:rPr>
              <w:t>1</w:t>
            </w:r>
          </w:p>
        </w:tc>
        <w:tc>
          <w:tcPr>
            <w:tcW w:w="510" w:type="dxa"/>
          </w:tcPr>
          <w:p>
            <w:pPr>
              <w:pStyle w:val="TableParagraph"/>
              <w:spacing w:before="17"/>
              <w:ind w:left="207"/>
              <w:jc w:val="left"/>
              <w:rPr>
                <w:sz w:val="19"/>
              </w:rPr>
            </w:pPr>
            <w:r>
              <w:rPr>
                <w:w w:val="102"/>
                <w:sz w:val="19"/>
              </w:rPr>
              <w:t>5</w:t>
            </w:r>
          </w:p>
        </w:tc>
        <w:tc>
          <w:tcPr>
            <w:tcW w:w="509" w:type="dxa"/>
          </w:tcPr>
          <w:p>
            <w:pPr>
              <w:pStyle w:val="TableParagraph"/>
              <w:spacing w:before="17"/>
              <w:ind w:left="148" w:right="106"/>
              <w:rPr>
                <w:sz w:val="19"/>
              </w:rPr>
            </w:pPr>
            <w:r>
              <w:rPr>
                <w:spacing w:val="-5"/>
                <w:sz w:val="19"/>
              </w:rPr>
              <w:t>12</w:t>
            </w:r>
          </w:p>
        </w:tc>
        <w:tc>
          <w:tcPr>
            <w:tcW w:w="524" w:type="dxa"/>
          </w:tcPr>
          <w:p>
            <w:pPr>
              <w:pStyle w:val="TableParagraph"/>
              <w:spacing w:before="17"/>
              <w:ind w:left="38"/>
              <w:rPr>
                <w:sz w:val="19"/>
              </w:rPr>
            </w:pPr>
            <w:r>
              <w:rPr>
                <w:w w:val="102"/>
                <w:sz w:val="19"/>
              </w:rPr>
              <w:t>2</w:t>
            </w:r>
          </w:p>
        </w:tc>
        <w:tc>
          <w:tcPr>
            <w:tcW w:w="509" w:type="dxa"/>
          </w:tcPr>
          <w:p>
            <w:pPr>
              <w:pStyle w:val="TableParagraph"/>
              <w:spacing w:before="17"/>
              <w:ind w:left="26"/>
              <w:rPr>
                <w:sz w:val="19"/>
              </w:rPr>
            </w:pPr>
            <w:r>
              <w:rPr>
                <w:w w:val="102"/>
                <w:sz w:val="19"/>
              </w:rPr>
              <w:t>7</w:t>
            </w:r>
          </w:p>
        </w:tc>
        <w:tc>
          <w:tcPr>
            <w:tcW w:w="509" w:type="dxa"/>
          </w:tcPr>
          <w:p>
            <w:pPr>
              <w:pStyle w:val="TableParagraph"/>
              <w:spacing w:before="17"/>
              <w:ind w:left="29"/>
              <w:rPr>
                <w:sz w:val="19"/>
              </w:rPr>
            </w:pPr>
            <w:r>
              <w:rPr>
                <w:w w:val="102"/>
                <w:sz w:val="19"/>
              </w:rPr>
              <w:t>6</w:t>
            </w:r>
          </w:p>
        </w:tc>
        <w:tc>
          <w:tcPr>
            <w:tcW w:w="524" w:type="dxa"/>
          </w:tcPr>
          <w:p>
            <w:pPr>
              <w:pStyle w:val="TableParagraph"/>
              <w:spacing w:before="17"/>
              <w:ind w:left="229"/>
              <w:jc w:val="left"/>
              <w:rPr>
                <w:sz w:val="19"/>
              </w:rPr>
            </w:pPr>
            <w:r>
              <w:rPr>
                <w:w w:val="102"/>
                <w:sz w:val="19"/>
              </w:rPr>
              <w:t>1</w:t>
            </w:r>
          </w:p>
        </w:tc>
      </w:tr>
      <w:tr>
        <w:trPr>
          <w:trHeight w:val="255" w:hRule="atLeast"/>
        </w:trPr>
        <w:tc>
          <w:tcPr>
            <w:tcW w:w="1156" w:type="dxa"/>
            <w:vMerge/>
            <w:tcBorders>
              <w:top w:val="nil"/>
            </w:tcBorders>
          </w:tcPr>
          <w:p>
            <w:pPr>
              <w:rPr>
                <w:sz w:val="2"/>
                <w:szCs w:val="2"/>
              </w:rPr>
            </w:pPr>
          </w:p>
        </w:tc>
        <w:tc>
          <w:tcPr>
            <w:tcW w:w="2777" w:type="dxa"/>
          </w:tcPr>
          <w:p>
            <w:pPr>
              <w:pStyle w:val="TableParagraph"/>
              <w:spacing w:line="206" w:lineRule="exact"/>
              <w:ind w:left="112"/>
              <w:jc w:val="left"/>
              <w:rPr>
                <w:sz w:val="19"/>
              </w:rPr>
            </w:pPr>
            <w:r>
              <w:rPr>
                <w:sz w:val="19"/>
              </w:rPr>
              <w:t>Southeast</w:t>
            </w:r>
            <w:r>
              <w:rPr>
                <w:spacing w:val="57"/>
                <w:sz w:val="19"/>
              </w:rPr>
              <w:t> </w:t>
            </w:r>
            <w:r>
              <w:rPr>
                <w:spacing w:val="-4"/>
                <w:sz w:val="19"/>
              </w:rPr>
              <w:t>Asia</w:t>
            </w:r>
          </w:p>
        </w:tc>
        <w:tc>
          <w:tcPr>
            <w:tcW w:w="555" w:type="dxa"/>
          </w:tcPr>
          <w:p>
            <w:pPr>
              <w:pStyle w:val="TableParagraph"/>
              <w:spacing w:before="2"/>
              <w:ind w:left="23"/>
              <w:rPr>
                <w:sz w:val="19"/>
              </w:rPr>
            </w:pPr>
            <w:r>
              <w:rPr>
                <w:w w:val="102"/>
                <w:sz w:val="19"/>
              </w:rPr>
              <w:t>2</w:t>
            </w:r>
          </w:p>
        </w:tc>
        <w:tc>
          <w:tcPr>
            <w:tcW w:w="555" w:type="dxa"/>
          </w:tcPr>
          <w:p>
            <w:pPr>
              <w:pStyle w:val="TableParagraph"/>
              <w:spacing w:before="2"/>
              <w:ind w:right="3"/>
              <w:rPr>
                <w:sz w:val="19"/>
              </w:rPr>
            </w:pPr>
            <w:r>
              <w:rPr>
                <w:w w:val="102"/>
                <w:sz w:val="19"/>
              </w:rPr>
              <w:t>2</w:t>
            </w:r>
          </w:p>
        </w:tc>
        <w:tc>
          <w:tcPr>
            <w:tcW w:w="555" w:type="dxa"/>
          </w:tcPr>
          <w:p>
            <w:pPr>
              <w:pStyle w:val="TableParagraph"/>
              <w:spacing w:before="2"/>
              <w:ind w:right="2"/>
              <w:rPr>
                <w:sz w:val="19"/>
              </w:rPr>
            </w:pPr>
            <w:r>
              <w:rPr>
                <w:w w:val="102"/>
                <w:sz w:val="19"/>
              </w:rPr>
              <w:t>2</w:t>
            </w:r>
          </w:p>
        </w:tc>
        <w:tc>
          <w:tcPr>
            <w:tcW w:w="525" w:type="dxa"/>
          </w:tcPr>
          <w:p>
            <w:pPr>
              <w:pStyle w:val="TableParagraph"/>
              <w:spacing w:before="2"/>
              <w:ind w:left="26"/>
              <w:rPr>
                <w:sz w:val="19"/>
              </w:rPr>
            </w:pPr>
            <w:r>
              <w:rPr>
                <w:w w:val="102"/>
                <w:sz w:val="19"/>
              </w:rPr>
              <w:t>0</w:t>
            </w:r>
          </w:p>
        </w:tc>
        <w:tc>
          <w:tcPr>
            <w:tcW w:w="525" w:type="dxa"/>
          </w:tcPr>
          <w:p>
            <w:pPr>
              <w:pStyle w:val="TableParagraph"/>
              <w:spacing w:before="2"/>
              <w:ind w:left="27"/>
              <w:rPr>
                <w:sz w:val="19"/>
              </w:rPr>
            </w:pPr>
            <w:r>
              <w:rPr>
                <w:w w:val="102"/>
                <w:sz w:val="19"/>
              </w:rPr>
              <w:t>2</w:t>
            </w:r>
          </w:p>
        </w:tc>
        <w:tc>
          <w:tcPr>
            <w:tcW w:w="510" w:type="dxa"/>
          </w:tcPr>
          <w:p>
            <w:pPr>
              <w:pStyle w:val="TableParagraph"/>
              <w:spacing w:before="2"/>
              <w:ind w:left="205"/>
              <w:jc w:val="left"/>
              <w:rPr>
                <w:sz w:val="19"/>
              </w:rPr>
            </w:pPr>
            <w:r>
              <w:rPr>
                <w:w w:val="102"/>
                <w:sz w:val="19"/>
              </w:rPr>
              <w:t>0</w:t>
            </w:r>
          </w:p>
        </w:tc>
        <w:tc>
          <w:tcPr>
            <w:tcW w:w="510" w:type="dxa"/>
          </w:tcPr>
          <w:p>
            <w:pPr>
              <w:pStyle w:val="TableParagraph"/>
              <w:spacing w:before="2"/>
              <w:ind w:left="13"/>
              <w:rPr>
                <w:sz w:val="19"/>
              </w:rPr>
            </w:pPr>
            <w:r>
              <w:rPr>
                <w:w w:val="102"/>
                <w:sz w:val="19"/>
              </w:rPr>
              <w:t>0</w:t>
            </w:r>
          </w:p>
        </w:tc>
        <w:tc>
          <w:tcPr>
            <w:tcW w:w="555" w:type="dxa"/>
          </w:tcPr>
          <w:p>
            <w:pPr>
              <w:pStyle w:val="TableParagraph"/>
              <w:spacing w:before="2"/>
              <w:ind w:left="29"/>
              <w:rPr>
                <w:sz w:val="19"/>
              </w:rPr>
            </w:pPr>
            <w:r>
              <w:rPr>
                <w:w w:val="102"/>
                <w:sz w:val="19"/>
              </w:rPr>
              <w:t>2</w:t>
            </w:r>
          </w:p>
        </w:tc>
        <w:tc>
          <w:tcPr>
            <w:tcW w:w="510" w:type="dxa"/>
          </w:tcPr>
          <w:p>
            <w:pPr>
              <w:pStyle w:val="TableParagraph"/>
              <w:spacing w:before="2"/>
              <w:ind w:left="15"/>
              <w:rPr>
                <w:sz w:val="19"/>
              </w:rPr>
            </w:pPr>
            <w:r>
              <w:rPr>
                <w:w w:val="102"/>
                <w:sz w:val="19"/>
              </w:rPr>
              <w:t>0</w:t>
            </w:r>
          </w:p>
        </w:tc>
        <w:tc>
          <w:tcPr>
            <w:tcW w:w="525" w:type="dxa"/>
          </w:tcPr>
          <w:p>
            <w:pPr>
              <w:pStyle w:val="TableParagraph"/>
              <w:spacing w:before="2"/>
              <w:ind w:left="222"/>
              <w:jc w:val="left"/>
              <w:rPr>
                <w:sz w:val="19"/>
              </w:rPr>
            </w:pPr>
            <w:r>
              <w:rPr>
                <w:w w:val="102"/>
                <w:sz w:val="19"/>
              </w:rPr>
              <w:t>1</w:t>
            </w:r>
          </w:p>
        </w:tc>
        <w:tc>
          <w:tcPr>
            <w:tcW w:w="510" w:type="dxa"/>
          </w:tcPr>
          <w:p>
            <w:pPr>
              <w:pStyle w:val="TableParagraph"/>
              <w:spacing w:before="2"/>
              <w:ind w:left="17"/>
              <w:rPr>
                <w:sz w:val="19"/>
              </w:rPr>
            </w:pPr>
            <w:r>
              <w:rPr>
                <w:w w:val="102"/>
                <w:sz w:val="19"/>
              </w:rPr>
              <w:t>0</w:t>
            </w:r>
          </w:p>
        </w:tc>
        <w:tc>
          <w:tcPr>
            <w:tcW w:w="510" w:type="dxa"/>
          </w:tcPr>
          <w:p>
            <w:pPr>
              <w:pStyle w:val="TableParagraph"/>
              <w:spacing w:before="2"/>
              <w:ind w:left="207"/>
              <w:jc w:val="left"/>
              <w:rPr>
                <w:sz w:val="19"/>
              </w:rPr>
            </w:pPr>
            <w:r>
              <w:rPr>
                <w:w w:val="102"/>
                <w:sz w:val="19"/>
              </w:rPr>
              <w:t>0</w:t>
            </w:r>
          </w:p>
        </w:tc>
        <w:tc>
          <w:tcPr>
            <w:tcW w:w="509" w:type="dxa"/>
          </w:tcPr>
          <w:p>
            <w:pPr>
              <w:pStyle w:val="TableParagraph"/>
              <w:spacing w:before="2"/>
              <w:ind w:left="50"/>
              <w:rPr>
                <w:sz w:val="19"/>
              </w:rPr>
            </w:pPr>
            <w:r>
              <w:rPr>
                <w:w w:val="102"/>
                <w:sz w:val="19"/>
              </w:rPr>
              <w:t>1</w:t>
            </w:r>
          </w:p>
        </w:tc>
        <w:tc>
          <w:tcPr>
            <w:tcW w:w="524" w:type="dxa"/>
          </w:tcPr>
          <w:p>
            <w:pPr>
              <w:pStyle w:val="TableParagraph"/>
              <w:spacing w:before="2"/>
              <w:ind w:left="38"/>
              <w:rPr>
                <w:sz w:val="19"/>
              </w:rPr>
            </w:pPr>
            <w:r>
              <w:rPr>
                <w:w w:val="102"/>
                <w:sz w:val="19"/>
              </w:rPr>
              <w:t>0</w:t>
            </w:r>
          </w:p>
        </w:tc>
        <w:tc>
          <w:tcPr>
            <w:tcW w:w="509" w:type="dxa"/>
          </w:tcPr>
          <w:p>
            <w:pPr>
              <w:pStyle w:val="TableParagraph"/>
              <w:spacing w:before="2"/>
              <w:ind w:left="26"/>
              <w:rPr>
                <w:sz w:val="19"/>
              </w:rPr>
            </w:pPr>
            <w:r>
              <w:rPr>
                <w:w w:val="102"/>
                <w:sz w:val="19"/>
              </w:rPr>
              <w:t>0</w:t>
            </w:r>
          </w:p>
        </w:tc>
        <w:tc>
          <w:tcPr>
            <w:tcW w:w="509" w:type="dxa"/>
          </w:tcPr>
          <w:p>
            <w:pPr>
              <w:pStyle w:val="TableParagraph"/>
              <w:spacing w:before="2"/>
              <w:ind w:left="29"/>
              <w:rPr>
                <w:sz w:val="19"/>
              </w:rPr>
            </w:pPr>
            <w:r>
              <w:rPr>
                <w:w w:val="102"/>
                <w:sz w:val="19"/>
              </w:rPr>
              <w:t>0</w:t>
            </w:r>
          </w:p>
        </w:tc>
        <w:tc>
          <w:tcPr>
            <w:tcW w:w="524" w:type="dxa"/>
          </w:tcPr>
          <w:p>
            <w:pPr>
              <w:pStyle w:val="TableParagraph"/>
              <w:spacing w:before="2"/>
              <w:ind w:left="229"/>
              <w:jc w:val="left"/>
              <w:rPr>
                <w:sz w:val="19"/>
              </w:rPr>
            </w:pPr>
            <w:r>
              <w:rPr>
                <w:w w:val="102"/>
                <w:sz w:val="19"/>
              </w:rPr>
              <w:t>0</w:t>
            </w:r>
          </w:p>
        </w:tc>
      </w:tr>
      <w:tr>
        <w:trPr>
          <w:trHeight w:val="255" w:hRule="atLeast"/>
        </w:trPr>
        <w:tc>
          <w:tcPr>
            <w:tcW w:w="1156" w:type="dxa"/>
            <w:vMerge/>
            <w:tcBorders>
              <w:top w:val="nil"/>
            </w:tcBorders>
          </w:tcPr>
          <w:p>
            <w:pPr>
              <w:rPr>
                <w:sz w:val="2"/>
                <w:szCs w:val="2"/>
              </w:rPr>
            </w:pPr>
          </w:p>
        </w:tc>
        <w:tc>
          <w:tcPr>
            <w:tcW w:w="2777" w:type="dxa"/>
          </w:tcPr>
          <w:p>
            <w:pPr>
              <w:pStyle w:val="TableParagraph"/>
              <w:spacing w:before="3"/>
              <w:ind w:left="112"/>
              <w:jc w:val="left"/>
              <w:rPr>
                <w:sz w:val="19"/>
              </w:rPr>
            </w:pPr>
            <w:r>
              <w:rPr>
                <w:sz w:val="19"/>
              </w:rPr>
              <w:t>Sub-Saharan</w:t>
            </w:r>
            <w:r>
              <w:rPr>
                <w:spacing w:val="78"/>
                <w:sz w:val="19"/>
              </w:rPr>
              <w:t> </w:t>
            </w:r>
            <w:r>
              <w:rPr>
                <w:spacing w:val="-2"/>
                <w:sz w:val="19"/>
              </w:rPr>
              <w:t>Africa</w:t>
            </w:r>
          </w:p>
        </w:tc>
        <w:tc>
          <w:tcPr>
            <w:tcW w:w="555" w:type="dxa"/>
          </w:tcPr>
          <w:p>
            <w:pPr>
              <w:pStyle w:val="TableParagraph"/>
              <w:spacing w:line="217" w:lineRule="exact" w:before="18"/>
              <w:ind w:left="130" w:right="84"/>
              <w:rPr>
                <w:sz w:val="19"/>
              </w:rPr>
            </w:pPr>
            <w:r>
              <w:rPr>
                <w:spacing w:val="-5"/>
                <w:sz w:val="19"/>
              </w:rPr>
              <w:t>84</w:t>
            </w:r>
          </w:p>
        </w:tc>
        <w:tc>
          <w:tcPr>
            <w:tcW w:w="555" w:type="dxa"/>
          </w:tcPr>
          <w:p>
            <w:pPr>
              <w:pStyle w:val="TableParagraph"/>
              <w:spacing w:line="217" w:lineRule="exact" w:before="18"/>
              <w:ind w:right="154"/>
              <w:jc w:val="right"/>
              <w:rPr>
                <w:sz w:val="19"/>
              </w:rPr>
            </w:pPr>
            <w:r>
              <w:rPr>
                <w:spacing w:val="-5"/>
                <w:sz w:val="19"/>
              </w:rPr>
              <w:t>65</w:t>
            </w:r>
          </w:p>
        </w:tc>
        <w:tc>
          <w:tcPr>
            <w:tcW w:w="555" w:type="dxa"/>
          </w:tcPr>
          <w:p>
            <w:pPr>
              <w:pStyle w:val="TableParagraph"/>
              <w:spacing w:line="217" w:lineRule="exact" w:before="18"/>
              <w:ind w:right="153"/>
              <w:jc w:val="right"/>
              <w:rPr>
                <w:sz w:val="19"/>
              </w:rPr>
            </w:pPr>
            <w:r>
              <w:rPr>
                <w:spacing w:val="-5"/>
                <w:sz w:val="19"/>
              </w:rPr>
              <w:t>80</w:t>
            </w:r>
          </w:p>
        </w:tc>
        <w:tc>
          <w:tcPr>
            <w:tcW w:w="525" w:type="dxa"/>
          </w:tcPr>
          <w:p>
            <w:pPr>
              <w:pStyle w:val="TableParagraph"/>
              <w:spacing w:line="217" w:lineRule="exact" w:before="18"/>
              <w:ind w:left="26"/>
              <w:rPr>
                <w:sz w:val="19"/>
              </w:rPr>
            </w:pPr>
            <w:r>
              <w:rPr>
                <w:w w:val="102"/>
                <w:sz w:val="19"/>
              </w:rPr>
              <w:t>8</w:t>
            </w:r>
          </w:p>
        </w:tc>
        <w:tc>
          <w:tcPr>
            <w:tcW w:w="525" w:type="dxa"/>
          </w:tcPr>
          <w:p>
            <w:pPr>
              <w:pStyle w:val="TableParagraph"/>
              <w:spacing w:line="217" w:lineRule="exact" w:before="18"/>
              <w:ind w:left="118" w:right="68"/>
              <w:rPr>
                <w:sz w:val="19"/>
              </w:rPr>
            </w:pPr>
            <w:r>
              <w:rPr>
                <w:spacing w:val="-5"/>
                <w:sz w:val="19"/>
              </w:rPr>
              <w:t>51</w:t>
            </w:r>
          </w:p>
        </w:tc>
        <w:tc>
          <w:tcPr>
            <w:tcW w:w="510" w:type="dxa"/>
          </w:tcPr>
          <w:p>
            <w:pPr>
              <w:pStyle w:val="TableParagraph"/>
              <w:spacing w:line="217" w:lineRule="exact" w:before="18"/>
              <w:ind w:left="160"/>
              <w:jc w:val="left"/>
              <w:rPr>
                <w:sz w:val="19"/>
              </w:rPr>
            </w:pPr>
            <w:r>
              <w:rPr>
                <w:spacing w:val="-5"/>
                <w:sz w:val="19"/>
              </w:rPr>
              <w:t>19</w:t>
            </w:r>
          </w:p>
        </w:tc>
        <w:tc>
          <w:tcPr>
            <w:tcW w:w="510" w:type="dxa"/>
          </w:tcPr>
          <w:p>
            <w:pPr>
              <w:pStyle w:val="TableParagraph"/>
              <w:spacing w:line="217" w:lineRule="exact" w:before="18"/>
              <w:ind w:left="102" w:right="66"/>
              <w:rPr>
                <w:sz w:val="19"/>
              </w:rPr>
            </w:pPr>
            <w:r>
              <w:rPr>
                <w:spacing w:val="-5"/>
                <w:sz w:val="19"/>
              </w:rPr>
              <w:t>21</w:t>
            </w:r>
          </w:p>
        </w:tc>
        <w:tc>
          <w:tcPr>
            <w:tcW w:w="555" w:type="dxa"/>
          </w:tcPr>
          <w:p>
            <w:pPr>
              <w:pStyle w:val="TableParagraph"/>
              <w:spacing w:line="217" w:lineRule="exact" w:before="18"/>
              <w:ind w:right="136"/>
              <w:jc w:val="right"/>
              <w:rPr>
                <w:sz w:val="19"/>
              </w:rPr>
            </w:pPr>
            <w:r>
              <w:rPr>
                <w:spacing w:val="-5"/>
                <w:sz w:val="19"/>
              </w:rPr>
              <w:t>75</w:t>
            </w:r>
          </w:p>
        </w:tc>
        <w:tc>
          <w:tcPr>
            <w:tcW w:w="510" w:type="dxa"/>
          </w:tcPr>
          <w:p>
            <w:pPr>
              <w:pStyle w:val="TableParagraph"/>
              <w:spacing w:line="217" w:lineRule="exact" w:before="18"/>
              <w:ind w:left="15"/>
              <w:rPr>
                <w:sz w:val="19"/>
              </w:rPr>
            </w:pPr>
            <w:r>
              <w:rPr>
                <w:w w:val="102"/>
                <w:sz w:val="19"/>
              </w:rPr>
              <w:t>4</w:t>
            </w:r>
          </w:p>
        </w:tc>
        <w:tc>
          <w:tcPr>
            <w:tcW w:w="525" w:type="dxa"/>
          </w:tcPr>
          <w:p>
            <w:pPr>
              <w:pStyle w:val="TableParagraph"/>
              <w:spacing w:line="217" w:lineRule="exact" w:before="18"/>
              <w:ind w:left="177"/>
              <w:jc w:val="left"/>
              <w:rPr>
                <w:sz w:val="19"/>
              </w:rPr>
            </w:pPr>
            <w:r>
              <w:rPr>
                <w:spacing w:val="-5"/>
                <w:sz w:val="19"/>
              </w:rPr>
              <w:t>36</w:t>
            </w:r>
          </w:p>
        </w:tc>
        <w:tc>
          <w:tcPr>
            <w:tcW w:w="510" w:type="dxa"/>
          </w:tcPr>
          <w:p>
            <w:pPr>
              <w:pStyle w:val="TableParagraph"/>
              <w:spacing w:line="217" w:lineRule="exact" w:before="18"/>
              <w:ind w:left="17"/>
              <w:rPr>
                <w:sz w:val="19"/>
              </w:rPr>
            </w:pPr>
            <w:r>
              <w:rPr>
                <w:w w:val="102"/>
                <w:sz w:val="19"/>
              </w:rPr>
              <w:t>6</w:t>
            </w:r>
          </w:p>
        </w:tc>
        <w:tc>
          <w:tcPr>
            <w:tcW w:w="510" w:type="dxa"/>
          </w:tcPr>
          <w:p>
            <w:pPr>
              <w:pStyle w:val="TableParagraph"/>
              <w:spacing w:line="217" w:lineRule="exact" w:before="18"/>
              <w:ind w:left="207"/>
              <w:jc w:val="left"/>
              <w:rPr>
                <w:sz w:val="19"/>
              </w:rPr>
            </w:pPr>
            <w:r>
              <w:rPr>
                <w:w w:val="102"/>
                <w:sz w:val="19"/>
              </w:rPr>
              <w:t>4</w:t>
            </w:r>
          </w:p>
        </w:tc>
        <w:tc>
          <w:tcPr>
            <w:tcW w:w="509" w:type="dxa"/>
          </w:tcPr>
          <w:p>
            <w:pPr>
              <w:pStyle w:val="TableParagraph"/>
              <w:spacing w:line="217" w:lineRule="exact" w:before="18"/>
              <w:ind w:left="148" w:right="106"/>
              <w:rPr>
                <w:sz w:val="19"/>
              </w:rPr>
            </w:pPr>
            <w:r>
              <w:rPr>
                <w:spacing w:val="-5"/>
                <w:sz w:val="19"/>
              </w:rPr>
              <w:t>30</w:t>
            </w:r>
          </w:p>
        </w:tc>
        <w:tc>
          <w:tcPr>
            <w:tcW w:w="524" w:type="dxa"/>
          </w:tcPr>
          <w:p>
            <w:pPr>
              <w:pStyle w:val="TableParagraph"/>
              <w:spacing w:line="217" w:lineRule="exact" w:before="18"/>
              <w:ind w:left="38"/>
              <w:rPr>
                <w:sz w:val="19"/>
              </w:rPr>
            </w:pPr>
            <w:r>
              <w:rPr>
                <w:w w:val="102"/>
                <w:sz w:val="19"/>
              </w:rPr>
              <w:t>2</w:t>
            </w:r>
          </w:p>
        </w:tc>
        <w:tc>
          <w:tcPr>
            <w:tcW w:w="509" w:type="dxa"/>
          </w:tcPr>
          <w:p>
            <w:pPr>
              <w:pStyle w:val="TableParagraph"/>
              <w:spacing w:line="217" w:lineRule="exact" w:before="18"/>
              <w:ind w:left="148" w:right="100"/>
              <w:rPr>
                <w:sz w:val="19"/>
              </w:rPr>
            </w:pPr>
            <w:r>
              <w:rPr>
                <w:spacing w:val="-5"/>
                <w:sz w:val="19"/>
              </w:rPr>
              <w:t>16</w:t>
            </w:r>
          </w:p>
        </w:tc>
        <w:tc>
          <w:tcPr>
            <w:tcW w:w="509" w:type="dxa"/>
          </w:tcPr>
          <w:p>
            <w:pPr>
              <w:pStyle w:val="TableParagraph"/>
              <w:spacing w:line="217" w:lineRule="exact" w:before="18"/>
              <w:ind w:left="135" w:right="113"/>
              <w:rPr>
                <w:sz w:val="19"/>
              </w:rPr>
            </w:pPr>
            <w:r>
              <w:rPr>
                <w:spacing w:val="-5"/>
                <w:sz w:val="19"/>
              </w:rPr>
              <w:t>14</w:t>
            </w:r>
          </w:p>
        </w:tc>
        <w:tc>
          <w:tcPr>
            <w:tcW w:w="524" w:type="dxa"/>
          </w:tcPr>
          <w:p>
            <w:pPr>
              <w:pStyle w:val="TableParagraph"/>
              <w:spacing w:line="217" w:lineRule="exact" w:before="18"/>
              <w:ind w:left="229"/>
              <w:jc w:val="left"/>
              <w:rPr>
                <w:sz w:val="19"/>
              </w:rPr>
            </w:pPr>
            <w:r>
              <w:rPr>
                <w:w w:val="102"/>
                <w:sz w:val="19"/>
              </w:rPr>
              <w:t>1</w:t>
            </w:r>
          </w:p>
        </w:tc>
      </w:tr>
      <w:tr>
        <w:trPr>
          <w:trHeight w:val="255" w:hRule="atLeast"/>
        </w:trPr>
        <w:tc>
          <w:tcPr>
            <w:tcW w:w="3933" w:type="dxa"/>
            <w:gridSpan w:val="2"/>
          </w:tcPr>
          <w:p>
            <w:pPr>
              <w:pStyle w:val="TableParagraph"/>
              <w:spacing w:before="2"/>
              <w:ind w:left="127"/>
              <w:jc w:val="left"/>
              <w:rPr>
                <w:sz w:val="19"/>
              </w:rPr>
            </w:pPr>
            <w:r>
              <w:rPr>
                <w:sz w:val="19"/>
              </w:rPr>
              <w:t>Total</w:t>
            </w:r>
            <w:r>
              <w:rPr>
                <w:spacing w:val="3"/>
                <w:sz w:val="19"/>
              </w:rPr>
              <w:t> </w:t>
            </w:r>
            <w:r>
              <w:rPr>
                <w:sz w:val="19"/>
              </w:rPr>
              <w:t>(out</w:t>
            </w:r>
            <w:r>
              <w:rPr>
                <w:spacing w:val="23"/>
                <w:sz w:val="19"/>
              </w:rPr>
              <w:t> </w:t>
            </w:r>
            <w:r>
              <w:rPr>
                <w:sz w:val="19"/>
              </w:rPr>
              <w:t>of</w:t>
            </w:r>
            <w:r>
              <w:rPr>
                <w:spacing w:val="30"/>
                <w:sz w:val="19"/>
              </w:rPr>
              <w:t> </w:t>
            </w:r>
            <w:r>
              <w:rPr>
                <w:sz w:val="19"/>
              </w:rPr>
              <w:t>292</w:t>
            </w:r>
            <w:r>
              <w:rPr>
                <w:spacing w:val="27"/>
                <w:sz w:val="19"/>
              </w:rPr>
              <w:t> </w:t>
            </w:r>
            <w:r>
              <w:rPr>
                <w:spacing w:val="-2"/>
                <w:sz w:val="19"/>
              </w:rPr>
              <w:t>deals)</w:t>
            </w:r>
          </w:p>
        </w:tc>
        <w:tc>
          <w:tcPr>
            <w:tcW w:w="555" w:type="dxa"/>
          </w:tcPr>
          <w:p>
            <w:pPr>
              <w:pStyle w:val="TableParagraph"/>
              <w:spacing w:line="218" w:lineRule="exact" w:before="17"/>
              <w:ind w:left="130" w:right="99"/>
              <w:rPr>
                <w:sz w:val="19"/>
              </w:rPr>
            </w:pPr>
            <w:r>
              <w:rPr>
                <w:spacing w:val="-5"/>
                <w:sz w:val="19"/>
              </w:rPr>
              <w:t>285</w:t>
            </w:r>
          </w:p>
        </w:tc>
        <w:tc>
          <w:tcPr>
            <w:tcW w:w="555" w:type="dxa"/>
          </w:tcPr>
          <w:p>
            <w:pPr>
              <w:pStyle w:val="TableParagraph"/>
              <w:spacing w:line="218" w:lineRule="exact" w:before="17"/>
              <w:ind w:right="109"/>
              <w:jc w:val="right"/>
              <w:rPr>
                <w:sz w:val="19"/>
              </w:rPr>
            </w:pPr>
            <w:r>
              <w:rPr>
                <w:spacing w:val="-5"/>
                <w:sz w:val="19"/>
              </w:rPr>
              <w:t>234</w:t>
            </w:r>
          </w:p>
        </w:tc>
        <w:tc>
          <w:tcPr>
            <w:tcW w:w="555" w:type="dxa"/>
          </w:tcPr>
          <w:p>
            <w:pPr>
              <w:pStyle w:val="TableParagraph"/>
              <w:spacing w:line="218" w:lineRule="exact" w:before="17"/>
              <w:ind w:right="108"/>
              <w:jc w:val="right"/>
              <w:rPr>
                <w:sz w:val="19"/>
              </w:rPr>
            </w:pPr>
            <w:r>
              <w:rPr>
                <w:spacing w:val="-5"/>
                <w:sz w:val="19"/>
              </w:rPr>
              <w:t>275</w:t>
            </w:r>
          </w:p>
        </w:tc>
        <w:tc>
          <w:tcPr>
            <w:tcW w:w="525" w:type="dxa"/>
          </w:tcPr>
          <w:p>
            <w:pPr>
              <w:pStyle w:val="TableParagraph"/>
              <w:spacing w:line="218" w:lineRule="exact" w:before="17"/>
              <w:ind w:left="87" w:right="68"/>
              <w:rPr>
                <w:sz w:val="19"/>
              </w:rPr>
            </w:pPr>
            <w:r>
              <w:rPr>
                <w:spacing w:val="-5"/>
                <w:sz w:val="19"/>
              </w:rPr>
              <w:t>29</w:t>
            </w:r>
          </w:p>
        </w:tc>
        <w:tc>
          <w:tcPr>
            <w:tcW w:w="525" w:type="dxa"/>
          </w:tcPr>
          <w:p>
            <w:pPr>
              <w:pStyle w:val="TableParagraph"/>
              <w:spacing w:line="218" w:lineRule="exact" w:before="17"/>
              <w:ind w:left="132" w:right="68"/>
              <w:rPr>
                <w:sz w:val="19"/>
              </w:rPr>
            </w:pPr>
            <w:r>
              <w:rPr>
                <w:spacing w:val="-5"/>
                <w:sz w:val="19"/>
              </w:rPr>
              <w:t>172</w:t>
            </w:r>
          </w:p>
        </w:tc>
        <w:tc>
          <w:tcPr>
            <w:tcW w:w="510" w:type="dxa"/>
          </w:tcPr>
          <w:p>
            <w:pPr>
              <w:pStyle w:val="TableParagraph"/>
              <w:spacing w:line="218" w:lineRule="exact" w:before="17"/>
              <w:ind w:left="160"/>
              <w:jc w:val="left"/>
              <w:rPr>
                <w:sz w:val="19"/>
              </w:rPr>
            </w:pPr>
            <w:r>
              <w:rPr>
                <w:spacing w:val="-5"/>
                <w:sz w:val="19"/>
              </w:rPr>
              <w:t>44</w:t>
            </w:r>
          </w:p>
        </w:tc>
        <w:tc>
          <w:tcPr>
            <w:tcW w:w="510" w:type="dxa"/>
          </w:tcPr>
          <w:p>
            <w:pPr>
              <w:pStyle w:val="TableParagraph"/>
              <w:spacing w:line="218" w:lineRule="exact" w:before="17"/>
              <w:ind w:left="102" w:right="66"/>
              <w:rPr>
                <w:sz w:val="19"/>
              </w:rPr>
            </w:pPr>
            <w:r>
              <w:rPr>
                <w:spacing w:val="-5"/>
                <w:sz w:val="19"/>
              </w:rPr>
              <w:t>83</w:t>
            </w:r>
          </w:p>
        </w:tc>
        <w:tc>
          <w:tcPr>
            <w:tcW w:w="555" w:type="dxa"/>
          </w:tcPr>
          <w:p>
            <w:pPr>
              <w:pStyle w:val="TableParagraph"/>
              <w:spacing w:line="218" w:lineRule="exact" w:before="17"/>
              <w:ind w:right="91"/>
              <w:jc w:val="right"/>
              <w:rPr>
                <w:sz w:val="19"/>
              </w:rPr>
            </w:pPr>
            <w:r>
              <w:rPr>
                <w:spacing w:val="-5"/>
                <w:sz w:val="19"/>
              </w:rPr>
              <w:t>262</w:t>
            </w:r>
          </w:p>
        </w:tc>
        <w:tc>
          <w:tcPr>
            <w:tcW w:w="510" w:type="dxa"/>
          </w:tcPr>
          <w:p>
            <w:pPr>
              <w:pStyle w:val="TableParagraph"/>
              <w:spacing w:line="218" w:lineRule="exact" w:before="17"/>
              <w:ind w:left="15"/>
              <w:rPr>
                <w:sz w:val="19"/>
              </w:rPr>
            </w:pPr>
            <w:r>
              <w:rPr>
                <w:w w:val="102"/>
                <w:sz w:val="19"/>
              </w:rPr>
              <w:t>9</w:t>
            </w:r>
          </w:p>
        </w:tc>
        <w:tc>
          <w:tcPr>
            <w:tcW w:w="525" w:type="dxa"/>
          </w:tcPr>
          <w:p>
            <w:pPr>
              <w:pStyle w:val="TableParagraph"/>
              <w:spacing w:line="218" w:lineRule="exact" w:before="17"/>
              <w:ind w:left="132"/>
              <w:jc w:val="left"/>
              <w:rPr>
                <w:sz w:val="19"/>
              </w:rPr>
            </w:pPr>
            <w:r>
              <w:rPr>
                <w:spacing w:val="-5"/>
                <w:sz w:val="19"/>
              </w:rPr>
              <w:t>150</w:t>
            </w:r>
          </w:p>
        </w:tc>
        <w:tc>
          <w:tcPr>
            <w:tcW w:w="510" w:type="dxa"/>
          </w:tcPr>
          <w:p>
            <w:pPr>
              <w:pStyle w:val="TableParagraph"/>
              <w:spacing w:line="218" w:lineRule="exact" w:before="17"/>
              <w:ind w:left="105" w:right="66"/>
              <w:rPr>
                <w:sz w:val="19"/>
              </w:rPr>
            </w:pPr>
            <w:r>
              <w:rPr>
                <w:spacing w:val="-5"/>
                <w:sz w:val="19"/>
              </w:rPr>
              <w:t>12</w:t>
            </w:r>
          </w:p>
        </w:tc>
        <w:tc>
          <w:tcPr>
            <w:tcW w:w="510" w:type="dxa"/>
          </w:tcPr>
          <w:p>
            <w:pPr>
              <w:pStyle w:val="TableParagraph"/>
              <w:spacing w:line="218" w:lineRule="exact" w:before="17"/>
              <w:ind w:left="162"/>
              <w:jc w:val="left"/>
              <w:rPr>
                <w:sz w:val="19"/>
              </w:rPr>
            </w:pPr>
            <w:r>
              <w:rPr>
                <w:spacing w:val="-5"/>
                <w:sz w:val="19"/>
              </w:rPr>
              <w:t>14</w:t>
            </w:r>
          </w:p>
        </w:tc>
        <w:tc>
          <w:tcPr>
            <w:tcW w:w="509" w:type="dxa"/>
          </w:tcPr>
          <w:p>
            <w:pPr>
              <w:pStyle w:val="TableParagraph"/>
              <w:spacing w:line="218" w:lineRule="exact" w:before="17"/>
              <w:ind w:left="148" w:right="106"/>
              <w:rPr>
                <w:sz w:val="19"/>
              </w:rPr>
            </w:pPr>
            <w:r>
              <w:rPr>
                <w:spacing w:val="-5"/>
                <w:sz w:val="19"/>
              </w:rPr>
              <w:t>64</w:t>
            </w:r>
          </w:p>
        </w:tc>
        <w:tc>
          <w:tcPr>
            <w:tcW w:w="524" w:type="dxa"/>
          </w:tcPr>
          <w:p>
            <w:pPr>
              <w:pStyle w:val="TableParagraph"/>
              <w:spacing w:line="218" w:lineRule="exact" w:before="17"/>
              <w:ind w:left="38"/>
              <w:rPr>
                <w:sz w:val="19"/>
              </w:rPr>
            </w:pPr>
            <w:r>
              <w:rPr>
                <w:w w:val="102"/>
                <w:sz w:val="19"/>
              </w:rPr>
              <w:t>7</w:t>
            </w:r>
          </w:p>
        </w:tc>
        <w:tc>
          <w:tcPr>
            <w:tcW w:w="509" w:type="dxa"/>
          </w:tcPr>
          <w:p>
            <w:pPr>
              <w:pStyle w:val="TableParagraph"/>
              <w:spacing w:line="218" w:lineRule="exact" w:before="17"/>
              <w:ind w:left="148" w:right="100"/>
              <w:rPr>
                <w:sz w:val="19"/>
              </w:rPr>
            </w:pPr>
            <w:r>
              <w:rPr>
                <w:spacing w:val="-5"/>
                <w:sz w:val="19"/>
              </w:rPr>
              <w:t>78</w:t>
            </w:r>
          </w:p>
        </w:tc>
        <w:tc>
          <w:tcPr>
            <w:tcW w:w="509" w:type="dxa"/>
          </w:tcPr>
          <w:p>
            <w:pPr>
              <w:pStyle w:val="TableParagraph"/>
              <w:spacing w:line="218" w:lineRule="exact" w:before="17"/>
              <w:ind w:left="135" w:right="113"/>
              <w:rPr>
                <w:sz w:val="19"/>
              </w:rPr>
            </w:pPr>
            <w:r>
              <w:rPr>
                <w:spacing w:val="-5"/>
                <w:sz w:val="19"/>
              </w:rPr>
              <w:t>32</w:t>
            </w:r>
          </w:p>
        </w:tc>
        <w:tc>
          <w:tcPr>
            <w:tcW w:w="524" w:type="dxa"/>
          </w:tcPr>
          <w:p>
            <w:pPr>
              <w:pStyle w:val="TableParagraph"/>
              <w:spacing w:line="218" w:lineRule="exact" w:before="17"/>
              <w:ind w:left="229"/>
              <w:jc w:val="left"/>
              <w:rPr>
                <w:sz w:val="19"/>
              </w:rPr>
            </w:pPr>
            <w:r>
              <w:rPr>
                <w:w w:val="102"/>
                <w:sz w:val="19"/>
              </w:rPr>
              <w:t>2</w:t>
            </w:r>
          </w:p>
        </w:tc>
      </w:tr>
    </w:tbl>
    <w:p>
      <w:pPr>
        <w:pStyle w:val="BodyText"/>
        <w:spacing w:before="10"/>
        <w:ind w:left="0"/>
        <w:jc w:val="left"/>
        <w:rPr>
          <w:b/>
          <w:sz w:val="22"/>
        </w:rPr>
      </w:pPr>
    </w:p>
    <w:p>
      <w:pPr>
        <w:spacing w:line="271" w:lineRule="auto" w:before="0"/>
        <w:ind w:left="121" w:right="0" w:firstLine="0"/>
        <w:jc w:val="left"/>
        <w:rPr>
          <w:sz w:val="19"/>
        </w:rPr>
      </w:pPr>
      <w:r>
        <w:rPr>
          <w:sz w:val="19"/>
        </w:rPr>
        <w:t>Notes:</w:t>
      </w:r>
      <w:r>
        <w:rPr>
          <w:spacing w:val="15"/>
          <w:sz w:val="19"/>
        </w:rPr>
        <w:t> </w:t>
      </w:r>
      <w:r>
        <w:rPr>
          <w:sz w:val="19"/>
        </w:rPr>
        <w:t>Here,</w:t>
      </w:r>
      <w:r>
        <w:rPr>
          <w:spacing w:val="23"/>
          <w:sz w:val="19"/>
        </w:rPr>
        <w:t> </w:t>
      </w:r>
      <w:r>
        <w:rPr>
          <w:sz w:val="19"/>
        </w:rPr>
        <w:t>SDG</w:t>
      </w:r>
      <w:r>
        <w:rPr>
          <w:spacing w:val="40"/>
          <w:sz w:val="19"/>
        </w:rPr>
        <w:t> </w:t>
      </w:r>
      <w:r>
        <w:rPr>
          <w:sz w:val="19"/>
        </w:rPr>
        <w:t>1</w:t>
      </w:r>
      <w:r>
        <w:rPr>
          <w:spacing w:val="18"/>
          <w:sz w:val="19"/>
        </w:rPr>
        <w:t> </w:t>
      </w:r>
      <w:r>
        <w:rPr>
          <w:sz w:val="19"/>
        </w:rPr>
        <w:t>=</w:t>
      </w:r>
      <w:r>
        <w:rPr>
          <w:spacing w:val="22"/>
          <w:sz w:val="19"/>
        </w:rPr>
        <w:t> </w:t>
      </w:r>
      <w:r>
        <w:rPr>
          <w:sz w:val="19"/>
        </w:rPr>
        <w:t>No</w:t>
      </w:r>
      <w:r>
        <w:rPr>
          <w:spacing w:val="18"/>
          <w:sz w:val="19"/>
        </w:rPr>
        <w:t> </w:t>
      </w:r>
      <w:r>
        <w:rPr>
          <w:sz w:val="19"/>
        </w:rPr>
        <w:t>poverty;</w:t>
      </w:r>
      <w:r>
        <w:rPr>
          <w:spacing w:val="15"/>
          <w:sz w:val="19"/>
        </w:rPr>
        <w:t> </w:t>
      </w:r>
      <w:r>
        <w:rPr>
          <w:sz w:val="19"/>
        </w:rPr>
        <w:t>SDG</w:t>
      </w:r>
      <w:r>
        <w:rPr>
          <w:spacing w:val="21"/>
          <w:sz w:val="19"/>
        </w:rPr>
        <w:t> </w:t>
      </w:r>
      <w:r>
        <w:rPr>
          <w:sz w:val="19"/>
        </w:rPr>
        <w:t>2</w:t>
      </w:r>
      <w:r>
        <w:rPr>
          <w:spacing w:val="18"/>
          <w:sz w:val="19"/>
        </w:rPr>
        <w:t> </w:t>
      </w:r>
      <w:r>
        <w:rPr>
          <w:sz w:val="19"/>
        </w:rPr>
        <w:t>=</w:t>
      </w:r>
      <w:r>
        <w:rPr>
          <w:spacing w:val="22"/>
          <w:sz w:val="19"/>
        </w:rPr>
        <w:t> </w:t>
      </w:r>
      <w:r>
        <w:rPr>
          <w:sz w:val="19"/>
        </w:rPr>
        <w:t>Zero</w:t>
      </w:r>
      <w:r>
        <w:rPr>
          <w:spacing w:val="18"/>
          <w:sz w:val="19"/>
        </w:rPr>
        <w:t> </w:t>
      </w:r>
      <w:r>
        <w:rPr>
          <w:sz w:val="19"/>
        </w:rPr>
        <w:t>hunger;</w:t>
      </w:r>
      <w:r>
        <w:rPr>
          <w:spacing w:val="35"/>
          <w:sz w:val="19"/>
        </w:rPr>
        <w:t> </w:t>
      </w:r>
      <w:r>
        <w:rPr>
          <w:sz w:val="19"/>
        </w:rPr>
        <w:t>SDG</w:t>
      </w:r>
      <w:r>
        <w:rPr>
          <w:spacing w:val="40"/>
          <w:sz w:val="19"/>
        </w:rPr>
        <w:t> </w:t>
      </w:r>
      <w:r>
        <w:rPr>
          <w:sz w:val="19"/>
        </w:rPr>
        <w:t>3</w:t>
      </w:r>
      <w:r>
        <w:rPr>
          <w:spacing w:val="18"/>
          <w:sz w:val="19"/>
        </w:rPr>
        <w:t> </w:t>
      </w:r>
      <w:r>
        <w:rPr>
          <w:sz w:val="19"/>
        </w:rPr>
        <w:t>= Good</w:t>
      </w:r>
      <w:r>
        <w:rPr>
          <w:spacing w:val="18"/>
          <w:sz w:val="19"/>
        </w:rPr>
        <w:t> </w:t>
      </w:r>
      <w:r>
        <w:rPr>
          <w:sz w:val="19"/>
        </w:rPr>
        <w:t>health</w:t>
      </w:r>
      <w:r>
        <w:rPr>
          <w:spacing w:val="18"/>
          <w:sz w:val="19"/>
        </w:rPr>
        <w:t> </w:t>
      </w:r>
      <w:r>
        <w:rPr>
          <w:sz w:val="19"/>
        </w:rPr>
        <w:t>and</w:t>
      </w:r>
      <w:r>
        <w:rPr>
          <w:spacing w:val="18"/>
          <w:sz w:val="19"/>
        </w:rPr>
        <w:t> </w:t>
      </w:r>
      <w:r>
        <w:rPr>
          <w:sz w:val="19"/>
        </w:rPr>
        <w:t>well-being;</w:t>
      </w:r>
      <w:r>
        <w:rPr>
          <w:spacing w:val="35"/>
          <w:sz w:val="19"/>
        </w:rPr>
        <w:t> </w:t>
      </w:r>
      <w:r>
        <w:rPr>
          <w:sz w:val="19"/>
        </w:rPr>
        <w:t>SDG</w:t>
      </w:r>
      <w:r>
        <w:rPr>
          <w:spacing w:val="40"/>
          <w:sz w:val="19"/>
        </w:rPr>
        <w:t> </w:t>
      </w:r>
      <w:r>
        <w:rPr>
          <w:sz w:val="19"/>
        </w:rPr>
        <w:t>4</w:t>
      </w:r>
      <w:r>
        <w:rPr>
          <w:spacing w:val="18"/>
          <w:sz w:val="19"/>
        </w:rPr>
        <w:t> </w:t>
      </w:r>
      <w:r>
        <w:rPr>
          <w:sz w:val="19"/>
        </w:rPr>
        <w:t>=</w:t>
      </w:r>
      <w:r>
        <w:rPr>
          <w:spacing w:val="22"/>
          <w:sz w:val="19"/>
        </w:rPr>
        <w:t> </w:t>
      </w:r>
      <w:r>
        <w:rPr>
          <w:sz w:val="19"/>
        </w:rPr>
        <w:t>Quality</w:t>
      </w:r>
      <w:r>
        <w:rPr>
          <w:spacing w:val="18"/>
          <w:sz w:val="19"/>
        </w:rPr>
        <w:t> </w:t>
      </w:r>
      <w:r>
        <w:rPr>
          <w:sz w:val="19"/>
        </w:rPr>
        <w:t>education;</w:t>
      </w:r>
      <w:r>
        <w:rPr>
          <w:spacing w:val="15"/>
          <w:sz w:val="19"/>
        </w:rPr>
        <w:t> </w:t>
      </w:r>
      <w:r>
        <w:rPr>
          <w:sz w:val="19"/>
        </w:rPr>
        <w:t>SDG 5</w:t>
      </w:r>
      <w:r>
        <w:rPr>
          <w:spacing w:val="18"/>
          <w:sz w:val="19"/>
        </w:rPr>
        <w:t> </w:t>
      </w:r>
      <w:r>
        <w:rPr>
          <w:sz w:val="19"/>
        </w:rPr>
        <w:t>=</w:t>
      </w:r>
      <w:r>
        <w:rPr>
          <w:spacing w:val="22"/>
          <w:sz w:val="19"/>
        </w:rPr>
        <w:t> </w:t>
      </w:r>
      <w:r>
        <w:rPr>
          <w:sz w:val="19"/>
        </w:rPr>
        <w:t>Gender equality;</w:t>
      </w:r>
      <w:r>
        <w:rPr>
          <w:spacing w:val="15"/>
          <w:sz w:val="19"/>
        </w:rPr>
        <w:t> </w:t>
      </w:r>
      <w:r>
        <w:rPr>
          <w:sz w:val="19"/>
        </w:rPr>
        <w:t>SDG</w:t>
      </w:r>
      <w:r>
        <w:rPr>
          <w:spacing w:val="21"/>
          <w:sz w:val="19"/>
        </w:rPr>
        <w:t> </w:t>
      </w:r>
      <w:r>
        <w:rPr>
          <w:sz w:val="19"/>
        </w:rPr>
        <w:t>6</w:t>
      </w:r>
      <w:r>
        <w:rPr>
          <w:spacing w:val="18"/>
          <w:sz w:val="19"/>
        </w:rPr>
        <w:t> </w:t>
      </w:r>
      <w:r>
        <w:rPr>
          <w:sz w:val="19"/>
        </w:rPr>
        <w:t>=</w:t>
      </w:r>
      <w:r>
        <w:rPr>
          <w:spacing w:val="22"/>
          <w:sz w:val="19"/>
        </w:rPr>
        <w:t> </w:t>
      </w:r>
      <w:r>
        <w:rPr>
          <w:sz w:val="19"/>
        </w:rPr>
        <w:t>Clean</w:t>
      </w:r>
      <w:r>
        <w:rPr>
          <w:spacing w:val="18"/>
          <w:sz w:val="19"/>
        </w:rPr>
        <w:t> </w:t>
      </w:r>
      <w:r>
        <w:rPr>
          <w:sz w:val="19"/>
        </w:rPr>
        <w:t>water and</w:t>
      </w:r>
      <w:r>
        <w:rPr>
          <w:spacing w:val="35"/>
          <w:sz w:val="19"/>
        </w:rPr>
        <w:t> </w:t>
      </w:r>
      <w:r>
        <w:rPr>
          <w:sz w:val="19"/>
        </w:rPr>
        <w:t>sanitation;</w:t>
      </w:r>
      <w:r>
        <w:rPr>
          <w:spacing w:val="32"/>
          <w:sz w:val="19"/>
        </w:rPr>
        <w:t> </w:t>
      </w:r>
      <w:r>
        <w:rPr>
          <w:sz w:val="19"/>
        </w:rPr>
        <w:t>SDG</w:t>
      </w:r>
      <w:r>
        <w:rPr>
          <w:spacing w:val="14"/>
          <w:sz w:val="19"/>
        </w:rPr>
        <w:t> </w:t>
      </w:r>
      <w:r>
        <w:rPr>
          <w:sz w:val="19"/>
        </w:rPr>
        <w:t>7</w:t>
      </w:r>
      <w:r>
        <w:rPr>
          <w:spacing w:val="35"/>
          <w:sz w:val="19"/>
        </w:rPr>
        <w:t> </w:t>
      </w:r>
      <w:r>
        <w:rPr>
          <w:sz w:val="19"/>
        </w:rPr>
        <w:t>=</w:t>
      </w:r>
      <w:r>
        <w:rPr>
          <w:spacing w:val="16"/>
          <w:sz w:val="19"/>
        </w:rPr>
        <w:t> </w:t>
      </w:r>
      <w:r>
        <w:rPr>
          <w:sz w:val="19"/>
        </w:rPr>
        <w:t>Affordable</w:t>
      </w:r>
      <w:r>
        <w:rPr>
          <w:spacing w:val="29"/>
          <w:sz w:val="19"/>
        </w:rPr>
        <w:t> </w:t>
      </w:r>
      <w:r>
        <w:rPr>
          <w:sz w:val="19"/>
        </w:rPr>
        <w:t>and</w:t>
      </w:r>
      <w:r>
        <w:rPr>
          <w:spacing w:val="35"/>
          <w:sz w:val="19"/>
        </w:rPr>
        <w:t> </w:t>
      </w:r>
      <w:r>
        <w:rPr>
          <w:sz w:val="19"/>
        </w:rPr>
        <w:t>clean</w:t>
      </w:r>
      <w:r>
        <w:rPr>
          <w:spacing w:val="35"/>
          <w:sz w:val="19"/>
        </w:rPr>
        <w:t> </w:t>
      </w:r>
      <w:r>
        <w:rPr>
          <w:sz w:val="19"/>
        </w:rPr>
        <w:t>energy;</w:t>
      </w:r>
      <w:r>
        <w:rPr>
          <w:spacing w:val="32"/>
          <w:sz w:val="19"/>
        </w:rPr>
        <w:t> </w:t>
      </w:r>
      <w:r>
        <w:rPr>
          <w:sz w:val="19"/>
        </w:rPr>
        <w:t>SDG</w:t>
      </w:r>
      <w:r>
        <w:rPr>
          <w:spacing w:val="14"/>
          <w:sz w:val="19"/>
        </w:rPr>
        <w:t> </w:t>
      </w:r>
      <w:r>
        <w:rPr>
          <w:sz w:val="19"/>
        </w:rPr>
        <w:t>8</w:t>
      </w:r>
      <w:r>
        <w:rPr>
          <w:spacing w:val="35"/>
          <w:sz w:val="19"/>
        </w:rPr>
        <w:t> </w:t>
      </w:r>
      <w:r>
        <w:rPr>
          <w:sz w:val="19"/>
        </w:rPr>
        <w:t>=</w:t>
      </w:r>
      <w:r>
        <w:rPr>
          <w:spacing w:val="16"/>
          <w:sz w:val="19"/>
        </w:rPr>
        <w:t> </w:t>
      </w:r>
      <w:r>
        <w:rPr>
          <w:sz w:val="19"/>
        </w:rPr>
        <w:t>Decent</w:t>
      </w:r>
      <w:r>
        <w:rPr>
          <w:spacing w:val="40"/>
          <w:sz w:val="19"/>
        </w:rPr>
        <w:t> </w:t>
      </w:r>
      <w:r>
        <w:rPr>
          <w:sz w:val="19"/>
        </w:rPr>
        <w:t>work</w:t>
      </w:r>
      <w:r>
        <w:rPr>
          <w:spacing w:val="35"/>
          <w:sz w:val="19"/>
        </w:rPr>
        <w:t> </w:t>
      </w:r>
      <w:r>
        <w:rPr>
          <w:sz w:val="19"/>
        </w:rPr>
        <w:t>and</w:t>
      </w:r>
      <w:r>
        <w:rPr>
          <w:spacing w:val="35"/>
          <w:sz w:val="19"/>
        </w:rPr>
        <w:t> </w:t>
      </w:r>
      <w:r>
        <w:rPr>
          <w:sz w:val="19"/>
        </w:rPr>
        <w:t>economic</w:t>
      </w:r>
      <w:r>
        <w:rPr>
          <w:spacing w:val="29"/>
          <w:sz w:val="19"/>
        </w:rPr>
        <w:t> </w:t>
      </w:r>
      <w:r>
        <w:rPr>
          <w:sz w:val="19"/>
        </w:rPr>
        <w:t>growth;</w:t>
      </w:r>
      <w:r>
        <w:rPr>
          <w:spacing w:val="32"/>
          <w:sz w:val="19"/>
        </w:rPr>
        <w:t> </w:t>
      </w:r>
      <w:r>
        <w:rPr>
          <w:sz w:val="19"/>
        </w:rPr>
        <w:t>SDG</w:t>
      </w:r>
      <w:r>
        <w:rPr>
          <w:spacing w:val="39"/>
          <w:sz w:val="19"/>
        </w:rPr>
        <w:t> </w:t>
      </w:r>
      <w:r>
        <w:rPr>
          <w:sz w:val="19"/>
        </w:rPr>
        <w:t>9</w:t>
      </w:r>
      <w:r>
        <w:rPr>
          <w:spacing w:val="35"/>
          <w:sz w:val="19"/>
        </w:rPr>
        <w:t> </w:t>
      </w:r>
      <w:r>
        <w:rPr>
          <w:sz w:val="19"/>
        </w:rPr>
        <w:t>=</w:t>
      </w:r>
      <w:r>
        <w:rPr>
          <w:spacing w:val="40"/>
          <w:sz w:val="19"/>
        </w:rPr>
        <w:t> </w:t>
      </w:r>
      <w:r>
        <w:rPr>
          <w:sz w:val="19"/>
        </w:rPr>
        <w:t>Industry,</w:t>
      </w:r>
      <w:r>
        <w:rPr>
          <w:spacing w:val="18"/>
          <w:sz w:val="19"/>
        </w:rPr>
        <w:t> </w:t>
      </w:r>
      <w:r>
        <w:rPr>
          <w:sz w:val="19"/>
        </w:rPr>
        <w:t>innovation</w:t>
      </w:r>
      <w:r>
        <w:rPr>
          <w:spacing w:val="35"/>
          <w:sz w:val="19"/>
        </w:rPr>
        <w:t> </w:t>
      </w:r>
      <w:r>
        <w:rPr>
          <w:sz w:val="19"/>
        </w:rPr>
        <w:t>and</w:t>
      </w:r>
      <w:r>
        <w:rPr>
          <w:spacing w:val="35"/>
          <w:sz w:val="19"/>
        </w:rPr>
        <w:t> </w:t>
      </w:r>
      <w:r>
        <w:rPr>
          <w:sz w:val="19"/>
        </w:rPr>
        <w:t>infrastructure;</w:t>
      </w:r>
      <w:r>
        <w:rPr>
          <w:spacing w:val="32"/>
          <w:sz w:val="19"/>
        </w:rPr>
        <w:t> </w:t>
      </w:r>
      <w:r>
        <w:rPr>
          <w:sz w:val="19"/>
        </w:rPr>
        <w:t>SDG</w:t>
      </w:r>
      <w:r>
        <w:rPr>
          <w:spacing w:val="14"/>
          <w:sz w:val="19"/>
        </w:rPr>
        <w:t> </w:t>
      </w:r>
      <w:r>
        <w:rPr>
          <w:sz w:val="19"/>
        </w:rPr>
        <w:t>10</w:t>
      </w:r>
      <w:r>
        <w:rPr>
          <w:spacing w:val="35"/>
          <w:sz w:val="19"/>
        </w:rPr>
        <w:t> </w:t>
      </w:r>
      <w:r>
        <w:rPr>
          <w:sz w:val="19"/>
        </w:rPr>
        <w:t>=</w:t>
      </w:r>
      <w:r>
        <w:rPr>
          <w:spacing w:val="16"/>
          <w:sz w:val="19"/>
        </w:rPr>
        <w:t> </w:t>
      </w:r>
      <w:r>
        <w:rPr>
          <w:sz w:val="19"/>
        </w:rPr>
        <w:t>Reduced inequalities;</w:t>
      </w:r>
      <w:r>
        <w:rPr>
          <w:spacing w:val="40"/>
          <w:sz w:val="19"/>
        </w:rPr>
        <w:t> </w:t>
      </w:r>
      <w:r>
        <w:rPr>
          <w:sz w:val="19"/>
        </w:rPr>
        <w:t>SDG</w:t>
      </w:r>
      <w:r>
        <w:rPr>
          <w:spacing w:val="62"/>
          <w:sz w:val="19"/>
        </w:rPr>
        <w:t> </w:t>
      </w:r>
      <w:r>
        <w:rPr>
          <w:sz w:val="19"/>
        </w:rPr>
        <w:t>11</w:t>
      </w:r>
      <w:r>
        <w:rPr>
          <w:spacing w:val="35"/>
          <w:sz w:val="19"/>
        </w:rPr>
        <w:t> </w:t>
      </w:r>
      <w:r>
        <w:rPr>
          <w:sz w:val="19"/>
        </w:rPr>
        <w:t>=</w:t>
      </w:r>
      <w:r>
        <w:rPr>
          <w:spacing w:val="16"/>
          <w:sz w:val="19"/>
        </w:rPr>
        <w:t> </w:t>
      </w:r>
      <w:r>
        <w:rPr>
          <w:sz w:val="19"/>
        </w:rPr>
        <w:t>Sustainable</w:t>
      </w:r>
      <w:r>
        <w:rPr>
          <w:spacing w:val="29"/>
          <w:sz w:val="19"/>
        </w:rPr>
        <w:t> </w:t>
      </w:r>
      <w:r>
        <w:rPr>
          <w:sz w:val="19"/>
        </w:rPr>
        <w:t>cities</w:t>
      </w:r>
      <w:r>
        <w:rPr>
          <w:spacing w:val="22"/>
          <w:sz w:val="19"/>
        </w:rPr>
        <w:t> </w:t>
      </w:r>
      <w:r>
        <w:rPr>
          <w:sz w:val="19"/>
        </w:rPr>
        <w:t>and</w:t>
      </w:r>
      <w:r>
        <w:rPr>
          <w:spacing w:val="35"/>
          <w:sz w:val="19"/>
        </w:rPr>
        <w:t> </w:t>
      </w:r>
      <w:r>
        <w:rPr>
          <w:sz w:val="19"/>
        </w:rPr>
        <w:t>communities;</w:t>
      </w:r>
      <w:r>
        <w:rPr>
          <w:spacing w:val="32"/>
          <w:sz w:val="19"/>
        </w:rPr>
        <w:t> </w:t>
      </w:r>
      <w:r>
        <w:rPr>
          <w:sz w:val="19"/>
        </w:rPr>
        <w:t>SDG</w:t>
      </w:r>
      <w:r>
        <w:rPr>
          <w:spacing w:val="14"/>
          <w:sz w:val="19"/>
        </w:rPr>
        <w:t> </w:t>
      </w:r>
      <w:r>
        <w:rPr>
          <w:sz w:val="19"/>
        </w:rPr>
        <w:t>12</w:t>
      </w:r>
      <w:r>
        <w:rPr>
          <w:spacing w:val="35"/>
          <w:sz w:val="19"/>
        </w:rPr>
        <w:t> </w:t>
      </w:r>
      <w:r>
        <w:rPr>
          <w:sz w:val="19"/>
        </w:rPr>
        <w:t>=</w:t>
      </w:r>
      <w:r>
        <w:rPr>
          <w:spacing w:val="40"/>
          <w:sz w:val="19"/>
        </w:rPr>
        <w:t> </w:t>
      </w:r>
      <w:r>
        <w:rPr>
          <w:sz w:val="19"/>
        </w:rPr>
        <w:t>Responsible</w:t>
      </w:r>
      <w:r>
        <w:rPr>
          <w:spacing w:val="29"/>
          <w:sz w:val="19"/>
        </w:rPr>
        <w:t> </w:t>
      </w:r>
      <w:r>
        <w:rPr>
          <w:sz w:val="19"/>
        </w:rPr>
        <w:t>consumption</w:t>
      </w:r>
      <w:r>
        <w:rPr>
          <w:spacing w:val="35"/>
          <w:sz w:val="19"/>
        </w:rPr>
        <w:t> </w:t>
      </w:r>
      <w:r>
        <w:rPr>
          <w:sz w:val="19"/>
        </w:rPr>
        <w:t>and</w:t>
      </w:r>
      <w:r>
        <w:rPr>
          <w:spacing w:val="35"/>
          <w:sz w:val="19"/>
        </w:rPr>
        <w:t> </w:t>
      </w:r>
      <w:r>
        <w:rPr>
          <w:sz w:val="19"/>
        </w:rPr>
        <w:t>production;</w:t>
      </w:r>
      <w:r>
        <w:rPr>
          <w:spacing w:val="32"/>
          <w:sz w:val="19"/>
        </w:rPr>
        <w:t> </w:t>
      </w:r>
      <w:r>
        <w:rPr>
          <w:sz w:val="19"/>
        </w:rPr>
        <w:t>SDG</w:t>
      </w:r>
      <w:r>
        <w:rPr>
          <w:spacing w:val="14"/>
          <w:sz w:val="19"/>
        </w:rPr>
        <w:t> </w:t>
      </w:r>
      <w:r>
        <w:rPr>
          <w:sz w:val="19"/>
        </w:rPr>
        <w:t>13</w:t>
      </w:r>
      <w:r>
        <w:rPr>
          <w:spacing w:val="35"/>
          <w:sz w:val="19"/>
        </w:rPr>
        <w:t> </w:t>
      </w:r>
      <w:r>
        <w:rPr>
          <w:sz w:val="19"/>
        </w:rPr>
        <w:t>=</w:t>
      </w:r>
      <w:r>
        <w:rPr>
          <w:spacing w:val="16"/>
          <w:sz w:val="19"/>
        </w:rPr>
        <w:t> </w:t>
      </w:r>
      <w:r>
        <w:rPr>
          <w:sz w:val="19"/>
        </w:rPr>
        <w:t>Climate</w:t>
      </w:r>
      <w:r>
        <w:rPr>
          <w:spacing w:val="69"/>
          <w:sz w:val="19"/>
        </w:rPr>
        <w:t> </w:t>
      </w:r>
      <w:r>
        <w:rPr>
          <w:sz w:val="19"/>
        </w:rPr>
        <w:t>action;</w:t>
      </w:r>
      <w:r>
        <w:rPr>
          <w:spacing w:val="32"/>
          <w:sz w:val="19"/>
        </w:rPr>
        <w:t> </w:t>
      </w:r>
      <w:r>
        <w:rPr>
          <w:sz w:val="19"/>
        </w:rPr>
        <w:t>SDG</w:t>
      </w:r>
      <w:r>
        <w:rPr>
          <w:spacing w:val="14"/>
          <w:sz w:val="19"/>
        </w:rPr>
        <w:t> </w:t>
      </w:r>
      <w:r>
        <w:rPr>
          <w:sz w:val="19"/>
        </w:rPr>
        <w:t>14</w:t>
      </w:r>
      <w:r>
        <w:rPr>
          <w:spacing w:val="35"/>
          <w:sz w:val="19"/>
        </w:rPr>
        <w:t> </w:t>
      </w:r>
      <w:r>
        <w:rPr>
          <w:sz w:val="19"/>
        </w:rPr>
        <w:t>=</w:t>
      </w:r>
      <w:r>
        <w:rPr>
          <w:spacing w:val="16"/>
          <w:sz w:val="19"/>
        </w:rPr>
        <w:t> </w:t>
      </w:r>
      <w:r>
        <w:rPr>
          <w:sz w:val="19"/>
        </w:rPr>
        <w:t>Life</w:t>
      </w:r>
      <w:r>
        <w:rPr>
          <w:spacing w:val="29"/>
          <w:sz w:val="19"/>
        </w:rPr>
        <w:t> </w:t>
      </w:r>
      <w:r>
        <w:rPr>
          <w:sz w:val="19"/>
        </w:rPr>
        <w:t>below</w:t>
      </w:r>
      <w:r>
        <w:rPr>
          <w:spacing w:val="14"/>
          <w:sz w:val="19"/>
        </w:rPr>
        <w:t> </w:t>
      </w:r>
      <w:r>
        <w:rPr>
          <w:sz w:val="19"/>
        </w:rPr>
        <w:t>water;</w:t>
      </w:r>
    </w:p>
    <w:p>
      <w:pPr>
        <w:spacing w:line="199" w:lineRule="exact" w:before="0"/>
        <w:ind w:left="121" w:right="0" w:firstLine="0"/>
        <w:jc w:val="left"/>
        <w:rPr>
          <w:sz w:val="19"/>
        </w:rPr>
      </w:pPr>
      <w:r>
        <w:rPr>
          <w:sz w:val="19"/>
        </w:rPr>
        <w:t>SDG</w:t>
      </w:r>
      <w:r>
        <w:rPr>
          <w:spacing w:val="40"/>
          <w:sz w:val="19"/>
        </w:rPr>
        <w:t> </w:t>
      </w:r>
      <w:r>
        <w:rPr>
          <w:sz w:val="19"/>
        </w:rPr>
        <w:t>15</w:t>
      </w:r>
      <w:r>
        <w:rPr>
          <w:spacing w:val="18"/>
          <w:sz w:val="19"/>
        </w:rPr>
        <w:t> </w:t>
      </w:r>
      <w:r>
        <w:rPr>
          <w:sz w:val="19"/>
        </w:rPr>
        <w:t>=</w:t>
      </w:r>
      <w:r>
        <w:rPr>
          <w:spacing w:val="22"/>
          <w:sz w:val="19"/>
        </w:rPr>
        <w:t> </w:t>
      </w:r>
      <w:r>
        <w:rPr>
          <w:sz w:val="19"/>
        </w:rPr>
        <w:t>Life</w:t>
      </w:r>
      <w:r>
        <w:rPr>
          <w:spacing w:val="14"/>
          <w:sz w:val="19"/>
        </w:rPr>
        <w:t> </w:t>
      </w:r>
      <w:r>
        <w:rPr>
          <w:sz w:val="19"/>
        </w:rPr>
        <w:t>on</w:t>
      </w:r>
      <w:r>
        <w:rPr>
          <w:spacing w:val="18"/>
          <w:sz w:val="19"/>
        </w:rPr>
        <w:t> </w:t>
      </w:r>
      <w:r>
        <w:rPr>
          <w:sz w:val="19"/>
        </w:rPr>
        <w:t>land;</w:t>
      </w:r>
      <w:r>
        <w:rPr>
          <w:spacing w:val="16"/>
          <w:sz w:val="19"/>
        </w:rPr>
        <w:t> </w:t>
      </w:r>
      <w:r>
        <w:rPr>
          <w:sz w:val="19"/>
        </w:rPr>
        <w:t>SDG</w:t>
      </w:r>
      <w:r>
        <w:rPr>
          <w:spacing w:val="21"/>
          <w:sz w:val="19"/>
        </w:rPr>
        <w:t> </w:t>
      </w:r>
      <w:r>
        <w:rPr>
          <w:sz w:val="19"/>
        </w:rPr>
        <w:t>16</w:t>
      </w:r>
      <w:r>
        <w:rPr>
          <w:spacing w:val="18"/>
          <w:sz w:val="19"/>
        </w:rPr>
        <w:t> </w:t>
      </w:r>
      <w:r>
        <w:rPr>
          <w:sz w:val="19"/>
        </w:rPr>
        <w:t>=</w:t>
      </w:r>
      <w:r>
        <w:rPr>
          <w:spacing w:val="3"/>
          <w:sz w:val="19"/>
        </w:rPr>
        <w:t> </w:t>
      </w:r>
      <w:r>
        <w:rPr>
          <w:sz w:val="19"/>
        </w:rPr>
        <w:t>Peace,</w:t>
      </w:r>
      <w:r>
        <w:rPr>
          <w:spacing w:val="4"/>
          <w:sz w:val="19"/>
        </w:rPr>
        <w:t> </w:t>
      </w:r>
      <w:r>
        <w:rPr>
          <w:sz w:val="19"/>
        </w:rPr>
        <w:t>justice</w:t>
      </w:r>
      <w:r>
        <w:rPr>
          <w:spacing w:val="14"/>
          <w:sz w:val="19"/>
        </w:rPr>
        <w:t> </w:t>
      </w:r>
      <w:r>
        <w:rPr>
          <w:sz w:val="19"/>
        </w:rPr>
        <w:t>and</w:t>
      </w:r>
      <w:r>
        <w:rPr>
          <w:spacing w:val="18"/>
          <w:sz w:val="19"/>
        </w:rPr>
        <w:t> </w:t>
      </w:r>
      <w:r>
        <w:rPr>
          <w:sz w:val="19"/>
        </w:rPr>
        <w:t>strong</w:t>
      </w:r>
      <w:r>
        <w:rPr>
          <w:spacing w:val="-1"/>
          <w:sz w:val="19"/>
        </w:rPr>
        <w:t> </w:t>
      </w:r>
      <w:r>
        <w:rPr>
          <w:sz w:val="19"/>
        </w:rPr>
        <w:t>institutions;</w:t>
      </w:r>
      <w:r>
        <w:rPr>
          <w:spacing w:val="16"/>
          <w:sz w:val="19"/>
        </w:rPr>
        <w:t> </w:t>
      </w:r>
      <w:r>
        <w:rPr>
          <w:sz w:val="19"/>
        </w:rPr>
        <w:t>SDG</w:t>
      </w:r>
      <w:r>
        <w:rPr>
          <w:spacing w:val="40"/>
          <w:sz w:val="19"/>
        </w:rPr>
        <w:t> </w:t>
      </w:r>
      <w:r>
        <w:rPr>
          <w:sz w:val="19"/>
        </w:rPr>
        <w:t>17</w:t>
      </w:r>
      <w:r>
        <w:rPr>
          <w:spacing w:val="19"/>
          <w:sz w:val="19"/>
        </w:rPr>
        <w:t> </w:t>
      </w:r>
      <w:r>
        <w:rPr>
          <w:sz w:val="19"/>
        </w:rPr>
        <w:t>=</w:t>
      </w:r>
      <w:r>
        <w:rPr>
          <w:spacing w:val="3"/>
          <w:sz w:val="19"/>
        </w:rPr>
        <w:t> </w:t>
      </w:r>
      <w:r>
        <w:rPr>
          <w:sz w:val="19"/>
        </w:rPr>
        <w:t>Partnerships</w:t>
      </w:r>
      <w:r>
        <w:rPr>
          <w:spacing w:val="27"/>
          <w:sz w:val="19"/>
        </w:rPr>
        <w:t> </w:t>
      </w:r>
      <w:r>
        <w:rPr>
          <w:sz w:val="19"/>
        </w:rPr>
        <w:t>for</w:t>
      </w:r>
      <w:r>
        <w:rPr>
          <w:spacing w:val="3"/>
          <w:sz w:val="19"/>
        </w:rPr>
        <w:t> </w:t>
      </w:r>
      <w:r>
        <w:rPr>
          <w:sz w:val="19"/>
        </w:rPr>
        <w:t>the</w:t>
      </w:r>
      <w:r>
        <w:rPr>
          <w:spacing w:val="13"/>
          <w:sz w:val="19"/>
        </w:rPr>
        <w:t> </w:t>
      </w:r>
      <w:r>
        <w:rPr>
          <w:spacing w:val="-2"/>
          <w:sz w:val="19"/>
        </w:rPr>
        <w:t>goals.</w:t>
      </w:r>
    </w:p>
    <w:p>
      <w:pPr>
        <w:pStyle w:val="BodyText"/>
        <w:spacing w:before="7"/>
        <w:ind w:left="0"/>
        <w:jc w:val="left"/>
        <w:rPr>
          <w:sz w:val="17"/>
        </w:rPr>
      </w:pPr>
    </w:p>
    <w:p>
      <w:pPr>
        <w:spacing w:line="264" w:lineRule="auto" w:before="0"/>
        <w:ind w:left="121" w:right="178" w:firstLine="0"/>
        <w:jc w:val="left"/>
        <w:rPr>
          <w:sz w:val="19"/>
        </w:rPr>
      </w:pPr>
      <w:r>
        <w:rPr>
          <w:sz w:val="19"/>
        </w:rPr>
        <w:t>Panel</w:t>
      </w:r>
      <w:r>
        <w:rPr>
          <w:spacing w:val="7"/>
          <w:sz w:val="19"/>
        </w:rPr>
        <w:t> </w:t>
      </w:r>
      <w:r>
        <w:rPr>
          <w:sz w:val="19"/>
        </w:rPr>
        <w:t>A</w:t>
      </w:r>
      <w:r>
        <w:rPr>
          <w:spacing w:val="35"/>
          <w:sz w:val="19"/>
        </w:rPr>
        <w:t> </w:t>
      </w:r>
      <w:r>
        <w:rPr>
          <w:sz w:val="19"/>
        </w:rPr>
        <w:t>presents</w:t>
      </w:r>
      <w:r>
        <w:rPr>
          <w:spacing w:val="20"/>
          <w:sz w:val="19"/>
        </w:rPr>
        <w:t> </w:t>
      </w:r>
      <w:r>
        <w:rPr>
          <w:sz w:val="19"/>
        </w:rPr>
        <w:t>the</w:t>
      </w:r>
      <w:r>
        <w:rPr>
          <w:spacing w:val="26"/>
          <w:sz w:val="19"/>
        </w:rPr>
        <w:t> </w:t>
      </w:r>
      <w:r>
        <w:rPr>
          <w:sz w:val="19"/>
        </w:rPr>
        <w:t>distribution</w:t>
      </w:r>
      <w:r>
        <w:rPr>
          <w:spacing w:val="32"/>
          <w:sz w:val="19"/>
        </w:rPr>
        <w:t> </w:t>
      </w:r>
      <w:r>
        <w:rPr>
          <w:sz w:val="19"/>
        </w:rPr>
        <w:t>of</w:t>
      </w:r>
      <w:r>
        <w:rPr>
          <w:spacing w:val="37"/>
          <w:sz w:val="19"/>
        </w:rPr>
        <w:t> </w:t>
      </w:r>
      <w:r>
        <w:rPr>
          <w:sz w:val="19"/>
        </w:rPr>
        <w:t>impact</w:t>
      </w:r>
      <w:r>
        <w:rPr>
          <w:spacing w:val="29"/>
          <w:sz w:val="19"/>
        </w:rPr>
        <w:t> </w:t>
      </w:r>
      <w:r>
        <w:rPr>
          <w:sz w:val="19"/>
        </w:rPr>
        <w:t>investment</w:t>
      </w:r>
      <w:r>
        <w:rPr>
          <w:spacing w:val="29"/>
          <w:sz w:val="19"/>
        </w:rPr>
        <w:t> </w:t>
      </w:r>
      <w:r>
        <w:rPr>
          <w:sz w:val="19"/>
        </w:rPr>
        <w:t>deals</w:t>
      </w:r>
      <w:r>
        <w:rPr>
          <w:spacing w:val="20"/>
          <w:sz w:val="19"/>
        </w:rPr>
        <w:t> </w:t>
      </w:r>
      <w:r>
        <w:rPr>
          <w:sz w:val="19"/>
        </w:rPr>
        <w:t>across</w:t>
      </w:r>
      <w:r>
        <w:rPr>
          <w:spacing w:val="20"/>
          <w:sz w:val="19"/>
        </w:rPr>
        <w:t> </w:t>
      </w:r>
      <w:r>
        <w:rPr>
          <w:sz w:val="19"/>
        </w:rPr>
        <w:t>SDGs</w:t>
      </w:r>
      <w:r>
        <w:rPr>
          <w:spacing w:val="20"/>
          <w:sz w:val="19"/>
        </w:rPr>
        <w:t> </w:t>
      </w:r>
      <w:r>
        <w:rPr>
          <w:sz w:val="19"/>
        </w:rPr>
        <w:t>when</w:t>
      </w:r>
      <w:r>
        <w:rPr>
          <w:spacing w:val="32"/>
          <w:sz w:val="19"/>
        </w:rPr>
        <w:t> </w:t>
      </w:r>
      <w:r>
        <w:rPr>
          <w:sz w:val="19"/>
        </w:rPr>
        <w:t>a</w:t>
      </w:r>
      <w:r>
        <w:rPr>
          <w:spacing w:val="40"/>
          <w:sz w:val="19"/>
        </w:rPr>
        <w:t> </w:t>
      </w:r>
      <w:r>
        <w:rPr>
          <w:sz w:val="19"/>
        </w:rPr>
        <w:t>deal’s</w:t>
      </w:r>
      <w:r>
        <w:rPr>
          <w:spacing w:val="20"/>
          <w:sz w:val="19"/>
        </w:rPr>
        <w:t> </w:t>
      </w:r>
      <w:r>
        <w:rPr>
          <w:sz w:val="19"/>
        </w:rPr>
        <w:t>both</w:t>
      </w:r>
      <w:r>
        <w:rPr>
          <w:spacing w:val="32"/>
          <w:sz w:val="19"/>
        </w:rPr>
        <w:t> </w:t>
      </w:r>
      <w:r>
        <w:rPr>
          <w:sz w:val="19"/>
        </w:rPr>
        <w:t>primary</w:t>
      </w:r>
      <w:r>
        <w:rPr>
          <w:spacing w:val="32"/>
          <w:sz w:val="19"/>
        </w:rPr>
        <w:t> </w:t>
      </w:r>
      <w:r>
        <w:rPr>
          <w:sz w:val="19"/>
        </w:rPr>
        <w:t>and</w:t>
      </w:r>
      <w:r>
        <w:rPr>
          <w:spacing w:val="32"/>
          <w:sz w:val="19"/>
        </w:rPr>
        <w:t> </w:t>
      </w:r>
      <w:r>
        <w:rPr>
          <w:sz w:val="19"/>
        </w:rPr>
        <w:t>secondary</w:t>
      </w:r>
      <w:r>
        <w:rPr>
          <w:spacing w:val="32"/>
          <w:sz w:val="19"/>
        </w:rPr>
        <w:t> </w:t>
      </w:r>
      <w:r>
        <w:rPr>
          <w:sz w:val="19"/>
        </w:rPr>
        <w:t>SDGs</w:t>
      </w:r>
      <w:r>
        <w:rPr>
          <w:spacing w:val="20"/>
          <w:sz w:val="19"/>
        </w:rPr>
        <w:t> </w:t>
      </w:r>
      <w:r>
        <w:rPr>
          <w:sz w:val="19"/>
        </w:rPr>
        <w:t>are</w:t>
      </w:r>
      <w:r>
        <w:rPr>
          <w:spacing w:val="26"/>
          <w:sz w:val="19"/>
        </w:rPr>
        <w:t> </w:t>
      </w:r>
      <w:r>
        <w:rPr>
          <w:sz w:val="19"/>
        </w:rPr>
        <w:t>co</w:t>
      </w:r>
      <w:r>
        <w:rPr>
          <w:spacing w:val="-1"/>
          <w:sz w:val="19"/>
        </w:rPr>
        <w:t> </w:t>
      </w:r>
      <w:r>
        <w:rPr>
          <w:sz w:val="19"/>
        </w:rPr>
        <w:t>nsidered.</w:t>
      </w:r>
      <w:r>
        <w:rPr>
          <w:spacing w:val="15"/>
          <w:sz w:val="19"/>
        </w:rPr>
        <w:t> </w:t>
      </w:r>
      <w:r>
        <w:rPr>
          <w:sz w:val="19"/>
        </w:rPr>
        <w:t>Panel</w:t>
      </w:r>
      <w:r>
        <w:rPr>
          <w:spacing w:val="7"/>
          <w:sz w:val="19"/>
        </w:rPr>
        <w:t> </w:t>
      </w:r>
      <w:r>
        <w:rPr>
          <w:sz w:val="19"/>
        </w:rPr>
        <w:t>B</w:t>
      </w:r>
      <w:r>
        <w:rPr>
          <w:spacing w:val="27"/>
          <w:sz w:val="19"/>
        </w:rPr>
        <w:t> </w:t>
      </w:r>
      <w:r>
        <w:rPr>
          <w:sz w:val="19"/>
        </w:rPr>
        <w:t>provides</w:t>
      </w:r>
      <w:r>
        <w:rPr>
          <w:spacing w:val="27"/>
          <w:sz w:val="19"/>
        </w:rPr>
        <w:t> </w:t>
      </w:r>
      <w:r>
        <w:rPr>
          <w:sz w:val="19"/>
        </w:rPr>
        <w:t>the</w:t>
      </w:r>
      <w:r>
        <w:rPr>
          <w:spacing w:val="26"/>
          <w:sz w:val="19"/>
        </w:rPr>
        <w:t> </w:t>
      </w:r>
      <w:r>
        <w:rPr>
          <w:sz w:val="19"/>
        </w:rPr>
        <w:t>distribution of</w:t>
      </w:r>
      <w:r>
        <w:rPr>
          <w:spacing w:val="40"/>
          <w:sz w:val="19"/>
        </w:rPr>
        <w:t> </w:t>
      </w:r>
      <w:r>
        <w:rPr>
          <w:sz w:val="19"/>
        </w:rPr>
        <w:t>impact</w:t>
      </w:r>
      <w:r>
        <w:rPr>
          <w:spacing w:val="38"/>
          <w:sz w:val="19"/>
        </w:rPr>
        <w:t> </w:t>
      </w:r>
      <w:r>
        <w:rPr>
          <w:sz w:val="19"/>
        </w:rPr>
        <w:t>investment</w:t>
      </w:r>
      <w:r>
        <w:rPr>
          <w:spacing w:val="38"/>
          <w:sz w:val="19"/>
        </w:rPr>
        <w:t> </w:t>
      </w:r>
      <w:r>
        <w:rPr>
          <w:sz w:val="19"/>
        </w:rPr>
        <w:t>deals</w:t>
      </w:r>
      <w:r>
        <w:rPr>
          <w:spacing w:val="28"/>
          <w:sz w:val="19"/>
        </w:rPr>
        <w:t> </w:t>
      </w:r>
      <w:r>
        <w:rPr>
          <w:sz w:val="19"/>
        </w:rPr>
        <w:t>across</w:t>
      </w:r>
      <w:r>
        <w:rPr>
          <w:spacing w:val="28"/>
          <w:sz w:val="19"/>
        </w:rPr>
        <w:t> </w:t>
      </w:r>
      <w:r>
        <w:rPr>
          <w:sz w:val="19"/>
        </w:rPr>
        <w:t>regions</w:t>
      </w:r>
      <w:r>
        <w:rPr>
          <w:spacing w:val="28"/>
          <w:sz w:val="19"/>
        </w:rPr>
        <w:t> </w:t>
      </w:r>
      <w:r>
        <w:rPr>
          <w:sz w:val="19"/>
        </w:rPr>
        <w:t>and</w:t>
      </w:r>
      <w:r>
        <w:rPr>
          <w:spacing w:val="40"/>
          <w:sz w:val="19"/>
        </w:rPr>
        <w:t> </w:t>
      </w:r>
      <w:r>
        <w:rPr>
          <w:sz w:val="19"/>
        </w:rPr>
        <w:t>SDGs</w:t>
      </w:r>
      <w:r>
        <w:rPr>
          <w:spacing w:val="28"/>
          <w:sz w:val="19"/>
        </w:rPr>
        <w:t> </w:t>
      </w:r>
      <w:r>
        <w:rPr>
          <w:sz w:val="19"/>
        </w:rPr>
        <w:t>when</w:t>
      </w:r>
      <w:r>
        <w:rPr>
          <w:spacing w:val="40"/>
          <w:sz w:val="19"/>
        </w:rPr>
        <w:t> </w:t>
      </w:r>
      <w:r>
        <w:rPr>
          <w:sz w:val="19"/>
        </w:rPr>
        <w:t>a</w:t>
      </w:r>
      <w:r>
        <w:rPr>
          <w:spacing w:val="40"/>
          <w:sz w:val="19"/>
        </w:rPr>
        <w:t> </w:t>
      </w:r>
      <w:r>
        <w:rPr>
          <w:sz w:val="19"/>
        </w:rPr>
        <w:t>deal’s</w:t>
      </w:r>
      <w:r>
        <w:rPr>
          <w:spacing w:val="28"/>
          <w:sz w:val="19"/>
        </w:rPr>
        <w:t> </w:t>
      </w:r>
      <w:r>
        <w:rPr>
          <w:sz w:val="19"/>
        </w:rPr>
        <w:t>both</w:t>
      </w:r>
      <w:r>
        <w:rPr>
          <w:spacing w:val="40"/>
          <w:sz w:val="19"/>
        </w:rPr>
        <w:t> </w:t>
      </w:r>
      <w:r>
        <w:rPr>
          <w:sz w:val="19"/>
        </w:rPr>
        <w:t>primary</w:t>
      </w:r>
      <w:r>
        <w:rPr>
          <w:spacing w:val="40"/>
          <w:sz w:val="19"/>
        </w:rPr>
        <w:t> </w:t>
      </w:r>
      <w:r>
        <w:rPr>
          <w:sz w:val="19"/>
        </w:rPr>
        <w:t>and</w:t>
      </w:r>
      <w:r>
        <w:rPr>
          <w:spacing w:val="40"/>
          <w:sz w:val="19"/>
        </w:rPr>
        <w:t> </w:t>
      </w:r>
      <w:r>
        <w:rPr>
          <w:sz w:val="19"/>
        </w:rPr>
        <w:t>secondary</w:t>
      </w:r>
      <w:r>
        <w:rPr>
          <w:spacing w:val="40"/>
          <w:sz w:val="19"/>
        </w:rPr>
        <w:t> </w:t>
      </w:r>
      <w:r>
        <w:rPr>
          <w:sz w:val="19"/>
        </w:rPr>
        <w:t>SDGs</w:t>
      </w:r>
      <w:r>
        <w:rPr>
          <w:spacing w:val="28"/>
          <w:sz w:val="19"/>
        </w:rPr>
        <w:t> </w:t>
      </w:r>
      <w:r>
        <w:rPr>
          <w:sz w:val="19"/>
        </w:rPr>
        <w:t>are</w:t>
      </w:r>
      <w:r>
        <w:rPr>
          <w:spacing w:val="35"/>
          <w:sz w:val="19"/>
        </w:rPr>
        <w:t> </w:t>
      </w:r>
      <w:r>
        <w:rPr>
          <w:sz w:val="19"/>
        </w:rPr>
        <w:t>considered.</w:t>
      </w:r>
    </w:p>
    <w:sectPr>
      <w:pgSz w:w="16850" w:h="11910" w:orient="landscape"/>
      <w:pgMar w:header="0" w:footer="991" w:top="1340" w:bottom="1180" w:left="132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15.900024pt;margin-top:781.012512pt;width:12.75pt;height:13.25pt;mso-position-horizontal-relative:page;mso-position-vertical-relative:page;z-index:-17347584" type="#_x0000_t202" id="docshape1" filled="false" stroked="false">
          <v:textbox inset="0,0,0,0">
            <w:txbxContent>
              <w:p>
                <w:pPr>
                  <w:spacing w:line="248" w:lineRule="exact" w:before="0"/>
                  <w:ind w:left="60" w:right="0" w:firstLine="0"/>
                  <w:jc w:val="left"/>
                  <w:rPr>
                    <w:rFonts w:ascii="Calibri"/>
                    <w:sz w:val="22"/>
                  </w:rPr>
                </w:pPr>
                <w:r>
                  <w:rPr>
                    <w:rFonts w:ascii="Calibri"/>
                    <w:w w:val="102"/>
                    <w:sz w:val="22"/>
                  </w:rPr>
                  <w:fldChar w:fldCharType="begin"/>
                </w:r>
                <w:r>
                  <w:rPr>
                    <w:rFonts w:ascii="Calibri"/>
                    <w:w w:val="102"/>
                    <w:sz w:val="22"/>
                  </w:rPr>
                  <w:instrText> PAGE </w:instrText>
                </w:r>
                <w:r>
                  <w:rPr>
                    <w:rFonts w:ascii="Calibri"/>
                    <w:w w:val="102"/>
                    <w:sz w:val="22"/>
                  </w:rPr>
                  <w:fldChar w:fldCharType="separate"/>
                </w:r>
                <w:r>
                  <w:rPr>
                    <w:rFonts w:ascii="Calibri"/>
                    <w:w w:val="102"/>
                    <w:sz w:val="22"/>
                  </w:rPr>
                  <w:t>1</w:t>
                </w:r>
                <w:r>
                  <w:rPr>
                    <w:rFonts w:ascii="Calibri"/>
                    <w:w w:val="102"/>
                    <w:sz w:val="22"/>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0.649994pt;margin-top:781.012512pt;width:17.5pt;height:13.25pt;mso-position-horizontal-relative:page;mso-position-vertical-relative:page;z-index:-17347072" type="#_x0000_t202" id="docshape4" filled="false" stroked="false">
          <v:textbox inset="0,0,0,0">
            <w:txbxContent>
              <w:p>
                <w:pPr>
                  <w:spacing w:line="248"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757.429993pt;margin-top:534.96875pt;width:17.55pt;height:13.3pt;mso-position-horizontal-relative:page;mso-position-vertical-relative:page;z-index:-17346560" type="#_x0000_t202" id="docshape6" filled="false" stroked="false">
          <v:textbox inset="0,0,0,0">
            <w:txbxContent>
              <w:p>
                <w:pPr>
                  <w:spacing w:line="248"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28</w:t>
                </w:r>
                <w:r>
                  <w:rPr>
                    <w:rFonts w:ascii="Calibri"/>
                    <w:spacing w:val="-5"/>
                    <w:sz w:val="22"/>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342" w:hanging="240"/>
        <w:jc w:val="left"/>
      </w:pPr>
      <w:rPr>
        <w:rFonts w:hint="default" w:ascii="Times New Roman" w:hAnsi="Times New Roman" w:eastAsia="Times New Roman" w:cs="Times New Roman"/>
        <w:b/>
        <w:bCs/>
        <w:i w:val="0"/>
        <w:iCs w:val="0"/>
        <w:w w:val="100"/>
        <w:sz w:val="24"/>
        <w:szCs w:val="24"/>
        <w:lang w:val="en-US" w:eastAsia="en-US" w:bidi="ar-SA"/>
      </w:rPr>
    </w:lvl>
    <w:lvl w:ilvl="1">
      <w:start w:val="1"/>
      <w:numFmt w:val="decimal"/>
      <w:lvlText w:val="%1.%2"/>
      <w:lvlJc w:val="left"/>
      <w:pPr>
        <w:ind w:left="462" w:hanging="360"/>
        <w:jc w:val="left"/>
      </w:pPr>
      <w:rPr>
        <w:rFonts w:hint="default" w:ascii="Times New Roman" w:hAnsi="Times New Roman" w:eastAsia="Times New Roman" w:cs="Times New Roman"/>
        <w:b w:val="0"/>
        <w:bCs w:val="0"/>
        <w:i/>
        <w:iCs/>
        <w:w w:val="100"/>
        <w:sz w:val="24"/>
        <w:szCs w:val="24"/>
        <w:lang w:val="en-US" w:eastAsia="en-US" w:bidi="ar-SA"/>
      </w:rPr>
    </w:lvl>
    <w:lvl w:ilvl="2">
      <w:start w:val="0"/>
      <w:numFmt w:val="bullet"/>
      <w:lvlText w:val="•"/>
      <w:lvlJc w:val="left"/>
      <w:pPr>
        <w:ind w:left="1438" w:hanging="360"/>
      </w:pPr>
      <w:rPr>
        <w:rFonts w:hint="default"/>
        <w:lang w:val="en-US" w:eastAsia="en-US" w:bidi="ar-SA"/>
      </w:rPr>
    </w:lvl>
    <w:lvl w:ilvl="3">
      <w:start w:val="0"/>
      <w:numFmt w:val="bullet"/>
      <w:lvlText w:val="•"/>
      <w:lvlJc w:val="left"/>
      <w:pPr>
        <w:ind w:left="2417" w:hanging="360"/>
      </w:pPr>
      <w:rPr>
        <w:rFonts w:hint="default"/>
        <w:lang w:val="en-US" w:eastAsia="en-US" w:bidi="ar-SA"/>
      </w:rPr>
    </w:lvl>
    <w:lvl w:ilvl="4">
      <w:start w:val="0"/>
      <w:numFmt w:val="bullet"/>
      <w:lvlText w:val="•"/>
      <w:lvlJc w:val="left"/>
      <w:pPr>
        <w:ind w:left="3396" w:hanging="360"/>
      </w:pPr>
      <w:rPr>
        <w:rFonts w:hint="default"/>
        <w:lang w:val="en-US" w:eastAsia="en-US" w:bidi="ar-SA"/>
      </w:rPr>
    </w:lvl>
    <w:lvl w:ilvl="5">
      <w:start w:val="0"/>
      <w:numFmt w:val="bullet"/>
      <w:lvlText w:val="•"/>
      <w:lvlJc w:val="left"/>
      <w:pPr>
        <w:ind w:left="4375" w:hanging="360"/>
      </w:pPr>
      <w:rPr>
        <w:rFonts w:hint="default"/>
        <w:lang w:val="en-US" w:eastAsia="en-US" w:bidi="ar-SA"/>
      </w:rPr>
    </w:lvl>
    <w:lvl w:ilvl="6">
      <w:start w:val="0"/>
      <w:numFmt w:val="bullet"/>
      <w:lvlText w:val="•"/>
      <w:lvlJc w:val="left"/>
      <w:pPr>
        <w:ind w:left="5354" w:hanging="360"/>
      </w:pPr>
      <w:rPr>
        <w:rFonts w:hint="default"/>
        <w:lang w:val="en-US" w:eastAsia="en-US" w:bidi="ar-SA"/>
      </w:rPr>
    </w:lvl>
    <w:lvl w:ilvl="7">
      <w:start w:val="0"/>
      <w:numFmt w:val="bullet"/>
      <w:lvlText w:val="•"/>
      <w:lvlJc w:val="left"/>
      <w:pPr>
        <w:ind w:left="6333" w:hanging="360"/>
      </w:pPr>
      <w:rPr>
        <w:rFonts w:hint="default"/>
        <w:lang w:val="en-US" w:eastAsia="en-US" w:bidi="ar-SA"/>
      </w:rPr>
    </w:lvl>
    <w:lvl w:ilvl="8">
      <w:start w:val="0"/>
      <w:numFmt w:val="bullet"/>
      <w:lvlText w:val="•"/>
      <w:lvlJc w:val="left"/>
      <w:pPr>
        <w:ind w:left="7312" w:hanging="360"/>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ind w:left="101"/>
      <w:jc w:val="both"/>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ind w:left="342"/>
      <w:outlineLvl w:val="1"/>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ind w:left="342" w:hanging="241"/>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jc w:val="center"/>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syrus.islam@aut.ac.nz" TargetMode="External"/><Relationship Id="rId7" Type="http://schemas.openxmlformats.org/officeDocument/2006/relationships/hyperlink" Target="https://doi.org/10.1111/acfi.13068" TargetMode="External"/><Relationship Id="rId8" Type="http://schemas.openxmlformats.org/officeDocument/2006/relationships/footer" Target="footer2.xml"/><Relationship Id="rId9" Type="http://schemas.openxmlformats.org/officeDocument/2006/relationships/hyperlink" Target="https://doi.org/10.2308/JMAR-2021-041" TargetMode="External"/><Relationship Id="rId10" Type="http://schemas.openxmlformats.org/officeDocument/2006/relationships/footer" Target="footer3.xml"/><Relationship Id="rId11" Type="http://schemas.openxmlformats.org/officeDocument/2006/relationships/hyperlink" Target="mailto:o.mayungbe@oluadepefarms.com"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2023-02-22T02:05:52Z</dcterms:created>
  <dcterms:modified xsi:type="dcterms:W3CDTF">2023-02-22T02:05:52Z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2023-02-21T00:00:00Z</vt:filetime>
  </property>
  <property fmtid="{D5CDD505-2E9C-101B-9397-08002B2CF9AE}" pid="3" name="LastSaved">
    <vt:filetime>2023-02-22T00:00:00Z</vt:filetime>
  </property>
</Properties>
</file>