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B07A12F" w14:textId="0AAE2C02" w:rsidR="0087784A" w:rsidRPr="006636EE" w:rsidRDefault="00551ED1" w:rsidP="0061533D">
      <w:pPr>
        <w:ind w:firstLine="0"/>
        <w:jc w:val="center"/>
        <w:rPr>
          <w:rFonts w:eastAsia="Times New Roman" w:cs="Times New Roman"/>
          <w:b/>
          <w:bCs/>
          <w:sz w:val="32"/>
          <w:szCs w:val="32"/>
        </w:rPr>
      </w:pPr>
      <w:r w:rsidRPr="006636EE">
        <w:rPr>
          <w:rFonts w:eastAsia="Times New Roman" w:cs="Times New Roman"/>
          <w:b/>
          <w:bCs/>
          <w:sz w:val="32"/>
          <w:szCs w:val="32"/>
        </w:rPr>
        <w:t>“</w:t>
      </w:r>
      <w:r w:rsidR="0087784A" w:rsidRPr="006636EE">
        <w:rPr>
          <w:rFonts w:eastAsia="Times New Roman" w:cs="Times New Roman"/>
          <w:b/>
          <w:bCs/>
          <w:sz w:val="32"/>
          <w:szCs w:val="32"/>
        </w:rPr>
        <w:t>My Body, My Choice</w:t>
      </w:r>
      <w:r w:rsidRPr="006636EE">
        <w:rPr>
          <w:rFonts w:eastAsia="Times New Roman" w:cs="Times New Roman"/>
          <w:b/>
          <w:bCs/>
          <w:sz w:val="32"/>
          <w:szCs w:val="32"/>
        </w:rPr>
        <w:t>”</w:t>
      </w:r>
      <w:r w:rsidR="0057126C">
        <w:rPr>
          <w:rFonts w:eastAsia="Times New Roman" w:cs="Times New Roman"/>
          <w:b/>
          <w:bCs/>
          <w:sz w:val="32"/>
          <w:szCs w:val="32"/>
        </w:rPr>
        <w:t xml:space="preserve">: </w:t>
      </w:r>
      <w:r w:rsidR="001F683B" w:rsidRPr="001F683B">
        <w:rPr>
          <w:rFonts w:eastAsia="Times New Roman" w:cs="Times New Roman"/>
          <w:b/>
          <w:bCs/>
          <w:sz w:val="32"/>
          <w:szCs w:val="32"/>
        </w:rPr>
        <w:t xml:space="preserve">Discursive </w:t>
      </w:r>
      <w:r w:rsidR="00102A63">
        <w:rPr>
          <w:rFonts w:eastAsia="Times New Roman" w:cs="Times New Roman"/>
          <w:b/>
          <w:bCs/>
          <w:sz w:val="32"/>
          <w:szCs w:val="32"/>
        </w:rPr>
        <w:t>B</w:t>
      </w:r>
      <w:r w:rsidR="001F683B" w:rsidRPr="001F683B">
        <w:rPr>
          <w:rFonts w:eastAsia="Times New Roman" w:cs="Times New Roman"/>
          <w:b/>
          <w:bCs/>
          <w:sz w:val="32"/>
          <w:szCs w:val="32"/>
        </w:rPr>
        <w:t xml:space="preserve">randjacking and the </w:t>
      </w:r>
      <w:r w:rsidR="00102A63">
        <w:rPr>
          <w:rFonts w:eastAsia="Times New Roman" w:cs="Times New Roman"/>
          <w:b/>
          <w:bCs/>
          <w:sz w:val="32"/>
          <w:szCs w:val="32"/>
        </w:rPr>
        <w:t>Strategic</w:t>
      </w:r>
      <w:r w:rsidR="00E7024C">
        <w:rPr>
          <w:rFonts w:eastAsia="Times New Roman" w:cs="Times New Roman"/>
          <w:b/>
          <w:bCs/>
          <w:sz w:val="32"/>
          <w:szCs w:val="32"/>
        </w:rPr>
        <w:t xml:space="preserve"> Reframing of Protest Language</w:t>
      </w:r>
    </w:p>
    <w:p w14:paraId="58E7EC93" w14:textId="77777777" w:rsidR="00D65D73" w:rsidRPr="006636EE" w:rsidRDefault="00D65D73" w:rsidP="00E54C86">
      <w:pPr>
        <w:pStyle w:val="Heading1"/>
      </w:pPr>
      <w:r w:rsidRPr="006636EE">
        <w:t xml:space="preserve">Abstract </w:t>
      </w:r>
    </w:p>
    <w:p w14:paraId="2BADF054" w14:textId="73F695D3" w:rsidR="00E54C86" w:rsidRPr="006636EE" w:rsidRDefault="00E54C86" w:rsidP="00A54D55">
      <w:pPr>
        <w:rPr>
          <w:rFonts w:eastAsia="Times New Roman" w:cs="Times New Roman"/>
          <w:szCs w:val="24"/>
        </w:rPr>
      </w:pPr>
      <w:r w:rsidRPr="006636EE">
        <w:rPr>
          <w:rFonts w:eastAsia="Times New Roman" w:cs="Times New Roman"/>
          <w:szCs w:val="24"/>
        </w:rPr>
        <w:t xml:space="preserve">This </w:t>
      </w:r>
      <w:r w:rsidR="005E2329" w:rsidRPr="006636EE">
        <w:rPr>
          <w:rFonts w:eastAsia="Times New Roman" w:cs="Times New Roman"/>
          <w:szCs w:val="24"/>
        </w:rPr>
        <w:t xml:space="preserve">paper </w:t>
      </w:r>
      <w:r w:rsidRPr="006636EE">
        <w:rPr>
          <w:rFonts w:eastAsia="Times New Roman" w:cs="Times New Roman"/>
          <w:szCs w:val="24"/>
        </w:rPr>
        <w:t>critically examines the strategic appropriation—or brandjacking—of feminist rhetoric by the COVID-19 antivax movement in Australia and New Zealand. Specifically, it explores how the slogan “My body, my choice</w:t>
      </w:r>
      <w:r w:rsidR="006C1343">
        <w:rPr>
          <w:rFonts w:eastAsia="Times New Roman" w:cs="Times New Roman"/>
          <w:szCs w:val="24"/>
        </w:rPr>
        <w:t>,”</w:t>
      </w:r>
      <w:r w:rsidRPr="006636EE">
        <w:rPr>
          <w:rFonts w:eastAsia="Times New Roman" w:cs="Times New Roman"/>
          <w:szCs w:val="24"/>
        </w:rPr>
        <w:t xml:space="preserve"> historically rooted in reproductive rights activism, was co-opted to oppose vaccination mandates during the pandemic. </w:t>
      </w:r>
      <w:r w:rsidR="00A90BC1" w:rsidRPr="006636EE">
        <w:rPr>
          <w:rFonts w:eastAsia="Times New Roman" w:cs="Times New Roman"/>
          <w:szCs w:val="24"/>
        </w:rPr>
        <w:t xml:space="preserve">Based on </w:t>
      </w:r>
      <w:r w:rsidRPr="006636EE">
        <w:rPr>
          <w:rFonts w:eastAsia="Times New Roman" w:cs="Times New Roman"/>
          <w:szCs w:val="24"/>
        </w:rPr>
        <w:t xml:space="preserve">a social-constructivist approach and framing theory, the study </w:t>
      </w:r>
      <w:r w:rsidR="00A90BC1" w:rsidRPr="006636EE">
        <w:rPr>
          <w:rFonts w:eastAsia="Times New Roman" w:cs="Times New Roman"/>
          <w:szCs w:val="24"/>
        </w:rPr>
        <w:t xml:space="preserve">employs </w:t>
      </w:r>
      <w:r w:rsidRPr="006636EE">
        <w:rPr>
          <w:rFonts w:eastAsia="Times New Roman" w:cs="Times New Roman"/>
          <w:szCs w:val="24"/>
        </w:rPr>
        <w:t>ethnographic observation</w:t>
      </w:r>
      <w:r w:rsidR="0016680D" w:rsidRPr="006636EE">
        <w:rPr>
          <w:rFonts w:eastAsia="Times New Roman" w:cs="Times New Roman"/>
          <w:szCs w:val="24"/>
        </w:rPr>
        <w:t xml:space="preserve"> combined with </w:t>
      </w:r>
      <w:r w:rsidR="00CE2C6F" w:rsidRPr="006636EE">
        <w:rPr>
          <w:rFonts w:eastAsia="Times New Roman" w:cs="Times New Roman"/>
          <w:szCs w:val="24"/>
        </w:rPr>
        <w:t xml:space="preserve">an analysis of media discourse </w:t>
      </w:r>
      <w:r w:rsidRPr="006636EE">
        <w:rPr>
          <w:rFonts w:eastAsia="Times New Roman" w:cs="Times New Roman"/>
          <w:szCs w:val="24"/>
        </w:rPr>
        <w:t xml:space="preserve">to investigate how language functions as a vehicle for ideological contestation. Findings </w:t>
      </w:r>
      <w:r w:rsidR="00CE2C6F" w:rsidRPr="006636EE">
        <w:rPr>
          <w:rFonts w:eastAsia="Times New Roman" w:cs="Times New Roman"/>
          <w:szCs w:val="24"/>
        </w:rPr>
        <w:t>suggest</w:t>
      </w:r>
      <w:r w:rsidRPr="006636EE">
        <w:rPr>
          <w:rFonts w:eastAsia="Times New Roman" w:cs="Times New Roman"/>
          <w:szCs w:val="24"/>
        </w:rPr>
        <w:t xml:space="preserve"> that the antivax movement’s use of the slogan was not incidental but a calculated form of discursive brandjacking that leveraged the feminist movement’s social capital to construct legitimacy, foster group identity, and broaden its</w:t>
      </w:r>
      <w:r w:rsidR="00CE2C6F" w:rsidRPr="006636EE">
        <w:rPr>
          <w:rFonts w:eastAsia="Times New Roman" w:cs="Times New Roman"/>
          <w:szCs w:val="24"/>
        </w:rPr>
        <w:t xml:space="preserve"> mainstream</w:t>
      </w:r>
      <w:r w:rsidRPr="006636EE">
        <w:rPr>
          <w:rFonts w:eastAsia="Times New Roman" w:cs="Times New Roman"/>
          <w:szCs w:val="24"/>
        </w:rPr>
        <w:t xml:space="preserve"> appeal.</w:t>
      </w:r>
      <w:r w:rsidR="009265C0" w:rsidRPr="006636EE">
        <w:rPr>
          <w:rFonts w:eastAsia="Times New Roman" w:cs="Times New Roman"/>
          <w:szCs w:val="24"/>
        </w:rPr>
        <w:t xml:space="preserve"> It is argued that t</w:t>
      </w:r>
      <w:r w:rsidR="00CE2C6F" w:rsidRPr="006636EE">
        <w:rPr>
          <w:rFonts w:eastAsia="Times New Roman" w:cs="Times New Roman"/>
          <w:szCs w:val="24"/>
        </w:rPr>
        <w:t>he</w:t>
      </w:r>
      <w:r w:rsidRPr="006636EE">
        <w:rPr>
          <w:rFonts w:eastAsia="Times New Roman" w:cs="Times New Roman"/>
          <w:szCs w:val="24"/>
        </w:rPr>
        <w:t xml:space="preserve"> adoption of familiar feminist rhetoric provided rhetorical coherence and moral cover</w:t>
      </w:r>
      <w:r w:rsidR="00CE2C6F" w:rsidRPr="006636EE">
        <w:rPr>
          <w:rFonts w:eastAsia="Times New Roman" w:cs="Times New Roman"/>
          <w:szCs w:val="24"/>
        </w:rPr>
        <w:t xml:space="preserve"> for the antivax movement</w:t>
      </w:r>
      <w:r w:rsidRPr="006636EE">
        <w:rPr>
          <w:rFonts w:eastAsia="Times New Roman" w:cs="Times New Roman"/>
          <w:szCs w:val="24"/>
        </w:rPr>
        <w:t xml:space="preserve">. </w:t>
      </w:r>
      <w:r w:rsidR="009265C0" w:rsidRPr="006636EE">
        <w:rPr>
          <w:rFonts w:eastAsia="Times New Roman" w:cs="Times New Roman"/>
          <w:szCs w:val="24"/>
        </w:rPr>
        <w:t>S</w:t>
      </w:r>
      <w:r w:rsidRPr="006636EE">
        <w:rPr>
          <w:rFonts w:eastAsia="Times New Roman" w:cs="Times New Roman"/>
          <w:szCs w:val="24"/>
        </w:rPr>
        <w:t xml:space="preserve">uch appropriation undermines long-standing social justice struggles by reframing collective advocacy as individual resistance. </w:t>
      </w:r>
      <w:r w:rsidR="0060452D" w:rsidRPr="006636EE">
        <w:rPr>
          <w:rFonts w:eastAsia="Times New Roman" w:cs="Times New Roman"/>
          <w:szCs w:val="24"/>
        </w:rPr>
        <w:t xml:space="preserve">It is proposed that </w:t>
      </w:r>
      <w:r w:rsidRPr="006636EE">
        <w:rPr>
          <w:rFonts w:eastAsia="Times New Roman" w:cs="Times New Roman"/>
          <w:szCs w:val="24"/>
        </w:rPr>
        <w:t xml:space="preserve">brandjacking </w:t>
      </w:r>
      <w:r w:rsidR="00C32A0E" w:rsidRPr="006636EE">
        <w:rPr>
          <w:rFonts w:eastAsia="Times New Roman" w:cs="Times New Roman"/>
          <w:szCs w:val="24"/>
        </w:rPr>
        <w:t xml:space="preserve">should be re-conceptualised </w:t>
      </w:r>
      <w:r w:rsidRPr="006636EE">
        <w:rPr>
          <w:rFonts w:eastAsia="Times New Roman" w:cs="Times New Roman"/>
          <w:szCs w:val="24"/>
        </w:rPr>
        <w:t xml:space="preserve">beyond commercial </w:t>
      </w:r>
      <w:r w:rsidR="0068685A" w:rsidRPr="006636EE">
        <w:rPr>
          <w:rFonts w:eastAsia="Times New Roman" w:cs="Times New Roman"/>
          <w:szCs w:val="24"/>
        </w:rPr>
        <w:t xml:space="preserve">and advertising </w:t>
      </w:r>
      <w:r w:rsidRPr="006636EE">
        <w:rPr>
          <w:rFonts w:eastAsia="Times New Roman" w:cs="Times New Roman"/>
          <w:szCs w:val="24"/>
        </w:rPr>
        <w:t xml:space="preserve">contexts </w:t>
      </w:r>
      <w:r w:rsidR="0068685A" w:rsidRPr="006636EE">
        <w:rPr>
          <w:rFonts w:eastAsia="Times New Roman" w:cs="Times New Roman"/>
          <w:szCs w:val="24"/>
        </w:rPr>
        <w:t>to</w:t>
      </w:r>
      <w:r w:rsidRPr="006636EE">
        <w:rPr>
          <w:rFonts w:eastAsia="Times New Roman" w:cs="Times New Roman"/>
          <w:szCs w:val="24"/>
        </w:rPr>
        <w:t xml:space="preserve"> highlight the vulnerability of progressive messaging to ideological subversion. </w:t>
      </w:r>
      <w:r w:rsidR="00344F44" w:rsidRPr="006636EE">
        <w:rPr>
          <w:rFonts w:eastAsia="Times New Roman" w:cs="Times New Roman"/>
          <w:szCs w:val="24"/>
        </w:rPr>
        <w:t xml:space="preserve">To counter such </w:t>
      </w:r>
      <w:r w:rsidR="00880353" w:rsidRPr="006636EE">
        <w:rPr>
          <w:rFonts w:eastAsia="Times New Roman" w:cs="Times New Roman"/>
          <w:szCs w:val="24"/>
        </w:rPr>
        <w:t>destabilization</w:t>
      </w:r>
      <w:r w:rsidR="00344F44" w:rsidRPr="006636EE">
        <w:rPr>
          <w:rFonts w:eastAsia="Times New Roman" w:cs="Times New Roman"/>
          <w:szCs w:val="24"/>
        </w:rPr>
        <w:t xml:space="preserve">, </w:t>
      </w:r>
      <w:r w:rsidRPr="006636EE">
        <w:rPr>
          <w:rFonts w:eastAsia="Times New Roman" w:cs="Times New Roman"/>
          <w:szCs w:val="24"/>
        </w:rPr>
        <w:t xml:space="preserve">communicators and activists </w:t>
      </w:r>
      <w:r w:rsidR="00344F44" w:rsidRPr="006636EE">
        <w:rPr>
          <w:rFonts w:eastAsia="Times New Roman" w:cs="Times New Roman"/>
          <w:szCs w:val="24"/>
        </w:rPr>
        <w:t xml:space="preserve">must develop a greater awareness of </w:t>
      </w:r>
      <w:r w:rsidRPr="006636EE">
        <w:rPr>
          <w:rFonts w:eastAsia="Times New Roman" w:cs="Times New Roman"/>
          <w:szCs w:val="24"/>
        </w:rPr>
        <w:t>the strategic repurposing of emotionally resonant language by non-progressive movements.</w:t>
      </w:r>
    </w:p>
    <w:p w14:paraId="7B5BF79C" w14:textId="2E60A0C8" w:rsidR="00576182" w:rsidRPr="006636EE" w:rsidRDefault="00576182" w:rsidP="003D7826">
      <w:pPr>
        <w:ind w:firstLine="0"/>
        <w:rPr>
          <w:rFonts w:eastAsia="Times New Roman" w:cs="Times New Roman"/>
          <w:b/>
          <w:bCs/>
          <w:szCs w:val="24"/>
        </w:rPr>
      </w:pPr>
      <w:r w:rsidRPr="006636EE">
        <w:rPr>
          <w:rFonts w:eastAsia="Times New Roman" w:cs="Times New Roman"/>
          <w:b/>
          <w:bCs/>
          <w:szCs w:val="24"/>
        </w:rPr>
        <w:t>Keywords</w:t>
      </w:r>
    </w:p>
    <w:p w14:paraId="4900656F" w14:textId="0F5E2036" w:rsidR="00D449F4" w:rsidRPr="006636EE" w:rsidRDefault="00DF1373" w:rsidP="003D7826">
      <w:pPr>
        <w:ind w:firstLine="0"/>
        <w:rPr>
          <w:rFonts w:eastAsia="Times New Roman" w:cs="Times New Roman"/>
          <w:szCs w:val="24"/>
        </w:rPr>
      </w:pPr>
      <w:r>
        <w:rPr>
          <w:rFonts w:eastAsia="Times New Roman" w:cs="Times New Roman"/>
          <w:szCs w:val="24"/>
        </w:rPr>
        <w:lastRenderedPageBreak/>
        <w:t xml:space="preserve">Discursive </w:t>
      </w:r>
      <w:r w:rsidR="00D449F4" w:rsidRPr="006636EE">
        <w:rPr>
          <w:rFonts w:eastAsia="Times New Roman" w:cs="Times New Roman"/>
          <w:szCs w:val="24"/>
        </w:rPr>
        <w:t xml:space="preserve">Brandjacking, </w:t>
      </w:r>
      <w:r w:rsidR="000A1881">
        <w:rPr>
          <w:rFonts w:eastAsia="Times New Roman" w:cs="Times New Roman"/>
          <w:szCs w:val="24"/>
        </w:rPr>
        <w:t>Activist Discourse</w:t>
      </w:r>
      <w:r w:rsidR="00D449F4" w:rsidRPr="006636EE">
        <w:rPr>
          <w:rFonts w:eastAsia="Times New Roman" w:cs="Times New Roman"/>
          <w:szCs w:val="24"/>
        </w:rPr>
        <w:t xml:space="preserve">, </w:t>
      </w:r>
      <w:r>
        <w:rPr>
          <w:rFonts w:eastAsia="Times New Roman" w:cs="Times New Roman"/>
          <w:szCs w:val="24"/>
        </w:rPr>
        <w:t>Strategic Framing</w:t>
      </w:r>
      <w:r w:rsidR="000A1881">
        <w:rPr>
          <w:rFonts w:eastAsia="Times New Roman" w:cs="Times New Roman"/>
          <w:szCs w:val="24"/>
        </w:rPr>
        <w:t>, Ideological Appropriation, Movement Legitimacy</w:t>
      </w:r>
    </w:p>
    <w:p w14:paraId="6169981E" w14:textId="0D40E17A" w:rsidR="003D7826" w:rsidRPr="006636EE" w:rsidRDefault="003D7826" w:rsidP="003D7826">
      <w:pPr>
        <w:ind w:firstLine="0"/>
        <w:rPr>
          <w:rFonts w:eastAsia="Times New Roman" w:cs="Times New Roman"/>
          <w:b/>
          <w:bCs/>
          <w:szCs w:val="24"/>
        </w:rPr>
      </w:pPr>
      <w:r w:rsidRPr="006636EE">
        <w:rPr>
          <w:rFonts w:eastAsia="Times New Roman" w:cs="Times New Roman"/>
          <w:b/>
          <w:bCs/>
          <w:szCs w:val="24"/>
        </w:rPr>
        <w:t>Highlights:</w:t>
      </w:r>
    </w:p>
    <w:p w14:paraId="1A4E57F1" w14:textId="77777777" w:rsidR="00B66623" w:rsidRDefault="00B66623" w:rsidP="00B66623">
      <w:pPr>
        <w:pStyle w:val="ListParagraph"/>
        <w:numPr>
          <w:ilvl w:val="0"/>
          <w:numId w:val="12"/>
        </w:numPr>
        <w:ind w:left="0"/>
        <w:rPr>
          <w:rFonts w:eastAsia="Times New Roman" w:cs="Times New Roman"/>
          <w:szCs w:val="24"/>
        </w:rPr>
      </w:pPr>
      <w:r w:rsidRPr="00B66623">
        <w:rPr>
          <w:rFonts w:eastAsia="Times New Roman" w:cs="Times New Roman"/>
          <w:szCs w:val="24"/>
        </w:rPr>
        <w:t>Antivaxxers</w:t>
      </w:r>
      <w:r w:rsidR="0096164F" w:rsidRPr="00B66623">
        <w:rPr>
          <w:rFonts w:eastAsia="Times New Roman" w:cs="Times New Roman"/>
          <w:szCs w:val="24"/>
        </w:rPr>
        <w:t xml:space="preserve"> hijacked “My body, my choice” to resist vaccine mandates.</w:t>
      </w:r>
    </w:p>
    <w:p w14:paraId="1EC7F0AE" w14:textId="09EB1341" w:rsidR="00B66623" w:rsidRPr="00B66623" w:rsidRDefault="0096164F" w:rsidP="00B66623">
      <w:pPr>
        <w:pStyle w:val="ListParagraph"/>
        <w:numPr>
          <w:ilvl w:val="0"/>
          <w:numId w:val="12"/>
        </w:numPr>
        <w:ind w:left="0"/>
        <w:rPr>
          <w:rFonts w:eastAsia="Times New Roman" w:cs="Times New Roman"/>
          <w:szCs w:val="24"/>
        </w:rPr>
      </w:pPr>
      <w:r w:rsidRPr="00B66623">
        <w:rPr>
          <w:rFonts w:eastAsia="Times New Roman" w:cs="Times New Roman"/>
          <w:szCs w:val="24"/>
        </w:rPr>
        <w:t>Discursive brandjacking shows activist slogans used for new agendas.</w:t>
      </w:r>
    </w:p>
    <w:p w14:paraId="654DEDFE" w14:textId="58931CE2" w:rsidR="00B66623" w:rsidRPr="00B66623" w:rsidRDefault="0096164F" w:rsidP="00B66623">
      <w:pPr>
        <w:pStyle w:val="ListParagraph"/>
        <w:numPr>
          <w:ilvl w:val="0"/>
          <w:numId w:val="12"/>
        </w:numPr>
        <w:ind w:left="0"/>
        <w:rPr>
          <w:rFonts w:eastAsia="Times New Roman" w:cs="Times New Roman"/>
          <w:szCs w:val="24"/>
        </w:rPr>
      </w:pPr>
      <w:r w:rsidRPr="00B66623">
        <w:rPr>
          <w:rFonts w:eastAsia="Times New Roman" w:cs="Times New Roman"/>
          <w:szCs w:val="24"/>
        </w:rPr>
        <w:t>Slogans built legitimacy and unity across diverse protest groups.</w:t>
      </w:r>
    </w:p>
    <w:p w14:paraId="6C5733B7" w14:textId="5085E2EE" w:rsidR="00B66623" w:rsidRPr="00B66623" w:rsidRDefault="0096164F" w:rsidP="00D02218">
      <w:pPr>
        <w:pStyle w:val="ListParagraph"/>
        <w:numPr>
          <w:ilvl w:val="0"/>
          <w:numId w:val="12"/>
        </w:numPr>
        <w:ind w:left="0"/>
      </w:pPr>
      <w:r w:rsidRPr="00B66623">
        <w:rPr>
          <w:rFonts w:eastAsia="Times New Roman" w:cs="Times New Roman"/>
          <w:szCs w:val="24"/>
        </w:rPr>
        <w:t>Framing tactics revealed strategic shifts in activist messaging.</w:t>
      </w:r>
    </w:p>
    <w:p w14:paraId="3EE11792" w14:textId="012691A1" w:rsidR="003D7826" w:rsidRPr="006636EE" w:rsidRDefault="0096164F" w:rsidP="00B66623">
      <w:pPr>
        <w:pStyle w:val="ListParagraph"/>
        <w:numPr>
          <w:ilvl w:val="0"/>
          <w:numId w:val="12"/>
        </w:numPr>
        <w:ind w:left="0"/>
      </w:pPr>
      <w:r w:rsidRPr="00B66623">
        <w:rPr>
          <w:rFonts w:eastAsia="Times New Roman" w:cs="Times New Roman"/>
          <w:szCs w:val="24"/>
        </w:rPr>
        <w:t xml:space="preserve">Public relations must address ethical risks of </w:t>
      </w:r>
      <w:r w:rsidR="00565F47">
        <w:rPr>
          <w:rFonts w:eastAsia="Times New Roman" w:cs="Times New Roman"/>
          <w:szCs w:val="24"/>
        </w:rPr>
        <w:t>language</w:t>
      </w:r>
      <w:r w:rsidR="00565F47" w:rsidRPr="00B66623">
        <w:rPr>
          <w:rFonts w:eastAsia="Times New Roman" w:cs="Times New Roman"/>
          <w:szCs w:val="24"/>
        </w:rPr>
        <w:t xml:space="preserve"> </w:t>
      </w:r>
      <w:r w:rsidRPr="00B66623">
        <w:rPr>
          <w:rFonts w:eastAsia="Times New Roman" w:cs="Times New Roman"/>
          <w:szCs w:val="24"/>
        </w:rPr>
        <w:t>appropriation.</w:t>
      </w:r>
    </w:p>
    <w:p w14:paraId="45782B3F" w14:textId="77777777" w:rsidR="00E97707" w:rsidRDefault="00E97707">
      <w:pPr>
        <w:spacing w:before="0" w:beforeAutospacing="0" w:after="160" w:afterAutospacing="0" w:line="259" w:lineRule="auto"/>
        <w:ind w:firstLine="0"/>
        <w:rPr>
          <w:rFonts w:eastAsia="Times New Roman" w:cs="Times New Roman"/>
          <w:b/>
          <w:sz w:val="28"/>
          <w:szCs w:val="24"/>
        </w:rPr>
      </w:pPr>
      <w:r>
        <w:rPr>
          <w:rFonts w:eastAsia="Times New Roman" w:cs="Times New Roman"/>
          <w:szCs w:val="24"/>
        </w:rPr>
        <w:br w:type="page"/>
      </w:r>
    </w:p>
    <w:p w14:paraId="013C4C17" w14:textId="2F50AFE2" w:rsidR="00D65D73" w:rsidRPr="006636EE" w:rsidRDefault="00D65D73" w:rsidP="00A54D55">
      <w:pPr>
        <w:pStyle w:val="Heading1"/>
      </w:pPr>
      <w:r w:rsidRPr="006636EE">
        <w:lastRenderedPageBreak/>
        <w:t>Introduction</w:t>
      </w:r>
    </w:p>
    <w:p w14:paraId="6BFA8752" w14:textId="6DA0334F" w:rsidR="00576182" w:rsidRPr="006636EE" w:rsidRDefault="0001270A" w:rsidP="00A54D55">
      <w:r w:rsidRPr="006636EE">
        <w:t xml:space="preserve">Globally, </w:t>
      </w:r>
      <w:r w:rsidR="00CE39D7" w:rsidRPr="006636EE">
        <w:t>vaccination mandates were introduced to</w:t>
      </w:r>
      <w:r w:rsidR="6FDDF029" w:rsidRPr="006636EE">
        <w:t xml:space="preserve"> </w:t>
      </w:r>
      <w:r w:rsidR="00474C2C">
        <w:t>mitigate the spread and</w:t>
      </w:r>
      <w:r w:rsidR="00474C2C" w:rsidRPr="006636EE">
        <w:t xml:space="preserve"> </w:t>
      </w:r>
      <w:r w:rsidR="6FDDF029" w:rsidRPr="006636EE">
        <w:t>impact of the COVID-19 pandemic</w:t>
      </w:r>
      <w:r w:rsidR="00E57813" w:rsidRPr="006636EE">
        <w:t xml:space="preserve">. In </w:t>
      </w:r>
      <w:r w:rsidR="7D8EF51F" w:rsidRPr="006636EE">
        <w:t xml:space="preserve">countries </w:t>
      </w:r>
      <w:r w:rsidR="00474C2C">
        <w:t>such as</w:t>
      </w:r>
      <w:r w:rsidR="00474C2C" w:rsidRPr="006636EE">
        <w:t xml:space="preserve"> </w:t>
      </w:r>
      <w:r w:rsidR="7D8EF51F" w:rsidRPr="006636EE">
        <w:t>Australia and New Zealand</w:t>
      </w:r>
      <w:r w:rsidR="00433459" w:rsidRPr="006636EE">
        <w:t>,</w:t>
      </w:r>
      <w:r w:rsidR="7D8EF51F" w:rsidRPr="006636EE">
        <w:t xml:space="preserve"> </w:t>
      </w:r>
      <w:r w:rsidR="00E57813" w:rsidRPr="006636EE">
        <w:t xml:space="preserve">these mandates </w:t>
      </w:r>
      <w:r w:rsidR="2AB19ADD" w:rsidRPr="006636EE">
        <w:t xml:space="preserve">inadvertently </w:t>
      </w:r>
      <w:r w:rsidR="002C4495">
        <w:t xml:space="preserve">amplified the </w:t>
      </w:r>
      <w:r w:rsidR="2AB19ADD" w:rsidRPr="006636EE">
        <w:t xml:space="preserve">visibility of the so-called </w:t>
      </w:r>
      <w:r w:rsidR="005B2E7B" w:rsidRPr="006636EE">
        <w:t>antivax</w:t>
      </w:r>
      <w:r w:rsidR="2AB19ADD" w:rsidRPr="006636EE">
        <w:t xml:space="preserve"> protest movement, prompting </w:t>
      </w:r>
      <w:r w:rsidR="002C4495">
        <w:t xml:space="preserve">many </w:t>
      </w:r>
      <w:r w:rsidR="2AB19ADD" w:rsidRPr="006636EE">
        <w:t>to consider and debate the merits and societal role of vaccinations for the first time ever in their lives.</w:t>
      </w:r>
    </w:p>
    <w:p w14:paraId="6A26EDDF" w14:textId="0C64C76E" w:rsidR="008B07FA" w:rsidRPr="006636EE" w:rsidRDefault="00642B83" w:rsidP="003A7D4C">
      <w:r w:rsidRPr="006636EE">
        <w:t>As voices of discontent grew louder, the COVID-19</w:t>
      </w:r>
      <w:r w:rsidRPr="00642B83">
        <w:rPr>
          <w:lang w:val="en-AU"/>
        </w:rPr>
        <w:t xml:space="preserve"> antivax movement strategically appropriated the language of progressive activism. Central to this was the hijacking of the feminist slogan “my body, my choice</w:t>
      </w:r>
      <w:r w:rsidR="006C1343">
        <w:rPr>
          <w:lang w:val="en-AU"/>
        </w:rPr>
        <w:t>,”</w:t>
      </w:r>
      <w:r w:rsidRPr="00642B83">
        <w:rPr>
          <w:lang w:val="en-AU"/>
        </w:rPr>
        <w:t xml:space="preserve"> a phrase globally associated with reproductive rights and bodily autonomy. By deploying this familiar rhetoric</w:t>
      </w:r>
      <w:r w:rsidR="00AD60D5">
        <w:rPr>
          <w:lang w:val="en-AU"/>
        </w:rPr>
        <w:t>—</w:t>
      </w:r>
      <w:r w:rsidRPr="00642B83">
        <w:rPr>
          <w:lang w:val="en-AU"/>
        </w:rPr>
        <w:t>rooted in social justice struggles</w:t>
      </w:r>
      <w:r w:rsidR="00AD60D5">
        <w:rPr>
          <w:lang w:val="en-AU"/>
        </w:rPr>
        <w:t>—</w:t>
      </w:r>
      <w:r w:rsidRPr="00642B83">
        <w:rPr>
          <w:lang w:val="en-AU"/>
        </w:rPr>
        <w:t xml:space="preserve">the movement sought to gain attention, legitimacy, and group cohesion. What emerged was a form of rhetorical opportunism that helped unify an otherwise disparate coalition of </w:t>
      </w:r>
      <w:r w:rsidR="00686457">
        <w:rPr>
          <w:lang w:val="en-AU"/>
        </w:rPr>
        <w:t>individuals</w:t>
      </w:r>
      <w:r w:rsidRPr="00642B83">
        <w:rPr>
          <w:lang w:val="en-AU"/>
        </w:rPr>
        <w:t xml:space="preserve"> under a common banner of individual rights and resistance.</w:t>
      </w:r>
      <w:r w:rsidR="00686457">
        <w:rPr>
          <w:lang w:val="en-AU"/>
        </w:rPr>
        <w:t xml:space="preserve"> </w:t>
      </w:r>
      <w:r w:rsidRPr="00642B83">
        <w:rPr>
          <w:lang w:val="en-AU"/>
        </w:rPr>
        <w:t xml:space="preserve">This paper positions this act as an example of </w:t>
      </w:r>
      <w:r w:rsidRPr="00642B83">
        <w:rPr>
          <w:i/>
          <w:iCs/>
          <w:lang w:val="en-AU"/>
        </w:rPr>
        <w:t>brandjacking</w:t>
      </w:r>
      <w:r w:rsidRPr="00642B83">
        <w:rPr>
          <w:lang w:val="en-AU"/>
        </w:rPr>
        <w:t xml:space="preserve">, a concept typically associated with commercial marketing contexts (Langley, 2016), in which an external actor exploits a brand’s symbolic capital to advance their own, often conflicting, agenda. </w:t>
      </w:r>
      <w:r w:rsidR="003441B5" w:rsidRPr="006636EE">
        <w:t xml:space="preserve">However, in this </w:t>
      </w:r>
      <w:r w:rsidR="005E2329" w:rsidRPr="006636EE">
        <w:t xml:space="preserve">paper </w:t>
      </w:r>
      <w:r w:rsidR="00DC3217" w:rsidRPr="006636EE">
        <w:t>it is argued</w:t>
      </w:r>
      <w:r w:rsidR="003441B5" w:rsidRPr="006636EE">
        <w:t xml:space="preserve"> that the concept can equally be applied in the context of social movements where an organisation, brand, or group, hijacks a movement’s brand equity to promote their own</w:t>
      </w:r>
      <w:r w:rsidR="00593938" w:rsidRPr="006636EE">
        <w:t>—</w:t>
      </w:r>
      <w:r w:rsidR="003441B5" w:rsidRPr="006636EE">
        <w:t>frequently contrary</w:t>
      </w:r>
      <w:r w:rsidR="00593938" w:rsidRPr="006636EE">
        <w:t>—</w:t>
      </w:r>
      <w:r w:rsidR="003441B5" w:rsidRPr="006636EE">
        <w:t>purposes</w:t>
      </w:r>
      <w:r w:rsidR="0AB9000F" w:rsidRPr="006636EE">
        <w:t>, with far-reaching implications for social justice.</w:t>
      </w:r>
      <w:r w:rsidR="008E6789" w:rsidRPr="006636EE">
        <w:t xml:space="preserve"> </w:t>
      </w:r>
    </w:p>
    <w:p w14:paraId="3960F525" w14:textId="36C06C6D" w:rsidR="003A7D4C" w:rsidRPr="00792B22" w:rsidRDefault="003A7D4C" w:rsidP="00FA5C12">
      <w:pPr>
        <w:spacing w:before="0" w:beforeAutospacing="0" w:after="160" w:afterAutospacing="0"/>
      </w:pPr>
      <w:r w:rsidRPr="00792B22">
        <w:t>This paper does not intend to debate the merits of vaccination policy. Instead, it interrogates how language is strategically mobilised by non-progressive movements to reframe ideological boundaries. This is positioned as a critical issue for public relations, which</w:t>
      </w:r>
      <w:r>
        <w:t xml:space="preserve"> critical scholars have noted is not</w:t>
      </w:r>
      <w:r w:rsidRPr="00792B22">
        <w:t xml:space="preserve"> a neutral practice but</w:t>
      </w:r>
      <w:r w:rsidRPr="0061182F">
        <w:t xml:space="preserve"> a contested space where power, </w:t>
      </w:r>
      <w:r w:rsidRPr="0061182F">
        <w:lastRenderedPageBreak/>
        <w:t>ideology, and legitimacy are continuously negotiated</w:t>
      </w:r>
      <w:r>
        <w:t xml:space="preserve"> </w:t>
      </w:r>
      <w:r w:rsidRPr="00792B22">
        <w:t>(Curtin &amp; Gaither, 2007; Edwards, 2011; Motion, 2005). As such, public relations</w:t>
      </w:r>
      <w:r w:rsidR="00636187">
        <w:t>—</w:t>
      </w:r>
      <w:r>
        <w:t>like society</w:t>
      </w:r>
      <w:r w:rsidR="00636187">
        <w:t>—</w:t>
      </w:r>
      <w:r>
        <w:t xml:space="preserve">is </w:t>
      </w:r>
      <w:r w:rsidRPr="00792B22">
        <w:t>shaped by</w:t>
      </w:r>
      <w:r>
        <w:t xml:space="preserve"> ongoing</w:t>
      </w:r>
      <w:r w:rsidRPr="00792B22">
        <w:t xml:space="preserve"> struggles over meaning, reputation, and symbolic authority.</w:t>
      </w:r>
      <w:r w:rsidR="00FA5C12">
        <w:t xml:space="preserve"> </w:t>
      </w:r>
      <w:r w:rsidRPr="00792B22">
        <w:t xml:space="preserve">Drawing on social constructivism and framing theory, the paper introduces </w:t>
      </w:r>
      <w:r w:rsidRPr="00792B22">
        <w:rPr>
          <w:i/>
          <w:iCs/>
        </w:rPr>
        <w:t>discursive brandjacking</w:t>
      </w:r>
      <w:r w:rsidRPr="00792B22">
        <w:t xml:space="preserve"> as a strategic communication tactic</w:t>
      </w:r>
      <w:r>
        <w:t xml:space="preserve">; </w:t>
      </w:r>
      <w:r w:rsidRPr="00792B22">
        <w:t xml:space="preserve">one that exposes the vulnerability of progressive movements to rhetorical appropriation. Language conveys meaning (Foster &amp; </w:t>
      </w:r>
      <w:proofErr w:type="spellStart"/>
      <w:r w:rsidRPr="00792B22">
        <w:t>Rathlin</w:t>
      </w:r>
      <w:proofErr w:type="spellEnd"/>
      <w:r w:rsidRPr="00792B22">
        <w:t>, 2022), and analysing how movements communicate, particularly through emotionally resonant slogans, can illuminate their ideological orientation beyond surface-level labels.</w:t>
      </w:r>
      <w:r>
        <w:t xml:space="preserve"> </w:t>
      </w:r>
      <w:r w:rsidRPr="00792B22">
        <w:t xml:space="preserve">This phenomenon challenges dominant assumptions in public relations scholarship that equate activism with inherently prosocial or progressive aims (Grunig, 1989; Munshi &amp; Kurian, 2019; Ciszek, 2017). Instead, it demonstrates how </w:t>
      </w:r>
      <w:r>
        <w:t xml:space="preserve">traditional </w:t>
      </w:r>
      <w:r w:rsidRPr="00792B22">
        <w:t xml:space="preserve">public relations </w:t>
      </w:r>
      <w:r>
        <w:t>tools</w:t>
      </w:r>
      <w:r w:rsidR="000D3688">
        <w:t>—</w:t>
      </w:r>
      <w:r w:rsidRPr="00792B22">
        <w:t>such as framing, slogan adoption, and narrative alignment</w:t>
      </w:r>
      <w:r w:rsidR="000D3688">
        <w:t>—</w:t>
      </w:r>
      <w:r w:rsidRPr="00792B22">
        <w:t>can be deployed to erode or reframe the object</w:t>
      </w:r>
      <w:r>
        <w:t>ives</w:t>
      </w:r>
      <w:r w:rsidRPr="00792B22">
        <w:t xml:space="preserve"> of rights-based advocacy. The case study of the antivax movement’s appropriation of “my body, my choice” illustrates how language designed to empower can be repurposed to advance anti-collectivist or populist agendas, raising questions about how protest movements are conceptualised within public relations theory and practice.</w:t>
      </w:r>
    </w:p>
    <w:p w14:paraId="53572E4E" w14:textId="79E0A7C7" w:rsidR="000C7700" w:rsidRPr="006636EE" w:rsidRDefault="000C7700" w:rsidP="00A54D55">
      <w:pPr>
        <w:pStyle w:val="Heading1"/>
      </w:pPr>
      <w:r w:rsidRPr="006636EE">
        <w:t>Brandjacking</w:t>
      </w:r>
      <w:r w:rsidR="00380B45" w:rsidRPr="006636EE">
        <w:t>: An Overview</w:t>
      </w:r>
      <w:r w:rsidR="00E90A0E" w:rsidRPr="006636EE">
        <w:t xml:space="preserve"> </w:t>
      </w:r>
    </w:p>
    <w:p w14:paraId="52983AC8" w14:textId="468A6783" w:rsidR="000C7700" w:rsidRPr="006636EE" w:rsidRDefault="00006094" w:rsidP="00A54D55">
      <w:r w:rsidRPr="006636EE">
        <w:t xml:space="preserve">Brandjacking refers to the </w:t>
      </w:r>
      <w:r w:rsidR="00D67735" w:rsidRPr="006636EE">
        <w:t xml:space="preserve">unauthorized </w:t>
      </w:r>
      <w:r w:rsidRPr="006636EE">
        <w:t xml:space="preserve">appropriation of a brand’s identity—its name, logo, messaging, </w:t>
      </w:r>
      <w:r w:rsidR="00EB4B55">
        <w:t>products</w:t>
      </w:r>
      <w:r w:rsidR="00466323">
        <w:t>,</w:t>
      </w:r>
      <w:r w:rsidR="00EB4B55">
        <w:t xml:space="preserve"> and </w:t>
      </w:r>
      <w:r w:rsidRPr="006636EE">
        <w:t>symbolic capital—typically by external actors for strategic gain</w:t>
      </w:r>
      <w:r w:rsidR="004A69E2">
        <w:t xml:space="preserve">, </w:t>
      </w:r>
      <w:r w:rsidR="006F7A3E">
        <w:t>often</w:t>
      </w:r>
      <w:r w:rsidR="004A69E2">
        <w:t xml:space="preserve"> contrary to the brand’s values</w:t>
      </w:r>
      <w:r w:rsidRPr="006636EE">
        <w:t xml:space="preserve"> (</w:t>
      </w:r>
      <w:r w:rsidR="00EB4B55">
        <w:t xml:space="preserve">Munk, </w:t>
      </w:r>
      <w:r w:rsidR="00E27202">
        <w:t xml:space="preserve">2024; </w:t>
      </w:r>
      <w:r w:rsidRPr="006636EE">
        <w:t xml:space="preserve">Thota, 2020). Originally rooted in commercial contexts, brandjacking often seeks to exploit the established visibility, credibility, and emotional resonance of a brand to manipulate public perception or co-opt its authority. This can result in reputational harm to the original brand, while offering the </w:t>
      </w:r>
      <w:r w:rsidRPr="006636EE">
        <w:lastRenderedPageBreak/>
        <w:t>hijacker a low-cost avenue to borrow legitimacy and reach. In this context, brandjacking enables individuals or groups to leverage social capital—defined as the “actual or potential resources linked to possession of a durable network of…mutual recognition</w:t>
      </w:r>
      <w:r w:rsidR="000C7700" w:rsidRPr="006636EE">
        <w:t>…which provides each of its members with the backing of the collectively-owned capital” (Bourdieu 1997, p. 51). Social capital thus represents the sum of the resources, tangible or virtual, that an individual agent or activist group can effectively mobilise (Bourdieu &amp; Wacquant, 1992).</w:t>
      </w:r>
    </w:p>
    <w:p w14:paraId="64660C27" w14:textId="3594835F" w:rsidR="00076345" w:rsidRPr="006636EE" w:rsidRDefault="00076345" w:rsidP="00A54D55">
      <w:r w:rsidRPr="006636EE">
        <w:t xml:space="preserve">Traditionally, brandjacking has been examined through the lens of consumer marketing and digital activism (Langley, 2016; </w:t>
      </w:r>
      <w:proofErr w:type="spellStart"/>
      <w:r w:rsidRPr="006636EE">
        <w:t>Wipperfürth</w:t>
      </w:r>
      <w:proofErr w:type="spellEnd"/>
      <w:r w:rsidRPr="006636EE">
        <w:t>, 2006)</w:t>
      </w:r>
      <w:r w:rsidR="00494F35" w:rsidRPr="006636EE">
        <w:t xml:space="preserve"> but </w:t>
      </w:r>
      <w:r w:rsidR="00216A8B" w:rsidRPr="006636EE">
        <w:t>it has been less commonly used to explore social movements</w:t>
      </w:r>
      <w:r w:rsidRPr="006636EE">
        <w:t>. Thota (2020) frame</w:t>
      </w:r>
      <w:r w:rsidR="00216A8B" w:rsidRPr="006636EE">
        <w:t>d</w:t>
      </w:r>
      <w:r w:rsidRPr="006636EE">
        <w:t xml:space="preserve"> it as a form of anti-commercial parody that introduces dimensions of truth, mockery, and offensiveness, typically deployed by competitors or activist groups to challenge dominant narratives. However, this conceptualisation remains embedded in advertising logic. Extending the scope, </w:t>
      </w:r>
      <w:r w:rsidR="000635D2" w:rsidRPr="006636EE">
        <w:t xml:space="preserve">it is </w:t>
      </w:r>
      <w:r w:rsidRPr="006636EE">
        <w:t>argue</w:t>
      </w:r>
      <w:r w:rsidR="000635D2" w:rsidRPr="006636EE">
        <w:t>d</w:t>
      </w:r>
      <w:r w:rsidRPr="006636EE">
        <w:t xml:space="preserve"> </w:t>
      </w:r>
      <w:r w:rsidR="003A05DD" w:rsidRPr="006636EE">
        <w:t xml:space="preserve">here </w:t>
      </w:r>
      <w:r w:rsidRPr="006636EE">
        <w:t>that brandjacking is equally relevant in the realm of social and political movements</w:t>
      </w:r>
      <w:r w:rsidR="00A74D7F">
        <w:t xml:space="preserve">, </w:t>
      </w:r>
      <w:r w:rsidRPr="006636EE">
        <w:t xml:space="preserve">particularly when groups with opposing values co-opt the identity and language of progressive causes for ideological </w:t>
      </w:r>
      <w:r w:rsidR="006815C1" w:rsidRPr="006636EE">
        <w:t>rivalry</w:t>
      </w:r>
      <w:r w:rsidRPr="006636EE">
        <w:t>.</w:t>
      </w:r>
    </w:p>
    <w:p w14:paraId="28774EE9" w14:textId="7CF84D82" w:rsidR="003426EC" w:rsidRPr="006636EE" w:rsidRDefault="00525BBB" w:rsidP="00A54D55">
      <w:r w:rsidRPr="006636EE">
        <w:t xml:space="preserve">Corporations are no strangers to brandjacking, with non-profit and activist </w:t>
      </w:r>
      <w:r w:rsidR="008E764A" w:rsidRPr="006636EE">
        <w:t xml:space="preserve">organisations </w:t>
      </w:r>
      <w:r w:rsidR="00A573F2" w:rsidRPr="006636EE">
        <w:t>frequently</w:t>
      </w:r>
      <w:r w:rsidR="008E764A" w:rsidRPr="006636EE">
        <w:t xml:space="preserve"> </w:t>
      </w:r>
      <w:r w:rsidR="00FC7E31" w:rsidRPr="006636EE">
        <w:t xml:space="preserve">engaging in brand appropriation </w:t>
      </w:r>
      <w:r w:rsidR="007251C8" w:rsidRPr="006636EE">
        <w:t xml:space="preserve">to </w:t>
      </w:r>
      <w:r w:rsidR="00724B9B" w:rsidRPr="006636EE">
        <w:t xml:space="preserve">counter corporate </w:t>
      </w:r>
      <w:r w:rsidR="000564EB" w:rsidRPr="006636EE">
        <w:t>narratives or amplify prosocial messages.</w:t>
      </w:r>
      <w:r w:rsidR="008E764A" w:rsidRPr="006636EE">
        <w:t xml:space="preserve"> </w:t>
      </w:r>
      <w:r w:rsidR="007251C8" w:rsidRPr="006636EE">
        <w:t xml:space="preserve">For instance, Greenpeace’s spoof campaigns against Shell (2012) and Nestlé (2010) co-opted brand imagery to raise awareness about climate change and unsustainable palm oil use (The Guardian, 2017; Kilvert, 2018). </w:t>
      </w:r>
      <w:r w:rsidR="00C6597C" w:rsidRPr="006636EE">
        <w:t>In the</w:t>
      </w:r>
      <w:r w:rsidR="000564EB" w:rsidRPr="006636EE">
        <w:t>ir</w:t>
      </w:r>
      <w:r w:rsidR="00C6597C" w:rsidRPr="006636EE">
        <w:t xml:space="preserve"> parody </w:t>
      </w:r>
      <w:r w:rsidR="0050174F" w:rsidRPr="006636EE">
        <w:t xml:space="preserve">website </w:t>
      </w:r>
      <w:r w:rsidR="00C6597C" w:rsidRPr="006636EE">
        <w:t>“Arctic Ready</w:t>
      </w:r>
      <w:r w:rsidR="006C1343">
        <w:t>,”</w:t>
      </w:r>
      <w:r w:rsidR="0050174F" w:rsidRPr="006636EE">
        <w:t xml:space="preserve"> </w:t>
      </w:r>
      <w:r w:rsidR="000564EB" w:rsidRPr="006636EE">
        <w:t>the organisation</w:t>
      </w:r>
      <w:r w:rsidR="0050174F" w:rsidRPr="006636EE">
        <w:t xml:space="preserve"> </w:t>
      </w:r>
      <w:r w:rsidR="00BB21AC" w:rsidRPr="006636EE">
        <w:t xml:space="preserve">discussed “their” </w:t>
      </w:r>
      <w:r w:rsidR="000564EB" w:rsidRPr="006636EE">
        <w:t>planned drilling</w:t>
      </w:r>
      <w:r w:rsidR="00D13417" w:rsidRPr="006636EE">
        <w:t xml:space="preserve"> in the Arctic</w:t>
      </w:r>
      <w:r w:rsidR="00BF1D06" w:rsidRPr="006636EE">
        <w:t xml:space="preserve"> (Hill, 2012)</w:t>
      </w:r>
      <w:r w:rsidR="003D5B6D" w:rsidRPr="006636EE">
        <w:t xml:space="preserve">, using a similar tactic in </w:t>
      </w:r>
      <w:r w:rsidR="00F274A2" w:rsidRPr="006636EE">
        <w:t xml:space="preserve">2019, </w:t>
      </w:r>
      <w:r w:rsidR="003D5B6D" w:rsidRPr="006636EE">
        <w:t xml:space="preserve">when they </w:t>
      </w:r>
      <w:r w:rsidR="00412E14" w:rsidRPr="006636EE">
        <w:t xml:space="preserve">created </w:t>
      </w:r>
      <w:r w:rsidR="005E1335" w:rsidRPr="006636EE">
        <w:t>a</w:t>
      </w:r>
      <w:r w:rsidR="00943392" w:rsidRPr="006636EE">
        <w:t xml:space="preserve"> series of </w:t>
      </w:r>
      <w:r w:rsidR="00412E14" w:rsidRPr="006636EE">
        <w:t xml:space="preserve">parody </w:t>
      </w:r>
      <w:r w:rsidR="00943392" w:rsidRPr="006636EE">
        <w:t>ad</w:t>
      </w:r>
      <w:r w:rsidR="00412E14" w:rsidRPr="006636EE">
        <w:t>vertisements</w:t>
      </w:r>
      <w:r w:rsidR="0062784C" w:rsidRPr="006636EE">
        <w:t xml:space="preserve"> accompanied by </w:t>
      </w:r>
      <w:r w:rsidR="000C13FE" w:rsidRPr="006636EE">
        <w:t xml:space="preserve">taglines </w:t>
      </w:r>
      <w:r w:rsidR="00943392" w:rsidRPr="006636EE">
        <w:t xml:space="preserve">such as </w:t>
      </w:r>
      <w:r w:rsidR="00933274" w:rsidRPr="006636EE">
        <w:t xml:space="preserve">“Because your gas should come from someplace beautiful” </w:t>
      </w:r>
      <w:r w:rsidR="00933274" w:rsidRPr="006636EE">
        <w:lastRenderedPageBreak/>
        <w:t>(</w:t>
      </w:r>
      <w:r w:rsidR="005E1335" w:rsidRPr="006636EE">
        <w:t xml:space="preserve">Murray, 2019). </w:t>
      </w:r>
      <w:r w:rsidR="00AC6943" w:rsidRPr="006636EE">
        <w:t>While p</w:t>
      </w:r>
      <w:r w:rsidR="000C13FE" w:rsidRPr="006636EE">
        <w:t>arodies such as these</w:t>
      </w:r>
      <w:r w:rsidR="007A4598" w:rsidRPr="006636EE">
        <w:t xml:space="preserve"> affect attitudes towards brands negatively (</w:t>
      </w:r>
      <w:r w:rsidR="00F32A6B" w:rsidRPr="006636EE">
        <w:t>Jean</w:t>
      </w:r>
      <w:r w:rsidR="007A4598" w:rsidRPr="006636EE">
        <w:t xml:space="preserve">, </w:t>
      </w:r>
      <w:r w:rsidR="00F32A6B" w:rsidRPr="006636EE">
        <w:t>2011)</w:t>
      </w:r>
      <w:r w:rsidR="00AC6943" w:rsidRPr="006636EE">
        <w:t xml:space="preserve">, they also </w:t>
      </w:r>
      <w:r w:rsidR="007251C8" w:rsidRPr="006636EE">
        <w:t xml:space="preserve">demonstrate how brand capital can be </w:t>
      </w:r>
      <w:r w:rsidR="002028CF" w:rsidRPr="006636EE">
        <w:t>multipurposed</w:t>
      </w:r>
      <w:r w:rsidR="007251C8" w:rsidRPr="006636EE">
        <w:t xml:space="preserve"> for advocacy. </w:t>
      </w:r>
    </w:p>
    <w:p w14:paraId="68B91ED9" w14:textId="0EDC4433" w:rsidR="00167FDA" w:rsidRPr="006636EE" w:rsidRDefault="003426EC" w:rsidP="00A54D55">
      <w:r w:rsidRPr="006636EE">
        <w:t xml:space="preserve">Arguably, such tactics are </w:t>
      </w:r>
      <w:r w:rsidR="007251C8" w:rsidRPr="006636EE">
        <w:t xml:space="preserve">no longer limited to progressive </w:t>
      </w:r>
      <w:r w:rsidR="000F291F" w:rsidRPr="006636EE">
        <w:t>entities</w:t>
      </w:r>
      <w:r w:rsidR="007251C8" w:rsidRPr="006636EE">
        <w:t>. Increasingly, prosocial movements themselves have become targets of brandjacking by antisocial or non-progressive groups. Prosocial movements</w:t>
      </w:r>
      <w:r w:rsidR="008D7B1F">
        <w:t>—</w:t>
      </w:r>
      <w:r w:rsidR="007251C8" w:rsidRPr="006636EE">
        <w:t>driven by values such as empathy, social justice, and cooperation</w:t>
      </w:r>
      <w:r w:rsidR="008D7B1F">
        <w:t>—</w:t>
      </w:r>
      <w:r w:rsidR="007251C8" w:rsidRPr="006636EE">
        <w:t>are increasingly confronted by movements that promote division, reject inclusivity, and disrupt social cohesion.</w:t>
      </w:r>
      <w:r w:rsidR="00D83E26" w:rsidRPr="006636EE">
        <w:t xml:space="preserve"> </w:t>
      </w:r>
      <w:r w:rsidR="00687D72" w:rsidRPr="006636EE">
        <w:t>This trend is particularly evident in the current climate of “crisis of grievance” (Edelman Trust Barometer, 2025).</w:t>
      </w:r>
    </w:p>
    <w:p w14:paraId="74F116DD" w14:textId="29DC0A20" w:rsidR="00C5051C" w:rsidRPr="006636EE" w:rsidRDefault="00C5051C" w:rsidP="00A54D55">
      <w:r w:rsidRPr="006636EE">
        <w:t>Recent scholarship (</w:t>
      </w:r>
      <w:r w:rsidR="00803177" w:rsidRPr="006636EE">
        <w:t xml:space="preserve">Benton &amp; Peterka-Benton, 2020; </w:t>
      </w:r>
      <w:proofErr w:type="spellStart"/>
      <w:r w:rsidRPr="006636EE">
        <w:t>Knüpfer</w:t>
      </w:r>
      <w:proofErr w:type="spellEnd"/>
      <w:r w:rsidRPr="006636EE">
        <w:t xml:space="preserve"> et al., 2022) has drawn attention to the hijacking of progressive campaigns</w:t>
      </w:r>
      <w:r w:rsidR="00EB3787">
        <w:t xml:space="preserve">, </w:t>
      </w:r>
      <w:r w:rsidRPr="006636EE">
        <w:t>such as #MeToo, #BlackLivesMatter, and climate activism</w:t>
      </w:r>
      <w:r w:rsidR="00EB3787">
        <w:t xml:space="preserve">, </w:t>
      </w:r>
      <w:r w:rsidRPr="006636EE">
        <w:t>by what Benton and Peterka-Benton (2020) describe</w:t>
      </w:r>
      <w:r w:rsidR="005D0E54" w:rsidRPr="006636EE">
        <w:t>d</w:t>
      </w:r>
      <w:r w:rsidRPr="006636EE">
        <w:t xml:space="preserve"> as “hate groups</w:t>
      </w:r>
      <w:r w:rsidR="006C1343">
        <w:t>.”</w:t>
      </w:r>
      <w:r w:rsidRPr="006636EE">
        <w:t xml:space="preserve"> These actors co-opt the visibility and moral </w:t>
      </w:r>
      <w:r w:rsidR="005D0E54" w:rsidRPr="006636EE">
        <w:t>influence</w:t>
      </w:r>
      <w:r w:rsidRPr="006636EE">
        <w:t xml:space="preserve"> of progressive messaging to further their own causes, often at odds with the original agenda</w:t>
      </w:r>
      <w:r w:rsidR="00236EFF">
        <w:t xml:space="preserve"> or values (Munk, 2024)</w:t>
      </w:r>
      <w:r w:rsidRPr="006636EE">
        <w:t>. While such appropriation may generate publicity, it also risks eroding the symbolic and political capital of the original movement. The implications for social movements are arguably more profound than for commercial brands, as such hijacking undermines hard-won</w:t>
      </w:r>
      <w:r w:rsidR="00FC206A" w:rsidRPr="006636EE">
        <w:t>, often decades long,</w:t>
      </w:r>
      <w:r w:rsidRPr="006636EE">
        <w:t xml:space="preserve"> progress on human right</w:t>
      </w:r>
      <w:r w:rsidR="007B0961" w:rsidRPr="006636EE">
        <w:t>s, equality and social justice</w:t>
      </w:r>
      <w:r w:rsidRPr="006636EE">
        <w:t>.</w:t>
      </w:r>
      <w:r w:rsidR="00DC71DC" w:rsidRPr="006636EE">
        <w:t xml:space="preserve"> </w:t>
      </w:r>
      <w:r w:rsidR="001E1016">
        <w:t>Corporations, f</w:t>
      </w:r>
      <w:r w:rsidR="00A65312" w:rsidRPr="006636EE">
        <w:t>or example</w:t>
      </w:r>
      <w:r w:rsidR="00D47648" w:rsidRPr="006636EE">
        <w:t>,</w:t>
      </w:r>
      <w:r w:rsidR="00A65312" w:rsidRPr="006636EE">
        <w:t xml:space="preserve"> </w:t>
      </w:r>
      <w:r w:rsidR="000D2301" w:rsidRPr="006636EE">
        <w:t>can</w:t>
      </w:r>
      <w:r w:rsidR="00DC71DC" w:rsidRPr="006636EE">
        <w:t xml:space="preserve"> seek restitution in courts</w:t>
      </w:r>
      <w:r w:rsidR="00A65312" w:rsidRPr="006636EE">
        <w:t xml:space="preserve"> for the hijacking of their brand</w:t>
      </w:r>
      <w:r w:rsidR="00906D6C">
        <w:t>,</w:t>
      </w:r>
      <w:r w:rsidR="001E1016">
        <w:t xml:space="preserve"> but </w:t>
      </w:r>
      <w:r w:rsidR="00DC71DC" w:rsidRPr="006636EE">
        <w:t xml:space="preserve">social movements </w:t>
      </w:r>
      <w:r w:rsidR="000D2301" w:rsidRPr="006636EE">
        <w:t>do not</w:t>
      </w:r>
      <w:r w:rsidR="00A65312" w:rsidRPr="006636EE">
        <w:t xml:space="preserve"> have </w:t>
      </w:r>
      <w:r w:rsidR="000D2301" w:rsidRPr="006636EE">
        <w:t>similar avenues</w:t>
      </w:r>
      <w:r w:rsidR="001E1016">
        <w:t xml:space="preserve"> for redress, and thus the </w:t>
      </w:r>
      <w:r w:rsidR="009A36B0" w:rsidRPr="006636EE">
        <w:t xml:space="preserve">brandjacking of social movements’ imagery and slogans </w:t>
      </w:r>
      <w:r w:rsidR="00144BA5" w:rsidRPr="006636EE">
        <w:t>have far-reaching effects.</w:t>
      </w:r>
    </w:p>
    <w:p w14:paraId="4DB203A1" w14:textId="1C4F12FE" w:rsidR="001E5881" w:rsidRPr="006636EE" w:rsidRDefault="00547147" w:rsidP="00A54D55">
      <w:r w:rsidRPr="006636EE">
        <w:t>Benton and Peterka-Benton’s (2020) concept of “</w:t>
      </w:r>
      <w:proofErr w:type="spellStart"/>
      <w:r w:rsidRPr="006636EE">
        <w:t>hatejacking</w:t>
      </w:r>
      <w:proofErr w:type="spellEnd"/>
      <w:r w:rsidRPr="006636EE">
        <w:t xml:space="preserve">” offers a useful entry point </w:t>
      </w:r>
      <w:r w:rsidR="0099751E" w:rsidRPr="006636EE">
        <w:t xml:space="preserve">for understanding the effects on social movements, </w:t>
      </w:r>
      <w:r w:rsidRPr="006636EE">
        <w:t xml:space="preserve">but </w:t>
      </w:r>
      <w:r w:rsidR="003B5D08" w:rsidRPr="006636EE">
        <w:t xml:space="preserve">it </w:t>
      </w:r>
      <w:r w:rsidRPr="006636EE">
        <w:t xml:space="preserve">remains limited to overt extremism and hate speech. In contrast, </w:t>
      </w:r>
      <w:proofErr w:type="spellStart"/>
      <w:r w:rsidRPr="006636EE">
        <w:t>Knüpfer</w:t>
      </w:r>
      <w:proofErr w:type="spellEnd"/>
      <w:r w:rsidRPr="006636EE">
        <w:t xml:space="preserve"> et al. (2022) introduce</w:t>
      </w:r>
      <w:r w:rsidR="00710592" w:rsidRPr="006636EE">
        <w:t>d</w:t>
      </w:r>
      <w:r w:rsidRPr="006636EE">
        <w:t xml:space="preserve"> the term “discursive </w:t>
      </w:r>
      <w:r w:rsidRPr="006636EE">
        <w:lastRenderedPageBreak/>
        <w:t>brandjacking” to capture more subtle forms of ideological appropriation. Their study of the #MeToo movement’s co-option by the Austrian Identitarian Movement (AIM) via the “120 decibels” campaign illustrate</w:t>
      </w:r>
      <w:r w:rsidR="003B5D08" w:rsidRPr="006636EE">
        <w:t>d</w:t>
      </w:r>
      <w:r w:rsidRPr="006636EE">
        <w:t xml:space="preserve"> how right-wing actors strategically aligned their rhetoric with feminist concerns—ostensibly to raise awareness about sexual violence, but ultimately to promote anti-immigration narratives.</w:t>
      </w:r>
      <w:r w:rsidR="0029754B" w:rsidRPr="006636EE">
        <w:t xml:space="preserve"> </w:t>
      </w:r>
      <w:proofErr w:type="spellStart"/>
      <w:r w:rsidR="0029754B" w:rsidRPr="006636EE">
        <w:t>Knüpfer</w:t>
      </w:r>
      <w:proofErr w:type="spellEnd"/>
      <w:r w:rsidR="0029754B" w:rsidRPr="006636EE">
        <w:t xml:space="preserve"> et al. concluded that rather than solely </w:t>
      </w:r>
      <w:r w:rsidR="00C46468">
        <w:t>“</w:t>
      </w:r>
      <w:r w:rsidR="0029754B" w:rsidRPr="006636EE">
        <w:t>agenda surfing</w:t>
      </w:r>
      <w:r w:rsidR="006C1343">
        <w:t>,”</w:t>
      </w:r>
      <w:r w:rsidR="00A3371B">
        <w:t xml:space="preserve"> that is, the </w:t>
      </w:r>
      <w:r w:rsidR="0029754B" w:rsidRPr="006636EE">
        <w:t xml:space="preserve">(opportunistic) attachment of preferred topics to </w:t>
      </w:r>
      <w:r w:rsidR="00A3371B">
        <w:t>wider</w:t>
      </w:r>
      <w:r w:rsidR="00A3371B" w:rsidRPr="006636EE">
        <w:t xml:space="preserve"> </w:t>
      </w:r>
      <w:r w:rsidR="0029754B" w:rsidRPr="006636EE">
        <w:t xml:space="preserve">social debates and/or previously established agendas, AIM embarked on a </w:t>
      </w:r>
      <w:r w:rsidR="005D4A9D" w:rsidRPr="006636EE">
        <w:t>calculated</w:t>
      </w:r>
      <w:r w:rsidR="0029754B" w:rsidRPr="006636EE">
        <w:t xml:space="preserve">, carefully planned and </w:t>
      </w:r>
      <w:r w:rsidR="000D6FF1" w:rsidRPr="006636EE">
        <w:t>executed strategic</w:t>
      </w:r>
      <w:r w:rsidR="0029754B" w:rsidRPr="006636EE">
        <w:t xml:space="preserve"> campaign to not only subsume preferred elements and issues of an existing social action and justice movement, but to purposely disrupt and un</w:t>
      </w:r>
      <w:r w:rsidR="000132BF" w:rsidRPr="006636EE">
        <w:t>dermine progressive rights.</w:t>
      </w:r>
      <w:r w:rsidR="001E5881" w:rsidRPr="006636EE">
        <w:t xml:space="preserve"> </w:t>
      </w:r>
    </w:p>
    <w:p w14:paraId="40C228D0" w14:textId="3BEA1592" w:rsidR="00173FCB" w:rsidRPr="006636EE" w:rsidRDefault="006B2422" w:rsidP="00A54D55">
      <w:proofErr w:type="spellStart"/>
      <w:r w:rsidRPr="006636EE">
        <w:t>Knüpfer</w:t>
      </w:r>
      <w:proofErr w:type="spellEnd"/>
      <w:r w:rsidRPr="006636EE">
        <w:t xml:space="preserve"> et al.’s (2022) work </w:t>
      </w:r>
      <w:r w:rsidR="002F6C57" w:rsidRPr="006636EE">
        <w:t xml:space="preserve">highlights the </w:t>
      </w:r>
      <w:r w:rsidRPr="006636EE">
        <w:t>intersection between populism and strategic communication</w:t>
      </w:r>
      <w:r w:rsidR="008567EC">
        <w:t xml:space="preserve">. </w:t>
      </w:r>
      <w:r w:rsidR="00022DE5">
        <w:t>To date, this</w:t>
      </w:r>
      <w:r w:rsidR="004E3C7D" w:rsidRPr="006636EE">
        <w:t xml:space="preserve"> intersection </w:t>
      </w:r>
      <w:r w:rsidR="00022DE5">
        <w:t>between</w:t>
      </w:r>
      <w:r w:rsidR="00022DE5" w:rsidRPr="006636EE">
        <w:t xml:space="preserve"> </w:t>
      </w:r>
      <w:r w:rsidR="004E3C7D" w:rsidRPr="006636EE">
        <w:t>populist rhetoric and strategic communication</w:t>
      </w:r>
      <w:r w:rsidR="008567EC">
        <w:t xml:space="preserve"> that has been largely overlooked in public relations theory</w:t>
      </w:r>
      <w:r w:rsidR="004E3C7D" w:rsidRPr="006636EE">
        <w:t xml:space="preserve">. Rather than indiscriminately </w:t>
      </w:r>
      <w:r w:rsidR="00571FD3" w:rsidRPr="006636EE">
        <w:t>appropriating</w:t>
      </w:r>
      <w:r w:rsidR="004E3C7D" w:rsidRPr="006636EE">
        <w:t xml:space="preserve"> slogans, populist actors selectively adopt language with pre-existing moral or ideological resonance, repackaging it to serve reactionary goals. This echoes Kohler and </w:t>
      </w:r>
      <w:proofErr w:type="spellStart"/>
      <w:r w:rsidR="004E3C7D" w:rsidRPr="006636EE">
        <w:t>Koinig’s</w:t>
      </w:r>
      <w:proofErr w:type="spellEnd"/>
      <w:r w:rsidR="004E3C7D" w:rsidRPr="006636EE">
        <w:t xml:space="preserve"> (2023) findings on science-related populism, in which </w:t>
      </w:r>
      <w:r w:rsidR="00244844" w:rsidRPr="006636EE">
        <w:t xml:space="preserve">a deep </w:t>
      </w:r>
      <w:r w:rsidR="004E3C7D" w:rsidRPr="006636EE">
        <w:t xml:space="preserve">distrust of elites fuels the appropriation of progressive slogans to legitimise anti-scientific or conspiratorial views. The repurposing of familiar language—framed as the voice of “ordinary people” against expert elites—helps shield such movements from scrutiny, making their narratives appear grounded in mainstream </w:t>
      </w:r>
      <w:r w:rsidR="00875138" w:rsidRPr="006636EE">
        <w:t xml:space="preserve">cultural and political </w:t>
      </w:r>
      <w:r w:rsidR="004E3C7D" w:rsidRPr="006636EE">
        <w:t>values even when their goals diverge radically.</w:t>
      </w:r>
      <w:r w:rsidR="00B40AFD">
        <w:t xml:space="preserve"> </w:t>
      </w:r>
    </w:p>
    <w:p w14:paraId="3BE4EF51" w14:textId="3AD47254" w:rsidR="002B3C10" w:rsidRPr="006636EE" w:rsidRDefault="006B2422" w:rsidP="00A54D55">
      <w:r w:rsidRPr="006636EE">
        <w:t>Building on this understanding of strategic message selection and appropriation, Van De Velde (2022) provide</w:t>
      </w:r>
      <w:r w:rsidR="00B618AF" w:rsidRPr="006636EE">
        <w:t>d</w:t>
      </w:r>
      <w:r w:rsidRPr="006636EE">
        <w:t xml:space="preserve"> a useful framework for categorizing protest </w:t>
      </w:r>
      <w:r w:rsidR="00D147C5" w:rsidRPr="006636EE">
        <w:t xml:space="preserve">messages </w:t>
      </w:r>
      <w:r w:rsidRPr="006636EE">
        <w:t xml:space="preserve">based </w:t>
      </w:r>
      <w:r w:rsidR="00923C7F" w:rsidRPr="006636EE">
        <w:t>on their function and intended audience.</w:t>
      </w:r>
      <w:r w:rsidR="0013383C" w:rsidRPr="006636EE">
        <w:t xml:space="preserve"> She</w:t>
      </w:r>
      <w:r w:rsidR="00CD5ECA" w:rsidRPr="006636EE">
        <w:t xml:space="preserve"> argue</w:t>
      </w:r>
      <w:r w:rsidR="00B618AF" w:rsidRPr="006636EE">
        <w:t>d</w:t>
      </w:r>
      <w:r w:rsidR="00CD5ECA" w:rsidRPr="006636EE">
        <w:t xml:space="preserve"> that protest writings are directed at multiple </w:t>
      </w:r>
      <w:r w:rsidR="00CD5ECA" w:rsidRPr="006636EE">
        <w:lastRenderedPageBreak/>
        <w:t xml:space="preserve">audiences and, as a result, convey different types of messages. </w:t>
      </w:r>
      <w:r w:rsidR="0013383C" w:rsidRPr="006636EE">
        <w:t xml:space="preserve">Van de Velde (2022) </w:t>
      </w:r>
      <w:r w:rsidR="00CD5ECA" w:rsidRPr="006636EE">
        <w:t>identifie</w:t>
      </w:r>
      <w:r w:rsidR="007442B3" w:rsidRPr="006636EE">
        <w:t>d</w:t>
      </w:r>
      <w:r w:rsidR="00CD5ECA" w:rsidRPr="006636EE">
        <w:t xml:space="preserve"> three primary categories: demands, proclamations, and mobilization messages. Demands are typically aimed at authorities and are characterized by directness, clarity, and consensus. These messages often take the form of refusals or political claims, appearing on banners and signs to articulate specific grievances or calls for action. Proclamations, in contrast, address a broader audience, including bystanders and media consumers. These messages often employ wordplay, metaphors, or ideological statements to challenge dominant narratives, encourage solidarity, or position the movement’s cause within a larger social or political discourse. Finally, mobilization messages are primarily intended for internal audiences, reinforcing group cohesion and commitment. These messages tend to be emotionally charged, chantable, and affirm the movement’s purpose, fostering a sense of belonging and resilience among participants. By categorizing protest messaging in this way, Van De Velde provide</w:t>
      </w:r>
      <w:r w:rsidR="00971779" w:rsidRPr="006636EE">
        <w:t>d</w:t>
      </w:r>
      <w:r w:rsidR="00CD5ECA" w:rsidRPr="006636EE">
        <w:t xml:space="preserve"> a framework for understanding how movements communicate both externally and internally, shaping their public perception and sustaining engagement over time.</w:t>
      </w:r>
    </w:p>
    <w:p w14:paraId="32863E79" w14:textId="1D1DA058" w:rsidR="000C7700" w:rsidRPr="006636EE" w:rsidRDefault="009F2D32" w:rsidP="00A54D55">
      <w:r w:rsidRPr="006636EE">
        <w:t>Arguably</w:t>
      </w:r>
      <w:r w:rsidR="00BC6DF9" w:rsidRPr="006636EE">
        <w:t xml:space="preserve">, existing theories of brandjacking underestimate the strategic sophistication and discursive power of its application within social movements. While </w:t>
      </w:r>
      <w:proofErr w:type="spellStart"/>
      <w:r w:rsidR="00BC6DF9" w:rsidRPr="006636EE">
        <w:t>Knüpfer</w:t>
      </w:r>
      <w:proofErr w:type="spellEnd"/>
      <w:r w:rsidR="00BC6DF9" w:rsidRPr="006636EE">
        <w:t xml:space="preserve"> et al. (2022) provide</w:t>
      </w:r>
      <w:r w:rsidR="0049401E" w:rsidRPr="006636EE">
        <w:t>d</w:t>
      </w:r>
      <w:r w:rsidR="00BC6DF9" w:rsidRPr="006636EE">
        <w:t xml:space="preserve"> a valuable foundation, their focus </w:t>
      </w:r>
      <w:r w:rsidR="0049401E" w:rsidRPr="006636EE">
        <w:t xml:space="preserve">was </w:t>
      </w:r>
      <w:r w:rsidR="00BC6DF9" w:rsidRPr="006636EE">
        <w:t>primarily on digital discourse. This paper broadens the lens to include offline activist activity</w:t>
      </w:r>
      <w:r w:rsidR="00E60D0A" w:rsidRPr="006636EE">
        <w:t>, such as public protests</w:t>
      </w:r>
      <w:r w:rsidR="00BC6DF9" w:rsidRPr="006636EE">
        <w:t xml:space="preserve"> and media representation, revealing how slogans like “My body, my choice”—originally grounded in feminist and reproductive rights—have been hijacked by the antivax movement in the wake of COVID-19. </w:t>
      </w:r>
      <w:r w:rsidR="006F2B9D" w:rsidRPr="006636EE">
        <w:t xml:space="preserve">It is </w:t>
      </w:r>
      <w:r w:rsidR="00BC6DF9" w:rsidRPr="006636EE">
        <w:t>argue</w:t>
      </w:r>
      <w:r w:rsidR="006F2B9D" w:rsidRPr="006636EE">
        <w:t>d</w:t>
      </w:r>
      <w:r w:rsidR="00BC6DF9" w:rsidRPr="006636EE">
        <w:t xml:space="preserve"> that such discursive brandjacking not only reframes established narratives but actively undermines decades of advocacy for bodily autonomy and social justice. Understanding these strategies is critical for communicators and social movement </w:t>
      </w:r>
      <w:r w:rsidR="00BC6DF9" w:rsidRPr="006636EE">
        <w:lastRenderedPageBreak/>
        <w:t>leaders seeking to protect the integrity of their messages in an increasingly contested discursive landscape</w:t>
      </w:r>
      <w:r w:rsidR="00796928" w:rsidRPr="006636EE">
        <w:t>.</w:t>
      </w:r>
    </w:p>
    <w:p w14:paraId="3F6F88CE" w14:textId="05E61764" w:rsidR="00FF0DF9" w:rsidRPr="006636EE" w:rsidRDefault="00380B45" w:rsidP="00A54D55">
      <w:pPr>
        <w:pStyle w:val="Heading1"/>
        <w:rPr>
          <w:highlight w:val="cyan"/>
        </w:rPr>
      </w:pPr>
      <w:r w:rsidRPr="006636EE">
        <w:t>T</w:t>
      </w:r>
      <w:r w:rsidR="00A514F9" w:rsidRPr="006636EE">
        <w:t xml:space="preserve">he </w:t>
      </w:r>
      <w:r w:rsidRPr="006636EE">
        <w:t>C</w:t>
      </w:r>
      <w:r w:rsidR="00A514F9" w:rsidRPr="006636EE">
        <w:t xml:space="preserve">ase: </w:t>
      </w:r>
      <w:r w:rsidRPr="006636EE">
        <w:t>“</w:t>
      </w:r>
      <w:r w:rsidR="00A514F9" w:rsidRPr="006636EE">
        <w:t xml:space="preserve">My Body, </w:t>
      </w:r>
      <w:r w:rsidRPr="006636EE">
        <w:t>M</w:t>
      </w:r>
      <w:r w:rsidR="00A514F9" w:rsidRPr="006636EE">
        <w:t xml:space="preserve">y </w:t>
      </w:r>
      <w:r w:rsidRPr="006636EE">
        <w:t>C</w:t>
      </w:r>
      <w:r w:rsidR="00A514F9" w:rsidRPr="006636EE">
        <w:t>hoice</w:t>
      </w:r>
      <w:r w:rsidRPr="006636EE">
        <w:t>”</w:t>
      </w:r>
    </w:p>
    <w:p w14:paraId="55EF60CE" w14:textId="77777777" w:rsidR="006C0F79" w:rsidRPr="006636EE" w:rsidRDefault="006C0F79" w:rsidP="00A54D55">
      <w:r w:rsidRPr="006636EE">
        <w:t xml:space="preserve">A central driver of the reproductive rights movement has been the unequal distribution of power, opportunity, and bodily autonomy, prompting individuals to reclaim their human right to control their fertility and reproductive choices (Amnesty International, </w:t>
      </w:r>
      <w:proofErr w:type="spellStart"/>
      <w:r w:rsidRPr="006636EE">
        <w:t>n.d.b</w:t>
      </w:r>
      <w:proofErr w:type="spellEnd"/>
      <w:r w:rsidRPr="006636EE">
        <w:t>). Since at least the 1960s, the slogan “my body, my choice” has featured prominently in the movement’s messaging in the United States and globally (Lanphier, 2021). At its core, the slogan asserts that bodily ownership confers decision-making power over one’s physical self—particularly in relation to reproductive health. Its clarity and emotional resonance have contributed to its high recognisability and adoption beyond its original context.</w:t>
      </w:r>
    </w:p>
    <w:p w14:paraId="5FA0FDB6" w14:textId="14D2E88F" w:rsidR="002208FE" w:rsidRPr="006636EE" w:rsidRDefault="001D2690" w:rsidP="00A54D55">
      <w:r w:rsidRPr="006636EE">
        <w:t xml:space="preserve"> </w:t>
      </w:r>
      <w:r w:rsidR="001C5B7D" w:rsidRPr="006636EE">
        <w:t>Philosophically, the slogan is rooted in the concepts of sovereignty and self-ownership (Woolard, 2022), which go back to Enlightenment-era liberalism and early capitalism—particularly the idea that individuals hold property rights over their own bodies. This view positions each person as an autonomous, self-governing agent, entitled to exercise control over their physical self so long as it does not cause harm to others (Quigley, 2018).</w:t>
      </w:r>
    </w:p>
    <w:p w14:paraId="39698ADD" w14:textId="17CD749F" w:rsidR="009F17C3" w:rsidRPr="006636EE" w:rsidRDefault="009F17C3" w:rsidP="00A54D55">
      <w:r w:rsidRPr="006636EE">
        <w:t xml:space="preserve">Today, “my body, my choice” functions as a shorthand for bodily autonomy, particularly in the context of abortion rights. It symbolises resistance to external interference—especially state or institutional control—over personal reproductive decisions. The 2023 overturning of </w:t>
      </w:r>
      <w:r w:rsidRPr="006636EE">
        <w:rPr>
          <w:i/>
          <w:iCs/>
        </w:rPr>
        <w:t>Roe v. Wade</w:t>
      </w:r>
      <w:r w:rsidRPr="006636EE">
        <w:t xml:space="preserve"> by the U.S. Supreme Court</w:t>
      </w:r>
      <w:r w:rsidR="00B02B82" w:rsidRPr="006636EE">
        <w:t xml:space="preserve"> has</w:t>
      </w:r>
      <w:r w:rsidRPr="006636EE">
        <w:t xml:space="preserve"> reignited public discourse around the slogan’s original meaning and the decades of activism it represents. The 1973</w:t>
      </w:r>
      <w:r w:rsidR="003662BC" w:rsidRPr="006636EE">
        <w:t xml:space="preserve"> landmark</w:t>
      </w:r>
      <w:r w:rsidRPr="006636EE">
        <w:t xml:space="preserve"> ruling had enshrined the constitutional right to abortion, marking a critical </w:t>
      </w:r>
      <w:r w:rsidRPr="006636EE">
        <w:lastRenderedPageBreak/>
        <w:t xml:space="preserve">victory for the women’s rights movement. </w:t>
      </w:r>
      <w:r w:rsidR="003662BC" w:rsidRPr="006636EE">
        <w:t>Arguably, t</w:t>
      </w:r>
      <w:r w:rsidRPr="006636EE">
        <w:t>he slogan’s enduring power lies in its empowering message and its global recognisability, which has also made it a target for appropriation by other causes.</w:t>
      </w:r>
      <w:r w:rsidR="00A433E9" w:rsidRPr="006636EE">
        <w:t xml:space="preserve"> The adoption—and repurposing—of this iconic feminist slogan by non-progressive movements carries significant implications. As one of the reproductive rights movement’s most potent linguistic and symbolic assets, its co-option risks diluting its meaning and undermining the decades-long struggle for gender equality and reproductive justice.</w:t>
      </w:r>
    </w:p>
    <w:p w14:paraId="4112E18A" w14:textId="56977E1C" w:rsidR="00FF0DF9" w:rsidRPr="006636EE" w:rsidRDefault="2A7F24C7" w:rsidP="00A54D55">
      <w:r w:rsidRPr="006636EE">
        <w:t xml:space="preserve">In a broader context, </w:t>
      </w:r>
      <w:r w:rsidR="00E8629E" w:rsidRPr="006636EE">
        <w:t>Amnesty International (</w:t>
      </w:r>
      <w:proofErr w:type="spellStart"/>
      <w:r w:rsidR="00E8629E" w:rsidRPr="006636EE">
        <w:t>n.d.a</w:t>
      </w:r>
      <w:proofErr w:type="spellEnd"/>
      <w:r w:rsidR="00E8629E" w:rsidRPr="006636EE">
        <w:t xml:space="preserve">) extends this framing by referring </w:t>
      </w:r>
      <w:r w:rsidR="00E8629E" w:rsidRPr="00842267">
        <w:t>to “My Body, My Rights</w:t>
      </w:r>
      <w:r w:rsidR="00983DDC" w:rsidRPr="00842267">
        <w:t>”</w:t>
      </w:r>
      <w:r w:rsidR="00842267">
        <w:t xml:space="preserve"> to </w:t>
      </w:r>
      <w:r w:rsidR="005E2E71" w:rsidRPr="006636EE">
        <w:t>emphasise</w:t>
      </w:r>
      <w:r w:rsidR="00E8629E" w:rsidRPr="006636EE">
        <w:t xml:space="preserve"> universal human rights principles</w:t>
      </w:r>
      <w:r w:rsidR="003C4BF9">
        <w:t xml:space="preserve">, and </w:t>
      </w:r>
      <w:r w:rsidR="00E8629E" w:rsidRPr="006636EE">
        <w:t>specifically the right to make decisions about one’s body free from</w:t>
      </w:r>
      <w:r w:rsidR="00484309" w:rsidRPr="006636EE">
        <w:t xml:space="preserve"> “fear,</w:t>
      </w:r>
      <w:r w:rsidR="00E8629E" w:rsidRPr="006636EE">
        <w:t xml:space="preserve"> violence, </w:t>
      </w:r>
      <w:r w:rsidR="00C84EF5" w:rsidRPr="006636EE">
        <w:t>or</w:t>
      </w:r>
      <w:r w:rsidR="00E8629E" w:rsidRPr="006636EE">
        <w:t xml:space="preserve"> discrimination</w:t>
      </w:r>
      <w:r w:rsidR="006C1343">
        <w:t>.”</w:t>
      </w:r>
      <w:r w:rsidR="00E8629E" w:rsidRPr="006636EE">
        <w:t xml:space="preserve"> This framing encompasses not only abortion access but also issues such as underage marriage, sexual autonomy, and access to contraception, reinforcing the deep ethical and legal foundations of bodily autonomy.</w:t>
      </w:r>
      <w:r w:rsidR="005E2E71" w:rsidRPr="006636EE">
        <w:t xml:space="preserve"> </w:t>
      </w:r>
    </w:p>
    <w:p w14:paraId="77FB7C7C" w14:textId="0B240E98" w:rsidR="00AA3352" w:rsidRPr="006636EE" w:rsidRDefault="00B75CBD" w:rsidP="00A54D55">
      <w:pPr>
        <w:pStyle w:val="Heading1"/>
      </w:pPr>
      <w:r w:rsidRPr="006636EE">
        <w:t xml:space="preserve">The </w:t>
      </w:r>
      <w:r w:rsidR="00FF0CCF" w:rsidRPr="006636EE">
        <w:t>A</w:t>
      </w:r>
      <w:r w:rsidR="00AA3352" w:rsidRPr="006636EE">
        <w:t>nti</w:t>
      </w:r>
      <w:r w:rsidR="005B2E7B" w:rsidRPr="006636EE">
        <w:t>v</w:t>
      </w:r>
      <w:r w:rsidR="00AA3352" w:rsidRPr="006636EE">
        <w:t xml:space="preserve">ax </w:t>
      </w:r>
      <w:r w:rsidR="00FF0CCF" w:rsidRPr="006636EE">
        <w:t>M</w:t>
      </w:r>
      <w:r w:rsidR="00AA3352" w:rsidRPr="006636EE">
        <w:t xml:space="preserve">ovement </w:t>
      </w:r>
    </w:p>
    <w:p w14:paraId="663B908F" w14:textId="42B0CFFA" w:rsidR="00A358F5" w:rsidRPr="006636EE" w:rsidRDefault="006E0F3C" w:rsidP="00A54D55">
      <w:r w:rsidRPr="006636EE">
        <w:t xml:space="preserve">While the COVID-19 pandemic significantly amplified the visibility of the </w:t>
      </w:r>
      <w:r w:rsidR="001F555A">
        <w:t>so-called “</w:t>
      </w:r>
      <w:r w:rsidRPr="006636EE">
        <w:t>antivax</w:t>
      </w:r>
      <w:r w:rsidR="001F555A">
        <w:t>”</w:t>
      </w:r>
      <w:r w:rsidRPr="006636EE">
        <w:t xml:space="preserve"> movement, opposition to vaccination is far from new. Framing vaccine resistance as a matter of civil rights has a long history (Colgrove &amp; Samuel, 2022). In fact, early expressions of antivaccine sentiment date back to the 18th century, such as Reverend Edmund Massey’s 1722 sermon in England, in which he </w:t>
      </w:r>
      <w:r w:rsidR="00FE68B2" w:rsidRPr="006636EE">
        <w:t>preached that disease was God’s way of testing humankind and that accepting vaccines was akin to accepting the devil into one’s life (Massey, 1722).</w:t>
      </w:r>
    </w:p>
    <w:p w14:paraId="0371096E" w14:textId="5617C4AB" w:rsidR="001C5EEA" w:rsidRPr="006636EE" w:rsidRDefault="0092368A" w:rsidP="00A54D55">
      <w:r w:rsidRPr="006636EE">
        <w:lastRenderedPageBreak/>
        <w:t xml:space="preserve">The rapid development and deployment of COVID-19 vaccines—combined with novel manufacturing technologies and uncertainty about their long-term efficacy—rekindled widespread public debate. </w:t>
      </w:r>
      <w:r w:rsidR="004D0CCC" w:rsidRPr="006636EE">
        <w:t xml:space="preserve">For many, this marked the first time they had seriously questioned the brand or manufacturing standards </w:t>
      </w:r>
      <w:r w:rsidR="001A5F40" w:rsidRPr="006636EE">
        <w:t xml:space="preserve">of </w:t>
      </w:r>
      <w:r w:rsidR="004D0CCC" w:rsidRPr="006636EE">
        <w:t>vaccines, comparing brands like Pfizer, Moderna, and AstraZeneca with unprecedented scrutiny. Individuals who had previously accepted routine immunisations without hesitation began to express concerns over vaccine safety, side effects, and the pace of regulatory approval.</w:t>
      </w:r>
      <w:r w:rsidR="5359CE7C" w:rsidRPr="006636EE">
        <w:t xml:space="preserve"> </w:t>
      </w:r>
    </w:p>
    <w:p w14:paraId="5AB9AFD3" w14:textId="418792C0" w:rsidR="00B271B1" w:rsidRPr="006636EE" w:rsidRDefault="00847949" w:rsidP="00A54D55">
      <w:r w:rsidRPr="006636EE">
        <w:t>Globally, equitable access to vaccines is recognised as a fundamental human right, essential to achieving improved public health outcomes (United Nations, 2020). Throughout the pandemic, global efforts emphasised not only scientific progress but also principles of social justice, with wealthier nations supporting vaccine distribution in less-resourced countries. However, these collective efforts were met with resistance. While some argue</w:t>
      </w:r>
      <w:r w:rsidR="008062AB">
        <w:t>d</w:t>
      </w:r>
      <w:r w:rsidRPr="006636EE">
        <w:t xml:space="preserve"> that mandatory vaccination policies </w:t>
      </w:r>
      <w:r w:rsidR="008062AB">
        <w:t>could</w:t>
      </w:r>
      <w:r w:rsidR="008062AB" w:rsidRPr="006636EE">
        <w:t xml:space="preserve"> </w:t>
      </w:r>
      <w:r w:rsidRPr="006636EE">
        <w:t>align with human rights frameworks</w:t>
      </w:r>
      <w:r w:rsidR="00332C2E">
        <w:t>—</w:t>
      </w:r>
      <w:r w:rsidRPr="006636EE">
        <w:t>and even constitute</w:t>
      </w:r>
      <w:r w:rsidR="00BC1ECC">
        <w:t>d</w:t>
      </w:r>
      <w:r w:rsidRPr="006636EE">
        <w:t xml:space="preserve"> a</w:t>
      </w:r>
      <w:r w:rsidR="00F219B4" w:rsidRPr="006636EE">
        <w:t>n</w:t>
      </w:r>
      <w:r w:rsidRPr="006636EE">
        <w:t xml:space="preserve"> obligation </w:t>
      </w:r>
      <w:r w:rsidR="00C622AA" w:rsidRPr="006636EE">
        <w:t xml:space="preserve">by states and territories </w:t>
      </w:r>
      <w:r w:rsidRPr="006636EE">
        <w:t>to protect vulnerable populations (King et al., 2022)</w:t>
      </w:r>
      <w:r w:rsidR="00332C2E">
        <w:t>—</w:t>
      </w:r>
      <w:r w:rsidRPr="006636EE">
        <w:t>others viewed such mandates as overreach, infringing upon individual freedoms.</w:t>
      </w:r>
      <w:r w:rsidR="00C622AA" w:rsidRPr="006636EE">
        <w:t xml:space="preserve"> </w:t>
      </w:r>
    </w:p>
    <w:p w14:paraId="1C8FCA04" w14:textId="1F338AAB" w:rsidR="00B12654" w:rsidRPr="006636EE" w:rsidRDefault="00977E9B" w:rsidP="00A54D55">
      <w:r w:rsidRPr="006636EE">
        <w:t>This perceived infringement gave rise to a surge in anti-vaccine and anti-mandate protests worldwide. Protesters frequently framed their opposition using the rhetoric of human rights and personal liberty</w:t>
      </w:r>
      <w:r w:rsidR="00103E1D" w:rsidRPr="006636EE">
        <w:t xml:space="preserve">, arguing that mandatory vaccination programs </w:t>
      </w:r>
      <w:r w:rsidR="00103E1D" w:rsidRPr="006636EE">
        <w:rPr>
          <w:i/>
          <w:iCs/>
        </w:rPr>
        <w:t xml:space="preserve">violate </w:t>
      </w:r>
      <w:r w:rsidR="00103E1D" w:rsidRPr="006636EE">
        <w:t>human rights (Landler, 2021)</w:t>
      </w:r>
      <w:r w:rsidRPr="006636EE">
        <w:t xml:space="preserve">. Notably, many appropriated established </w:t>
      </w:r>
      <w:proofErr w:type="gramStart"/>
      <w:r w:rsidRPr="006636EE">
        <w:t>language</w:t>
      </w:r>
      <w:proofErr w:type="gramEnd"/>
      <w:r w:rsidRPr="006636EE">
        <w:t xml:space="preserve"> from progressive movements—such as slogans traditionally associated with bodily autonomy—to assert their stance. In this context, the antivax movement's strategic adoption of human rights discourse exemplifie</w:t>
      </w:r>
      <w:r w:rsidR="00BA3F32">
        <w:t>d</w:t>
      </w:r>
      <w:r w:rsidRPr="006636EE">
        <w:t xml:space="preserve"> what </w:t>
      </w:r>
      <w:r w:rsidR="00BA3F32">
        <w:t>can best be</w:t>
      </w:r>
      <w:r w:rsidR="00BA3F32" w:rsidRPr="006636EE">
        <w:t xml:space="preserve"> </w:t>
      </w:r>
      <w:r w:rsidRPr="006636EE">
        <w:t>define</w:t>
      </w:r>
      <w:r w:rsidR="00BA3F32">
        <w:t>d</w:t>
      </w:r>
      <w:r w:rsidRPr="006636EE">
        <w:t xml:space="preserve"> as brandjacking</w:t>
      </w:r>
      <w:r w:rsidR="00BA3F32">
        <w:t xml:space="preserve">, namely </w:t>
      </w:r>
      <w:r w:rsidRPr="006636EE">
        <w:t>the co-option of socially legitimate messaging to serve a contrasting, and often oppositional, agenda (Landler, 2021).</w:t>
      </w:r>
    </w:p>
    <w:p w14:paraId="3890DAAE" w14:textId="4A7C9F6A" w:rsidR="00AA3352" w:rsidRPr="006636EE" w:rsidRDefault="00AA3352" w:rsidP="00A54D55">
      <w:pPr>
        <w:pStyle w:val="Heading1"/>
      </w:pPr>
      <w:r w:rsidRPr="006636EE">
        <w:lastRenderedPageBreak/>
        <w:t>Method</w:t>
      </w:r>
      <w:r w:rsidR="0094693A" w:rsidRPr="006636EE">
        <w:t>ology</w:t>
      </w:r>
    </w:p>
    <w:p w14:paraId="47462771" w14:textId="1A5CB1F9" w:rsidR="009A07E9" w:rsidRDefault="000D3E01" w:rsidP="00A54D55">
      <w:r w:rsidRPr="006636EE">
        <w:t xml:space="preserve">This study employs a social-constructivist </w:t>
      </w:r>
      <w:r w:rsidR="00C52FDB">
        <w:t>approach</w:t>
      </w:r>
      <w:r w:rsidR="00C52FDB" w:rsidRPr="006636EE">
        <w:t xml:space="preserve"> </w:t>
      </w:r>
      <w:r w:rsidRPr="006636EE">
        <w:t xml:space="preserve">and framing theory to critically examine how the antivax movement in Australia and New Zealand strategically frames its opposition to COVID-19 mandates. Rather than assessing the merits of vaccination programs, this research focuses on how language, slogans, and narrative techniques </w:t>
      </w:r>
      <w:r w:rsidR="004A254F">
        <w:t>were</w:t>
      </w:r>
      <w:r w:rsidR="004A254F" w:rsidRPr="006636EE">
        <w:t xml:space="preserve"> </w:t>
      </w:r>
      <w:r w:rsidRPr="006636EE">
        <w:t>deployed by antivax groups to construct legitimacy, mobili</w:t>
      </w:r>
      <w:r w:rsidR="00DC18E3">
        <w:t>s</w:t>
      </w:r>
      <w:r w:rsidRPr="006636EE">
        <w:t>e supporters, and challenge public health measures.</w:t>
      </w:r>
    </w:p>
    <w:p w14:paraId="4C3D9D2D" w14:textId="1777BF05" w:rsidR="00DC18E3" w:rsidRPr="006636EE" w:rsidRDefault="00DC18E3" w:rsidP="00A54D55">
      <w:r w:rsidRPr="00A04B4D">
        <w:t>Social constructivism</w:t>
      </w:r>
      <w:r w:rsidR="00E83BC2" w:rsidRPr="00A04B4D">
        <w:t xml:space="preserve"> </w:t>
      </w:r>
      <w:r w:rsidR="00371D9F" w:rsidRPr="00A04B4D">
        <w:t>is</w:t>
      </w:r>
      <w:r w:rsidR="00371D9F">
        <w:t xml:space="preserve"> an interpretivist approach that presumes that knowledge </w:t>
      </w:r>
      <w:r w:rsidR="00371D9F" w:rsidRPr="00371D9F">
        <w:t xml:space="preserve">is </w:t>
      </w:r>
      <w:r w:rsidR="00741BF1">
        <w:t>established</w:t>
      </w:r>
      <w:r w:rsidR="00371D9F">
        <w:t xml:space="preserve"> through “</w:t>
      </w:r>
      <w:r w:rsidR="00371D9F" w:rsidRPr="00371D9F">
        <w:t>the interaction of social and mental functions</w:t>
      </w:r>
      <w:r w:rsidR="006C1343">
        <w:t>,”</w:t>
      </w:r>
      <w:r w:rsidR="00371D9F">
        <w:t xml:space="preserve"> allowing individuals to construct “</w:t>
      </w:r>
      <w:r w:rsidR="00371D9F" w:rsidRPr="00371D9F">
        <w:t>a world of experience through cognitive processes</w:t>
      </w:r>
      <w:r w:rsidR="00371D9F">
        <w:t>” (</w:t>
      </w:r>
      <w:r w:rsidR="00741BF1">
        <w:t>Boyland, 2019, p. 30).</w:t>
      </w:r>
      <w:r w:rsidR="009467D4">
        <w:t xml:space="preserve"> </w:t>
      </w:r>
      <w:r w:rsidR="00764569">
        <w:t xml:space="preserve">It </w:t>
      </w:r>
      <w:r w:rsidR="00E5661C">
        <w:t xml:space="preserve">“assumes the beliefs and </w:t>
      </w:r>
      <w:r w:rsidR="00351650">
        <w:t>meaning</w:t>
      </w:r>
      <w:r w:rsidR="00E5661C">
        <w:t xml:space="preserve"> that people create and use fundamentally shape what reality is for them” (</w:t>
      </w:r>
      <w:r w:rsidR="00351650">
        <w:t xml:space="preserve">Neuman, 2011, p. 102). </w:t>
      </w:r>
      <w:r w:rsidR="00A32034">
        <w:t xml:space="preserve">As a research method, it </w:t>
      </w:r>
      <w:r w:rsidR="009467D4">
        <w:t>is, by its very nature, subjective</w:t>
      </w:r>
      <w:r w:rsidR="00A04B4D">
        <w:t xml:space="preserve"> because each person’s social reality will be different</w:t>
      </w:r>
      <w:r w:rsidR="00351650">
        <w:t xml:space="preserve">. </w:t>
      </w:r>
      <w:r w:rsidR="003069DE">
        <w:t>In this case, the researchers</w:t>
      </w:r>
      <w:r w:rsidR="00FD6674">
        <w:t xml:space="preserve"> </w:t>
      </w:r>
      <w:r w:rsidR="009A536C">
        <w:t xml:space="preserve">aimed at minimising potential bias through </w:t>
      </w:r>
      <w:r w:rsidR="00FD6674">
        <w:t>analytical bracketing</w:t>
      </w:r>
      <w:r w:rsidR="00C87571">
        <w:t xml:space="preserve"> (Boyland, 2019),</w:t>
      </w:r>
      <w:r w:rsidR="009A536C">
        <w:t xml:space="preserve"> </w:t>
      </w:r>
      <w:r w:rsidR="00C40972">
        <w:t xml:space="preserve">by acknowledging </w:t>
      </w:r>
      <w:r w:rsidR="00834D78">
        <w:t>any</w:t>
      </w:r>
      <w:r w:rsidR="00C40972">
        <w:t xml:space="preserve"> preconceived ideas, </w:t>
      </w:r>
      <w:r w:rsidR="00834D78">
        <w:t xml:space="preserve">underlying </w:t>
      </w:r>
      <w:r w:rsidR="00C50289">
        <w:t xml:space="preserve">assumptions and prior knowledge about the events as they unfolded </w:t>
      </w:r>
      <w:r w:rsidR="009B29EE">
        <w:t>(McLeod, 2024)</w:t>
      </w:r>
      <w:r w:rsidR="00834D78">
        <w:t xml:space="preserve"> </w:t>
      </w:r>
      <w:r w:rsidR="00834D78" w:rsidRPr="006636EE">
        <w:t>supported by ongoing reflexivity (</w:t>
      </w:r>
      <w:proofErr w:type="spellStart"/>
      <w:r w:rsidR="00834D78" w:rsidRPr="006636EE">
        <w:t>Buscatto</w:t>
      </w:r>
      <w:proofErr w:type="spellEnd"/>
      <w:r w:rsidR="00834D78" w:rsidRPr="006636EE">
        <w:t>, 2021; Gobo &amp; Cellini, 2021) and regular topic-based discussions between the researchers</w:t>
      </w:r>
      <w:r w:rsidR="00C50289">
        <w:t xml:space="preserve">. </w:t>
      </w:r>
      <w:r w:rsidR="00A32034">
        <w:t>As a methodological approach, c</w:t>
      </w:r>
      <w:r w:rsidR="00C50289">
        <w:t xml:space="preserve">onstructivism demands fluidity and the recognition that social realities are constructed differently </w:t>
      </w:r>
      <w:r w:rsidR="00A32034">
        <w:t xml:space="preserve">by different actors </w:t>
      </w:r>
      <w:r w:rsidR="00C50289">
        <w:t>(Boyland, 2019)</w:t>
      </w:r>
      <w:r w:rsidR="00A32034">
        <w:t xml:space="preserve">, including the researchers and </w:t>
      </w:r>
      <w:r w:rsidR="008A47B7">
        <w:t xml:space="preserve">members of the </w:t>
      </w:r>
      <w:r w:rsidR="00834D78">
        <w:t>social</w:t>
      </w:r>
      <w:r w:rsidR="008A47B7">
        <w:t xml:space="preserve"> movement</w:t>
      </w:r>
      <w:r w:rsidR="00C50289">
        <w:t xml:space="preserve">. </w:t>
      </w:r>
      <w:r w:rsidR="000E75C1">
        <w:t>As Boyland (2019</w:t>
      </w:r>
      <w:r w:rsidR="007E08BE">
        <w:t>)</w:t>
      </w:r>
      <w:r w:rsidR="000E75C1">
        <w:t xml:space="preserve"> stated, “</w:t>
      </w:r>
      <w:r w:rsidR="008A47B7">
        <w:t>[c]</w:t>
      </w:r>
      <w:proofErr w:type="spellStart"/>
      <w:r w:rsidR="008B068B" w:rsidRPr="008B068B">
        <w:t>onstructivism</w:t>
      </w:r>
      <w:proofErr w:type="spellEnd"/>
      <w:r w:rsidR="008B068B" w:rsidRPr="008B068B">
        <w:t xml:space="preserve"> offers a paradigm of thinking whereby the researcher journeys with participants into a space of interpreted reality that is as personal and individual</w:t>
      </w:r>
      <w:r w:rsidR="00222EEB">
        <w:t>”</w:t>
      </w:r>
      <w:r w:rsidR="007E08BE">
        <w:t xml:space="preserve"> (p. 32).</w:t>
      </w:r>
      <w:r w:rsidR="00E1590B">
        <w:t xml:space="preserve"> </w:t>
      </w:r>
    </w:p>
    <w:p w14:paraId="69F43F03" w14:textId="4A3404F7" w:rsidR="009A07E9" w:rsidRPr="006636EE" w:rsidRDefault="008A47B7" w:rsidP="00A54D55">
      <w:r>
        <w:lastRenderedPageBreak/>
        <w:t>The research also made use of an analysis of the frames used</w:t>
      </w:r>
      <w:r w:rsidR="005E2B22">
        <w:t xml:space="preserve"> by the antivax movement</w:t>
      </w:r>
      <w:r>
        <w:t xml:space="preserve">. </w:t>
      </w:r>
      <w:r w:rsidR="009A07E9" w:rsidRPr="006636EE">
        <w:t xml:space="preserve">Framing, as defined by </w:t>
      </w:r>
      <w:proofErr w:type="spellStart"/>
      <w:r w:rsidR="009A07E9" w:rsidRPr="006636EE">
        <w:t>Entman</w:t>
      </w:r>
      <w:proofErr w:type="spellEnd"/>
      <w:r w:rsidR="009A07E9" w:rsidRPr="006636EE">
        <w:t xml:space="preserve"> (1993), involves “selecting some aspects of a perceived reality and </w:t>
      </w:r>
      <w:proofErr w:type="spellStart"/>
      <w:r w:rsidR="009A07E9" w:rsidRPr="006636EE">
        <w:t>mak</w:t>
      </w:r>
      <w:proofErr w:type="spellEnd"/>
      <w:r w:rsidR="009A07E9" w:rsidRPr="006636EE">
        <w:t>[</w:t>
      </w:r>
      <w:proofErr w:type="spellStart"/>
      <w:r w:rsidR="009A07E9" w:rsidRPr="006636EE">
        <w:t>ing</w:t>
      </w:r>
      <w:proofErr w:type="spellEnd"/>
      <w:r w:rsidR="009A07E9" w:rsidRPr="006636EE">
        <w:t xml:space="preserve">] them more salient in a communication text” (p. 52). </w:t>
      </w:r>
      <w:r w:rsidR="00A141EF" w:rsidRPr="006636EE">
        <w:t xml:space="preserve">Frames strategically highlight </w:t>
      </w:r>
      <w:proofErr w:type="gramStart"/>
      <w:r w:rsidR="00A141EF" w:rsidRPr="006636EE">
        <w:t>particular perspectives</w:t>
      </w:r>
      <w:proofErr w:type="gramEnd"/>
      <w:r w:rsidR="00A141EF" w:rsidRPr="006636EE">
        <w:t xml:space="preserve"> on an issue, problem or concept, thus making them more memorable or meaningful for the audience, while simultaneously downplaying alternative or competing viewpoints (</w:t>
      </w:r>
      <w:proofErr w:type="spellStart"/>
      <w:r w:rsidR="00A141EF" w:rsidRPr="006636EE">
        <w:t>Entman</w:t>
      </w:r>
      <w:proofErr w:type="spellEnd"/>
      <w:r w:rsidR="00A141EF" w:rsidRPr="006636EE">
        <w:t xml:space="preserve">, 1993). </w:t>
      </w:r>
      <w:r w:rsidR="0058428A">
        <w:t xml:space="preserve">It refers to how people perceive and think about an issue (Neuman, 2011). </w:t>
      </w:r>
      <w:r w:rsidR="00215BA2">
        <w:t xml:space="preserve">In this case, the </w:t>
      </w:r>
      <w:r w:rsidR="009A07E9" w:rsidRPr="006636EE">
        <w:t xml:space="preserve">study </w:t>
      </w:r>
      <w:r w:rsidR="00D80BD5">
        <w:t>observed</w:t>
      </w:r>
      <w:r w:rsidR="00D80BD5" w:rsidRPr="006636EE">
        <w:t xml:space="preserve"> </w:t>
      </w:r>
      <w:r w:rsidR="009A07E9" w:rsidRPr="006636EE">
        <w:t>how the antivax movement appropriate</w:t>
      </w:r>
      <w:r w:rsidR="00215BA2">
        <w:t>d</w:t>
      </w:r>
      <w:r w:rsidR="009A07E9" w:rsidRPr="006636EE">
        <w:t xml:space="preserve"> and reinterpret</w:t>
      </w:r>
      <w:r w:rsidR="00215BA2">
        <w:t>ed</w:t>
      </w:r>
      <w:r w:rsidR="009A07E9" w:rsidRPr="006636EE">
        <w:t xml:space="preserve"> established progressive slogans</w:t>
      </w:r>
      <w:r w:rsidR="00D80BD5">
        <w:t xml:space="preserve"> </w:t>
      </w:r>
      <w:r w:rsidR="009A07E9" w:rsidRPr="006636EE">
        <w:t>to position itself as a defender of individual freedoms and bodily autonomy</w:t>
      </w:r>
      <w:r w:rsidR="00B87619">
        <w:t xml:space="preserve">, </w:t>
      </w:r>
      <w:r w:rsidR="002A7AC5">
        <w:t xml:space="preserve">a process </w:t>
      </w:r>
      <w:r w:rsidR="002F553B">
        <w:t>referred to here</w:t>
      </w:r>
      <w:r w:rsidR="00B87619">
        <w:t xml:space="preserve"> as</w:t>
      </w:r>
      <w:r w:rsidR="002F553B">
        <w:t xml:space="preserve"> </w:t>
      </w:r>
      <w:r w:rsidR="00D80BD5" w:rsidRPr="006636EE">
        <w:t>brand hijacking (Langley, 2016)</w:t>
      </w:r>
      <w:r w:rsidR="002F553B">
        <w:t xml:space="preserve">. </w:t>
      </w:r>
      <w:r w:rsidR="00D80BD5" w:rsidRPr="006636EE">
        <w:t xml:space="preserve"> </w:t>
      </w:r>
      <w:r w:rsidR="002F553B">
        <w:t>By</w:t>
      </w:r>
      <w:r w:rsidR="00D80BD5" w:rsidRPr="006636EE">
        <w:t xml:space="preserve"> repurposing the long established </w:t>
      </w:r>
      <w:r w:rsidR="00D80BD5">
        <w:t>“</w:t>
      </w:r>
      <w:r w:rsidR="00D80BD5" w:rsidRPr="006636EE">
        <w:t>my body, my choice</w:t>
      </w:r>
      <w:r w:rsidR="00D80BD5">
        <w:t>”</w:t>
      </w:r>
      <w:r w:rsidR="00D80BD5" w:rsidRPr="006636EE">
        <w:t xml:space="preserve"> slogan from reproductive rights and feminist movements to frame resistance to COVID-19 mandates as a matter of personal freedom</w:t>
      </w:r>
      <w:r w:rsidR="002F553B">
        <w:t xml:space="preserve">, </w:t>
      </w:r>
      <w:r w:rsidR="009A07E9" w:rsidRPr="006636EE">
        <w:t>the movement leverage</w:t>
      </w:r>
      <w:r w:rsidR="002F553B">
        <w:t>d</w:t>
      </w:r>
      <w:r w:rsidR="009A07E9" w:rsidRPr="006636EE">
        <w:t xml:space="preserve"> the existing cultural capital and legitimacy of progressive activism while simultaneously rejecting the scientific consensus on vaccines.</w:t>
      </w:r>
      <w:r w:rsidR="00F875A8">
        <w:t xml:space="preserve"> </w:t>
      </w:r>
      <w:r w:rsidR="00F875A8" w:rsidRPr="006636EE">
        <w:t xml:space="preserve"> </w:t>
      </w:r>
      <w:r w:rsidR="001F6C2C" w:rsidRPr="006636EE">
        <w:t xml:space="preserve">As Foster and </w:t>
      </w:r>
      <w:proofErr w:type="spellStart"/>
      <w:r w:rsidR="001F6C2C" w:rsidRPr="006636EE">
        <w:t>Rathlin</w:t>
      </w:r>
      <w:proofErr w:type="spellEnd"/>
      <w:r w:rsidR="001F6C2C" w:rsidRPr="006636EE">
        <w:t xml:space="preserve"> (2022) stated, it is important to remember that language conveys meaning</w:t>
      </w:r>
      <w:r w:rsidR="001F6C2C">
        <w:t xml:space="preserve">, and </w:t>
      </w:r>
      <w:r w:rsidR="001F6C2C" w:rsidRPr="006636EE">
        <w:t xml:space="preserve">it is </w:t>
      </w:r>
      <w:r w:rsidR="001F6C2C">
        <w:t xml:space="preserve">through </w:t>
      </w:r>
      <w:r w:rsidR="001F6C2C" w:rsidRPr="006636EE">
        <w:t xml:space="preserve">the examination of language that </w:t>
      </w:r>
      <w:r w:rsidR="001F6C2C">
        <w:t xml:space="preserve">one can </w:t>
      </w:r>
      <w:r w:rsidR="00D41E51">
        <w:t xml:space="preserve">start </w:t>
      </w:r>
      <w:r w:rsidR="001F6C2C" w:rsidRPr="006636EE">
        <w:t xml:space="preserve">understanding </w:t>
      </w:r>
      <w:r w:rsidR="00D41E51">
        <w:t>the</w:t>
      </w:r>
      <w:r w:rsidR="001F6C2C" w:rsidRPr="006636EE">
        <w:t xml:space="preserve"> purpose </w:t>
      </w:r>
      <w:r w:rsidR="00D41E51">
        <w:t xml:space="preserve">of social movements </w:t>
      </w:r>
      <w:r w:rsidR="001F6C2C" w:rsidRPr="006636EE">
        <w:t>beyond initial assumptions and convenient umbrella labels.</w:t>
      </w:r>
    </w:p>
    <w:p w14:paraId="60B34EA0" w14:textId="0DF11E74" w:rsidR="00FD6068" w:rsidRPr="006636EE" w:rsidRDefault="479EAEC0" w:rsidP="00A54D55">
      <w:r w:rsidRPr="006636EE">
        <w:t xml:space="preserve">Framing has been well researched within the news media, public relations and </w:t>
      </w:r>
      <w:r w:rsidR="1DE07AEA" w:rsidRPr="006636EE">
        <w:t xml:space="preserve">strategic communication </w:t>
      </w:r>
      <w:r w:rsidRPr="006636EE">
        <w:t>contexts</w:t>
      </w:r>
      <w:r w:rsidR="6CD1D96A" w:rsidRPr="006636EE">
        <w:t>,</w:t>
      </w:r>
      <w:r w:rsidRPr="006636EE">
        <w:t xml:space="preserve"> as frames </w:t>
      </w:r>
      <w:r w:rsidR="0308A553" w:rsidRPr="006636EE">
        <w:t xml:space="preserve">perform a crucial </w:t>
      </w:r>
      <w:r w:rsidRPr="006636EE">
        <w:t xml:space="preserve">role in influencing public </w:t>
      </w:r>
      <w:r w:rsidR="00C03A84" w:rsidRPr="006636EE">
        <w:t xml:space="preserve">perception </w:t>
      </w:r>
      <w:r w:rsidRPr="006636EE">
        <w:t>and individual behaviour</w:t>
      </w:r>
      <w:r w:rsidR="2344C826" w:rsidRPr="006636EE">
        <w:t xml:space="preserve"> (e.g.</w:t>
      </w:r>
      <w:r w:rsidR="00695FF0" w:rsidRPr="006636EE">
        <w:t>,</w:t>
      </w:r>
      <w:r w:rsidR="2344C826" w:rsidRPr="006636EE">
        <w:t xml:space="preserve"> Dan et al</w:t>
      </w:r>
      <w:r w:rsidR="00695FF0" w:rsidRPr="006636EE">
        <w:t>.</w:t>
      </w:r>
      <w:r w:rsidR="2344C826" w:rsidRPr="006636EE">
        <w:t xml:space="preserve">, </w:t>
      </w:r>
      <w:r w:rsidR="002F165E" w:rsidRPr="006636EE">
        <w:t>2019</w:t>
      </w:r>
      <w:r w:rsidR="2344C826" w:rsidRPr="006636EE">
        <w:t>; Hallahan, 2011)</w:t>
      </w:r>
      <w:r w:rsidRPr="006636EE">
        <w:t>.</w:t>
      </w:r>
      <w:r w:rsidR="003F3A22" w:rsidRPr="006636EE">
        <w:t xml:space="preserve"> </w:t>
      </w:r>
      <w:r w:rsidR="00871175">
        <w:t>Indeed, t</w:t>
      </w:r>
      <w:r w:rsidR="00353B08" w:rsidRPr="006636EE">
        <w:t>he role of framing extends beyond news media into public relations and strategic communication</w:t>
      </w:r>
      <w:r w:rsidR="00C754F2">
        <w:t xml:space="preserve"> </w:t>
      </w:r>
      <w:r w:rsidR="001D07B4" w:rsidRPr="006636EE">
        <w:fldChar w:fldCharType="begin"/>
      </w:r>
      <w:r w:rsidR="001D07B4" w:rsidRPr="006636EE">
        <w:instrText xml:space="preserve"> ADDIN EN.CITE &lt;EndNote&gt;&lt;Cite&gt;&lt;Author&gt;Williams&lt;/Author&gt;&lt;Year&gt;2022&lt;/Year&gt;&lt;RecNum&gt;18712&lt;/RecNum&gt;&lt;DisplayText&gt;(Williams et al., 2022)&lt;/DisplayText&gt;&lt;record&gt;&lt;rec-number&gt;18712&lt;/rec-number&gt;&lt;foreign-keys&gt;&lt;key app="EN" db-id="ap02v99vidpz0re0pfa50ercp95r52202pfs" timestamp="1744270194"&gt;18712&lt;/key&gt;&lt;/foreign-keys&gt;&lt;ref-type name="Journal Article"&gt;17&lt;/ref-type&gt;&lt;contributors&gt;&lt;authors&gt;&lt;author&gt;Williams, Deborah K&lt;/author&gt;&lt;author&gt;Archer, Catherine J&lt;/author&gt;&lt;author&gt;O’Mahony, Lauren&lt;/author&gt;&lt;/authors&gt;&lt;/contributors&gt;&lt;titles&gt;&lt;title&gt;Calm the farm or incite a riot? Animal activists and the news media: A public relations case study in agenda-setting and framing&lt;/title&gt;&lt;secondary-title&gt;Public Relations Inquiry&lt;/secondary-title&gt;&lt;/titles&gt;&lt;periodical&gt;&lt;full-title&gt;Public Relations Inquiry&lt;/full-title&gt;&lt;/periodical&gt;&lt;pages&gt;403-425&lt;/pages&gt;&lt;volume&gt;11&lt;/volume&gt;&lt;number&gt;3&lt;/number&gt;&lt;dates&gt;&lt;year&gt;2022&lt;/year&gt;&lt;/dates&gt;&lt;isbn&gt;2046-147X&lt;/isbn&gt;&lt;urls&gt;&lt;/urls&gt;&lt;/record&gt;&lt;/Cite&gt;&lt;/EndNote&gt;</w:instrText>
      </w:r>
      <w:r w:rsidR="001D07B4" w:rsidRPr="006636EE">
        <w:fldChar w:fldCharType="separate"/>
      </w:r>
      <w:r w:rsidR="001D07B4" w:rsidRPr="006636EE">
        <w:t>(Williams et al., 2022)</w:t>
      </w:r>
      <w:r w:rsidR="001D07B4" w:rsidRPr="006636EE">
        <w:fldChar w:fldCharType="end"/>
      </w:r>
      <w:r w:rsidR="00353B08" w:rsidRPr="006636EE">
        <w:t xml:space="preserve">. </w:t>
      </w:r>
      <w:r w:rsidR="00B9302A" w:rsidRPr="006636EE">
        <w:t>To explore these framing processes, this study</w:t>
      </w:r>
      <w:r w:rsidR="00A73EDF">
        <w:t xml:space="preserve"> </w:t>
      </w:r>
      <w:r w:rsidR="00B9302A" w:rsidRPr="006636EE">
        <w:t>incorporat</w:t>
      </w:r>
      <w:r w:rsidR="00A73EDF">
        <w:t>ed</w:t>
      </w:r>
      <w:r w:rsidR="00B9302A" w:rsidRPr="006636EE">
        <w:t xml:space="preserve"> </w:t>
      </w:r>
      <w:r w:rsidR="7894665A" w:rsidRPr="006636EE">
        <w:t>ethnographic observations</w:t>
      </w:r>
      <w:r w:rsidR="0065462A" w:rsidRPr="006636EE">
        <w:t xml:space="preserve"> </w:t>
      </w:r>
      <w:r w:rsidR="00570995">
        <w:t>from</w:t>
      </w:r>
      <w:r w:rsidR="00834D6D">
        <w:t xml:space="preserve"> key</w:t>
      </w:r>
      <w:r w:rsidR="00834D6D" w:rsidRPr="006636EE">
        <w:t xml:space="preserve"> </w:t>
      </w:r>
      <w:r w:rsidR="0065462A" w:rsidRPr="006636EE">
        <w:t>live protests</w:t>
      </w:r>
      <w:r w:rsidR="00834D6D">
        <w:t xml:space="preserve"> in Australia and New Zealand</w:t>
      </w:r>
      <w:r w:rsidR="002E1708">
        <w:t xml:space="preserve">, drawing </w:t>
      </w:r>
      <w:r w:rsidR="00A64D9E" w:rsidRPr="006636EE">
        <w:t xml:space="preserve">from diverse sources, including mainstream media reports, self-proclaimed </w:t>
      </w:r>
      <w:r w:rsidR="002E1708">
        <w:t>“</w:t>
      </w:r>
      <w:r w:rsidR="00A64D9E" w:rsidRPr="006636EE">
        <w:t>alternative</w:t>
      </w:r>
      <w:r w:rsidR="002E1708">
        <w:t>”</w:t>
      </w:r>
      <w:r w:rsidR="00A64D9E" w:rsidRPr="006636EE">
        <w:t xml:space="preserve"> </w:t>
      </w:r>
      <w:r w:rsidR="00A64D9E" w:rsidRPr="006636EE">
        <w:lastRenderedPageBreak/>
        <w:t xml:space="preserve">media, </w:t>
      </w:r>
      <w:r w:rsidR="00BA3AC8" w:rsidRPr="006636EE">
        <w:t xml:space="preserve">related images </w:t>
      </w:r>
      <w:r w:rsidR="00A64D9E" w:rsidRPr="006636EE">
        <w:t xml:space="preserve">and social media content produced by the so-called antivax </w:t>
      </w:r>
      <w:r w:rsidR="7894665A" w:rsidRPr="006636EE">
        <w:t>movement</w:t>
      </w:r>
      <w:r w:rsidR="00BA3AC8" w:rsidRPr="006636EE">
        <w:t xml:space="preserve">. </w:t>
      </w:r>
      <w:r w:rsidR="003949E8" w:rsidRPr="006636EE">
        <w:t>By examining these materials and the movement’s own framing strategies, th</w:t>
      </w:r>
      <w:r w:rsidR="005837BF">
        <w:t>e</w:t>
      </w:r>
      <w:r w:rsidR="003949E8" w:rsidRPr="006636EE">
        <w:t xml:space="preserve"> study explores how antivax narratives construct legitimacy and gain credibility by adopting pro-social messaging, positioning themselves as a legitimate </w:t>
      </w:r>
      <w:r w:rsidR="006F52E7" w:rsidRPr="006636EE">
        <w:t>social</w:t>
      </w:r>
      <w:r w:rsidR="003949E8" w:rsidRPr="006636EE">
        <w:t xml:space="preserve"> stance rather than an extremist or conspiratorial movement</w:t>
      </w:r>
      <w:r w:rsidR="004F00C6">
        <w:t>.</w:t>
      </w:r>
    </w:p>
    <w:p w14:paraId="2510D996" w14:textId="44CAD2D0" w:rsidR="00AA3352" w:rsidRPr="006636EE" w:rsidRDefault="00831E43" w:rsidP="00A54D55">
      <w:pPr>
        <w:pStyle w:val="Heading1"/>
      </w:pPr>
      <w:r w:rsidRPr="006636EE">
        <w:t>Findings</w:t>
      </w:r>
    </w:p>
    <w:p w14:paraId="2DC2CC97" w14:textId="187D72FD" w:rsidR="00831E43" w:rsidRPr="006636EE" w:rsidRDefault="00787767" w:rsidP="00A54D55">
      <w:r w:rsidRPr="006636EE">
        <w:t xml:space="preserve">Despite efforts to mitigate the impact of the global COVID-19 pandemic, the introduction of vaccination mandates inadvertently amplified the visibility of the so-called antivax movement. This movement, in turn, gave rise to the purported </w:t>
      </w:r>
      <w:r w:rsidR="00622FF2">
        <w:t>“</w:t>
      </w:r>
      <w:r w:rsidRPr="006636EE">
        <w:t>freedom movement</w:t>
      </w:r>
      <w:r w:rsidR="006C1343">
        <w:t>,”</w:t>
      </w:r>
      <w:r w:rsidRPr="006636EE">
        <w:t xml:space="preserve"> which gained mainstream traction and attracted individuals who had never previously participated in public protests</w:t>
      </w:r>
      <w:r w:rsidR="00C66DFD" w:rsidRPr="006636EE">
        <w:t xml:space="preserve"> </w:t>
      </w:r>
      <w:r w:rsidR="00B23E5C" w:rsidRPr="006636EE">
        <w:t>to express</w:t>
      </w:r>
      <w:r w:rsidR="64280225" w:rsidRPr="006636EE">
        <w:t xml:space="preserve"> their discontentment with government-imposed mandate and restrictions </w:t>
      </w:r>
      <w:r w:rsidR="40BA2E85" w:rsidRPr="006636EE">
        <w:t>(</w:t>
      </w:r>
      <w:proofErr w:type="spellStart"/>
      <w:r w:rsidR="40BA2E85" w:rsidRPr="006636EE">
        <w:t>Askanius</w:t>
      </w:r>
      <w:proofErr w:type="spellEnd"/>
      <w:r w:rsidR="40BA2E85" w:rsidRPr="006636EE">
        <w:t xml:space="preserve"> et al., 2024</w:t>
      </w:r>
      <w:r w:rsidR="058382F1" w:rsidRPr="006636EE">
        <w:t xml:space="preserve">; Roy &amp; </w:t>
      </w:r>
      <w:proofErr w:type="spellStart"/>
      <w:r w:rsidR="058382F1" w:rsidRPr="006636EE">
        <w:t>Gandsman</w:t>
      </w:r>
      <w:proofErr w:type="spellEnd"/>
      <w:r w:rsidR="058382F1" w:rsidRPr="006636EE">
        <w:t>, 2023</w:t>
      </w:r>
      <w:r w:rsidR="40BA2E85" w:rsidRPr="006636EE">
        <w:t>)</w:t>
      </w:r>
      <w:r w:rsidR="6FC4F531" w:rsidRPr="006636EE">
        <w:t xml:space="preserve">. </w:t>
      </w:r>
    </w:p>
    <w:p w14:paraId="1921A5A0" w14:textId="728F2812" w:rsidR="006C35EC" w:rsidRPr="006636EE" w:rsidRDefault="00562304" w:rsidP="00A54D55">
      <w:r w:rsidRPr="006636EE">
        <w:t>Although often portrayed in the media as a unified and</w:t>
      </w:r>
      <w:r w:rsidR="00B23E5C">
        <w:t xml:space="preserve"> </w:t>
      </w:r>
      <w:r w:rsidR="00831E43" w:rsidRPr="006636EE">
        <w:t xml:space="preserve">coherent movement, the COVID-19 </w:t>
      </w:r>
      <w:r w:rsidR="005B2E7B" w:rsidRPr="006636EE">
        <w:t>antivax</w:t>
      </w:r>
      <w:r w:rsidR="00831E43" w:rsidRPr="006636EE">
        <w:t xml:space="preserve"> community is more appropriately understood as a kaleidoscope of individuals and groups (Wolf</w:t>
      </w:r>
      <w:r w:rsidR="001A73D9" w:rsidRPr="006636EE">
        <w:t xml:space="preserve"> &amp;</w:t>
      </w:r>
      <w:r w:rsidR="00831E43" w:rsidRPr="006636EE">
        <w:t xml:space="preserve"> Theunissen, 2023). </w:t>
      </w:r>
      <w:r w:rsidR="00E64DF7" w:rsidRPr="006636EE">
        <w:t xml:space="preserve">Social movements are rarely </w:t>
      </w:r>
      <w:r w:rsidR="00EE52EE" w:rsidRPr="006636EE">
        <w:t>homogenous and</w:t>
      </w:r>
      <w:r w:rsidR="00E64DF7" w:rsidRPr="006636EE">
        <w:t xml:space="preserve"> presenting them as such is a reductive oversimplification (Van de Velde, 2022). A public protest held in Perth, Australia, in October 2021 illustrate</w:t>
      </w:r>
      <w:r w:rsidR="00271364">
        <w:t>d</w:t>
      </w:r>
      <w:r w:rsidR="00E64DF7" w:rsidRPr="006636EE">
        <w:t xml:space="preserve"> this diversity, revealing the varied physical representations and slogans among protestors. The event, attended by approximately 2,000 individuals in what is often </w:t>
      </w:r>
      <w:r w:rsidR="00991FF7" w:rsidRPr="006636EE">
        <w:t>referred to</w:t>
      </w:r>
      <w:r w:rsidR="00E64DF7" w:rsidRPr="006636EE">
        <w:t xml:space="preserve"> as the most isolated capital city in the world, featured a broad spectrum of participants. These included traditional anti-vaccination advocates, conspiracy theorists, religious groups, healthcare workers, FIFO (fly-in-fly-out) workers, tradespeople, union representatives, outlaw motorcycle gangs, right-wing groups, members of the secessionist movement, and others frustrated by prolonged </w:t>
      </w:r>
      <w:r w:rsidR="00E64DF7" w:rsidRPr="006636EE">
        <w:lastRenderedPageBreak/>
        <w:t xml:space="preserve">restrictions and border closures. Despite these distinctions, the mainstream media, politicians, and social media collectively </w:t>
      </w:r>
      <w:r w:rsidR="00E42D5E" w:rsidRPr="006636EE">
        <w:t>labelled</w:t>
      </w:r>
      <w:r w:rsidR="00E64DF7" w:rsidRPr="006636EE">
        <w:t xml:space="preserve"> them as </w:t>
      </w:r>
      <w:r w:rsidR="00203B3C">
        <w:t>“</w:t>
      </w:r>
      <w:r w:rsidR="00E64DF7" w:rsidRPr="006636EE">
        <w:t>antivaxxers</w:t>
      </w:r>
      <w:r w:rsidR="006C1343">
        <w:t>.”</w:t>
      </w:r>
    </w:p>
    <w:p w14:paraId="1C68C2EE" w14:textId="65DA1348" w:rsidR="006C35EC" w:rsidRPr="006636EE" w:rsidRDefault="006C35EC" w:rsidP="00A54D55">
      <w:r w:rsidRPr="006636EE">
        <w:t xml:space="preserve">Chants and slogans reflected the movement’s diversity. For instance, far-right groups invoked </w:t>
      </w:r>
      <w:r w:rsidR="00983DDC">
        <w:t>“</w:t>
      </w:r>
      <w:r w:rsidRPr="006636EE">
        <w:t>Proud Boys</w:t>
      </w:r>
      <w:r w:rsidR="006C1343">
        <w:t>,”</w:t>
      </w:r>
      <w:r w:rsidRPr="006636EE">
        <w:t xml:space="preserve"> while other participants demanded </w:t>
      </w:r>
      <w:r w:rsidR="00983DDC">
        <w:t>“</w:t>
      </w:r>
      <w:r w:rsidRPr="006636EE">
        <w:t>freedom</w:t>
      </w:r>
      <w:r w:rsidR="00983DDC">
        <w:t>”</w:t>
      </w:r>
      <w:r w:rsidRPr="006636EE">
        <w:t xml:space="preserve"> from recently imposed vaccine mandates. The phrase </w:t>
      </w:r>
      <w:r w:rsidR="00983DDC">
        <w:t>“</w:t>
      </w:r>
      <w:r w:rsidRPr="006636EE">
        <w:t>my body, my choice</w:t>
      </w:r>
      <w:r w:rsidR="00983DDC">
        <w:t>”</w:t>
      </w:r>
      <w:r w:rsidRPr="006636EE">
        <w:t>—traditionally associated with reproductive rights—emerged as a unifying slogan, despite its application to a vastly different context (ABC News, 2021b).</w:t>
      </w:r>
    </w:p>
    <w:p w14:paraId="55535EC0" w14:textId="61300DF2" w:rsidR="00D92498" w:rsidRPr="006636EE" w:rsidRDefault="00D92498" w:rsidP="00A54D55">
      <w:r w:rsidRPr="006636EE">
        <w:t>One researcher observed the protest firsthand, documenting what Wolf and Theunissen (2023) describe</w:t>
      </w:r>
      <w:r w:rsidR="006478D2">
        <w:t>d</w:t>
      </w:r>
      <w:r w:rsidRPr="006636EE">
        <w:t xml:space="preserve"> as </w:t>
      </w:r>
      <w:r w:rsidR="006478D2">
        <w:t>“</w:t>
      </w:r>
      <w:r w:rsidRPr="006636EE">
        <w:t>an eclectic collective of individuals</w:t>
      </w:r>
      <w:r w:rsidR="006478D2">
        <w:t>”</w:t>
      </w:r>
      <w:r w:rsidRPr="006636EE">
        <w:t xml:space="preserve"> (p. 2). The media’s characterization of the COVID-19 antivax community as a singular movement stood in stark contrast to the reality on the ground. Attendees dressed in varied attire</w:t>
      </w:r>
      <w:r w:rsidR="009721C9">
        <w:t xml:space="preserve">. Some were in </w:t>
      </w:r>
      <w:r w:rsidRPr="006636EE">
        <w:t>casual wear</w:t>
      </w:r>
      <w:r w:rsidR="009721C9">
        <w:t>, s</w:t>
      </w:r>
      <w:r w:rsidR="00CB596F" w:rsidRPr="006636EE">
        <w:t xml:space="preserve">uggesting perhaps </w:t>
      </w:r>
      <w:r w:rsidR="00214FCC" w:rsidRPr="006636EE">
        <w:t>spontaneous participation in the rapidly organised</w:t>
      </w:r>
      <w:r w:rsidR="000425DF" w:rsidRPr="006636EE">
        <w:t xml:space="preserve"> event</w:t>
      </w:r>
      <w:r w:rsidR="000D4B87">
        <w:t>,</w:t>
      </w:r>
      <w:r w:rsidR="00833543">
        <w:t xml:space="preserve"> while </w:t>
      </w:r>
      <w:r w:rsidRPr="006636EE">
        <w:t xml:space="preserve">others </w:t>
      </w:r>
      <w:r w:rsidR="00833543">
        <w:t xml:space="preserve">were </w:t>
      </w:r>
      <w:r w:rsidRPr="006636EE">
        <w:t xml:space="preserve">in professional uniforms, making their occupational affiliations </w:t>
      </w:r>
      <w:r w:rsidR="00CD7A2E" w:rsidRPr="006636EE">
        <w:t xml:space="preserve">as health or blue colour workers </w:t>
      </w:r>
      <w:r w:rsidRPr="006636EE">
        <w:t xml:space="preserve">evident. Sub-groups seized the opportunity to advance their own causes, displaying motorcycle gang insignia, waving red ensign flags associated with </w:t>
      </w:r>
      <w:r w:rsidR="00A66A61" w:rsidRPr="006636EE">
        <w:t xml:space="preserve">the </w:t>
      </w:r>
      <w:r w:rsidRPr="006636EE">
        <w:t xml:space="preserve">sovereign citizen </w:t>
      </w:r>
      <w:r w:rsidR="00A66A61" w:rsidRPr="006636EE">
        <w:t>movement</w:t>
      </w:r>
      <w:r w:rsidRPr="006636EE">
        <w:t xml:space="preserve"> (McIntyre, 2021), and using slogans to align their</w:t>
      </w:r>
      <w:r w:rsidR="00344709">
        <w:t xml:space="preserve"> unique</w:t>
      </w:r>
      <w:r w:rsidRPr="006636EE">
        <w:t xml:space="preserve"> perspectives with the broader protest. Notably, a group of vegans, </w:t>
      </w:r>
      <w:r w:rsidR="00531AE6" w:rsidRPr="006636EE">
        <w:t>dressed</w:t>
      </w:r>
      <w:r w:rsidRPr="006636EE">
        <w:t xml:space="preserve"> in little more than G-strings and bras, held placards stating, </w:t>
      </w:r>
      <w:r w:rsidR="00983DDC">
        <w:t>“</w:t>
      </w:r>
      <w:r w:rsidRPr="006636EE">
        <w:t>We are all animals with the same body parts</w:t>
      </w:r>
      <w:r w:rsidR="00983DDC">
        <w:t>”</w:t>
      </w:r>
      <w:r w:rsidRPr="006636EE">
        <w:t xml:space="preserve"> and </w:t>
      </w:r>
      <w:r w:rsidR="00983DDC">
        <w:t>“</w:t>
      </w:r>
      <w:r w:rsidRPr="006636EE">
        <w:t>Their body, not yours</w:t>
      </w:r>
      <w:r w:rsidR="006C1343">
        <w:t>,”</w:t>
      </w:r>
      <w:r w:rsidRPr="006636EE">
        <w:t xml:space="preserve"> echoing the broader </w:t>
      </w:r>
      <w:r w:rsidR="00983DDC">
        <w:t>“</w:t>
      </w:r>
      <w:r w:rsidRPr="006636EE">
        <w:t>my body, my choice</w:t>
      </w:r>
      <w:r w:rsidR="00983DDC">
        <w:t>”</w:t>
      </w:r>
      <w:r w:rsidRPr="006636EE">
        <w:t xml:space="preserve"> rhetoric.</w:t>
      </w:r>
    </w:p>
    <w:p w14:paraId="6F60C75D" w14:textId="30CE9905" w:rsidR="001F4C17" w:rsidRPr="006636EE" w:rsidRDefault="001F4C17" w:rsidP="00A54D55">
      <w:r w:rsidRPr="006636EE">
        <w:t>At a time when most public events were cancelled</w:t>
      </w:r>
      <w:r w:rsidR="00344709">
        <w:t xml:space="preserve"> due to COVID-19 restrictions</w:t>
      </w:r>
      <w:r w:rsidRPr="006636EE">
        <w:t>, the protest also likely drew participants seeking social engagement or a sense of community. This contributed to the movement’s increased visibility and inflated representation.</w:t>
      </w:r>
    </w:p>
    <w:p w14:paraId="0E70D031" w14:textId="0DCDA9FD" w:rsidR="00EC22A0" w:rsidRPr="006636EE" w:rsidRDefault="00EC22A0" w:rsidP="00A54D55">
      <w:r w:rsidRPr="006636EE">
        <w:lastRenderedPageBreak/>
        <w:t>Media interviews with attendees revealed that many were not opposed to vaccinations in general but objected to the COVID-19 mandates imposed just prior to the protest. Some refused to disclose their vaccination status, citing concerns over government overreach and individual rights. Others leveraged the protest’s social capital to highlight unrelated grievances. A striking feature</w:t>
      </w:r>
      <w:r w:rsidR="00E214A6">
        <w:t>, however,</w:t>
      </w:r>
      <w:r w:rsidRPr="006636EE">
        <w:t xml:space="preserve"> was the adoption of feminist language, particularly </w:t>
      </w:r>
      <w:r w:rsidR="00E214A6">
        <w:t>“</w:t>
      </w:r>
      <w:r w:rsidRPr="006636EE">
        <w:t>my body, my choice</w:t>
      </w:r>
      <w:r w:rsidR="006C1343">
        <w:t>,”</w:t>
      </w:r>
      <w:r w:rsidR="00E214A6">
        <w:t xml:space="preserve"> which was</w:t>
      </w:r>
      <w:r w:rsidRPr="006636EE">
        <w:t xml:space="preserve"> repurposed to emphasi</w:t>
      </w:r>
      <w:r w:rsidR="00E214A6">
        <w:t>s</w:t>
      </w:r>
      <w:r w:rsidRPr="006636EE">
        <w:t>e personal autonomy in medical decision-making rather than</w:t>
      </w:r>
      <w:r w:rsidR="00E214A6">
        <w:t xml:space="preserve"> focusing on</w:t>
      </w:r>
      <w:r w:rsidRPr="006636EE">
        <w:t xml:space="preserve"> feminist or reproductive rights.</w:t>
      </w:r>
    </w:p>
    <w:p w14:paraId="5F9094AD" w14:textId="77777777" w:rsidR="00F457D7" w:rsidRPr="006636EE" w:rsidRDefault="00F457D7" w:rsidP="00A54D55">
      <w:r w:rsidRPr="006636EE">
        <w:t>A similar pattern emerged in New Zealand, as reflected in an opinion piece discussing a 2021 protest in Hawkes Bay:</w:t>
      </w:r>
    </w:p>
    <w:p w14:paraId="4027853A" w14:textId="63E68767" w:rsidR="00E870D7" w:rsidRPr="006636EE" w:rsidRDefault="00E870D7" w:rsidP="00B27112">
      <w:pPr>
        <w:ind w:left="737" w:right="737" w:firstLine="0"/>
      </w:pPr>
      <w:r w:rsidRPr="006636EE">
        <w:t>What became apparent was the people who were there weren’t conspiracy theorists. They weren’t all “anti-vaxx</w:t>
      </w:r>
      <w:r w:rsidR="006C1343">
        <w:t>,”</w:t>
      </w:r>
      <w:r w:rsidRPr="006636EE">
        <w:t xml:space="preserve"> some were “anti-mandate</w:t>
      </w:r>
      <w:r w:rsidR="006C1343">
        <w:t>.”</w:t>
      </w:r>
      <w:r w:rsidRPr="006636EE">
        <w:t xml:space="preserve"> Some want to be </w:t>
      </w:r>
      <w:proofErr w:type="gramStart"/>
      <w:r w:rsidRPr="006636EE">
        <w:t>vaccinated, but</w:t>
      </w:r>
      <w:proofErr w:type="gramEnd"/>
      <w:r w:rsidRPr="006636EE">
        <w:t xml:space="preserve"> want an alternative to the Pfizer vaccine. Some protesters resent the process forced upon </w:t>
      </w:r>
      <w:proofErr w:type="gramStart"/>
      <w:r w:rsidRPr="006636EE">
        <w:t>them, and</w:t>
      </w:r>
      <w:proofErr w:type="gramEnd"/>
      <w:r w:rsidRPr="006636EE">
        <w:t xml:space="preserve"> have declined the vaccine on principle. </w:t>
      </w:r>
      <w:r w:rsidR="00560509" w:rsidRPr="006636EE">
        <w:t>(</w:t>
      </w:r>
      <w:r w:rsidRPr="006636EE">
        <w:t>Cooper</w:t>
      </w:r>
      <w:r w:rsidR="00560509" w:rsidRPr="006636EE">
        <w:t xml:space="preserve">, </w:t>
      </w:r>
      <w:r w:rsidRPr="006636EE">
        <w:t>2021)</w:t>
      </w:r>
      <w:r w:rsidR="00560509" w:rsidRPr="006636EE">
        <w:t>.</w:t>
      </w:r>
    </w:p>
    <w:p w14:paraId="6F6B276E" w14:textId="114998E1" w:rsidR="00261231" w:rsidRPr="006636EE" w:rsidRDefault="00BB6C29" w:rsidP="00A54D55">
      <w:r>
        <w:t xml:space="preserve">Like </w:t>
      </w:r>
      <w:r w:rsidR="00261231" w:rsidRPr="006636EE">
        <w:t xml:space="preserve">Australia, New Zealand protests drew a mix of participants with diverse motivations. On </w:t>
      </w:r>
      <w:r w:rsidR="00A633D1">
        <w:t xml:space="preserve">3 </w:t>
      </w:r>
      <w:r w:rsidR="00261231" w:rsidRPr="006636EE">
        <w:t xml:space="preserve">October 2021, nationwide demonstrations under the banner of the </w:t>
      </w:r>
      <w:r w:rsidR="00A633D1">
        <w:t>“</w:t>
      </w:r>
      <w:r w:rsidR="00261231" w:rsidRPr="006636EE">
        <w:t>freedom movement</w:t>
      </w:r>
      <w:r w:rsidR="00A633D1">
        <w:t>”</w:t>
      </w:r>
      <w:r w:rsidR="00261231" w:rsidRPr="006636EE">
        <w:t xml:space="preserve"> saw 1,000 protesters gather outside Auckland’s War Memorial Museum, including gang members, farmers, members of the Destiny Church, the elderly, and children (Hewitt, 2021). Protest visuals showcased an assortment of placards emphasizing freedom</w:t>
      </w:r>
      <w:r w:rsidR="004B3B3B">
        <w:t>, including</w:t>
      </w:r>
      <w:r w:rsidR="00261231" w:rsidRPr="006636EE">
        <w:t xml:space="preserve"> </w:t>
      </w:r>
      <w:r w:rsidR="00F139AF">
        <w:t>“</w:t>
      </w:r>
      <w:r w:rsidR="00261231" w:rsidRPr="006636EE">
        <w:t>#free 2 trade</w:t>
      </w:r>
      <w:r w:rsidR="006C1343">
        <w:t>,”</w:t>
      </w:r>
      <w:r w:rsidR="00F139AF">
        <w:t xml:space="preserve"> “</w:t>
      </w:r>
      <w:r w:rsidR="00261231" w:rsidRPr="006636EE">
        <w:t>#free 2 gather</w:t>
      </w:r>
      <w:r w:rsidR="006C1343">
        <w:t>,”</w:t>
      </w:r>
      <w:r w:rsidR="00F139AF">
        <w:t xml:space="preserve"> “</w:t>
      </w:r>
      <w:r w:rsidR="00261231" w:rsidRPr="006636EE">
        <w:t>#free 2 parent</w:t>
      </w:r>
      <w:r w:rsidR="00F139AF">
        <w:t>”</w:t>
      </w:r>
      <w:r w:rsidR="00261231" w:rsidRPr="006636EE">
        <w:t xml:space="preserve"> and </w:t>
      </w:r>
      <w:r w:rsidR="00F139AF">
        <w:t>“</w:t>
      </w:r>
      <w:r w:rsidR="00261231" w:rsidRPr="006636EE">
        <w:t>#free 2 be me</w:t>
      </w:r>
      <w:r w:rsidR="006C1343">
        <w:t>.”</w:t>
      </w:r>
      <w:r w:rsidR="00261231" w:rsidRPr="006636EE">
        <w:t xml:space="preserve"> Others displayed slogans such as </w:t>
      </w:r>
      <w:r w:rsidR="00F139AF">
        <w:t>“</w:t>
      </w:r>
      <w:r w:rsidR="00261231" w:rsidRPr="006636EE">
        <w:t xml:space="preserve">Ur body does not belong 2 </w:t>
      </w:r>
      <w:proofErr w:type="spellStart"/>
      <w:r w:rsidR="00261231" w:rsidRPr="006636EE">
        <w:t>ur</w:t>
      </w:r>
      <w:proofErr w:type="spellEnd"/>
      <w:r w:rsidR="00261231" w:rsidRPr="006636EE">
        <w:t xml:space="preserve"> employer, school, or government!</w:t>
      </w:r>
      <w:r w:rsidR="00F139AF">
        <w:t>”</w:t>
      </w:r>
      <w:r w:rsidR="00261231" w:rsidRPr="006636EE">
        <w:t xml:space="preserve"> with </w:t>
      </w:r>
      <w:r w:rsidR="00F139AF">
        <w:t>“</w:t>
      </w:r>
      <w:r w:rsidR="00261231" w:rsidRPr="006636EE">
        <w:t>government</w:t>
      </w:r>
      <w:r w:rsidR="00F139AF">
        <w:t>”</w:t>
      </w:r>
      <w:r w:rsidR="00261231" w:rsidRPr="006636EE">
        <w:t xml:space="preserve"> highlighted in red for emphasis, or </w:t>
      </w:r>
      <w:r w:rsidR="00F139AF">
        <w:t>“</w:t>
      </w:r>
      <w:r w:rsidR="00261231" w:rsidRPr="006636EE">
        <w:t xml:space="preserve">We are not your </w:t>
      </w:r>
      <w:r w:rsidR="00261231" w:rsidRPr="006636EE">
        <w:lastRenderedPageBreak/>
        <w:t>guinea pigs!</w:t>
      </w:r>
      <w:r w:rsidR="00F139AF">
        <w:t>”</w:t>
      </w:r>
      <w:r w:rsidR="007130DA" w:rsidRPr="006636EE">
        <w:t xml:space="preserve"> on t-shirts, caps or face masks</w:t>
      </w:r>
      <w:r w:rsidR="00CD0DAC">
        <w:t>—</w:t>
      </w:r>
      <w:r w:rsidR="00261231" w:rsidRPr="006636EE">
        <w:t xml:space="preserve">a critique of what </w:t>
      </w:r>
      <w:r w:rsidR="00127E1B">
        <w:t>protestors regarded</w:t>
      </w:r>
      <w:r w:rsidR="00127E1B" w:rsidRPr="006636EE">
        <w:t xml:space="preserve"> </w:t>
      </w:r>
      <w:r w:rsidR="00261231" w:rsidRPr="006636EE">
        <w:t>as untested vaccinations.</w:t>
      </w:r>
    </w:p>
    <w:p w14:paraId="5ED18E4E" w14:textId="655A47A3" w:rsidR="004B6E39" w:rsidRPr="006636EE" w:rsidRDefault="004B6E39" w:rsidP="00A54D55">
      <w:r w:rsidRPr="006636EE">
        <w:t xml:space="preserve">By November 2021, smaller yet highly vocal protests </w:t>
      </w:r>
      <w:r w:rsidR="005F742E" w:rsidRPr="006636EE">
        <w:t xml:space="preserve">targeted and </w:t>
      </w:r>
      <w:r w:rsidRPr="006636EE">
        <w:t xml:space="preserve">disrupted </w:t>
      </w:r>
      <w:r w:rsidR="003A432A">
        <w:t>the</w:t>
      </w:r>
      <w:r w:rsidR="00764E99">
        <w:t>-</w:t>
      </w:r>
      <w:r w:rsidR="003A432A">
        <w:t xml:space="preserve">then </w:t>
      </w:r>
      <w:r w:rsidRPr="006636EE">
        <w:t xml:space="preserve">Prime Minister Jacinda Ardern’s regional visits (1News, 2021). In </w:t>
      </w:r>
      <w:r w:rsidR="00FA34A3">
        <w:t xml:space="preserve">the small town of </w:t>
      </w:r>
      <w:r w:rsidRPr="006636EE">
        <w:t xml:space="preserve">Whanganui, </w:t>
      </w:r>
      <w:r w:rsidR="005F742E" w:rsidRPr="006636EE">
        <w:t xml:space="preserve">for example, </w:t>
      </w:r>
      <w:r w:rsidRPr="006636EE">
        <w:t xml:space="preserve">demonstrators carried banners with messages like </w:t>
      </w:r>
      <w:r w:rsidR="00F139AF">
        <w:t>“</w:t>
      </w:r>
      <w:r w:rsidRPr="006636EE">
        <w:t>When we trade freedom for safety, we lose both</w:t>
      </w:r>
      <w:r w:rsidR="00F139AF">
        <w:t>”</w:t>
      </w:r>
      <w:r w:rsidRPr="006636EE">
        <w:t xml:space="preserve"> and </w:t>
      </w:r>
      <w:r w:rsidR="00F139AF">
        <w:t>“</w:t>
      </w:r>
      <w:r w:rsidRPr="006636EE">
        <w:t>Toot for freedom</w:t>
      </w:r>
      <w:r w:rsidR="006C1343">
        <w:t>.”</w:t>
      </w:r>
      <w:r w:rsidRPr="006636EE">
        <w:t xml:space="preserve"> Some messages extended beyond vaccination concerns, such as </w:t>
      </w:r>
      <w:r w:rsidR="00F139AF">
        <w:t>“</w:t>
      </w:r>
      <w:r w:rsidRPr="006636EE">
        <w:t>3-waters nah</w:t>
      </w:r>
      <w:r w:rsidR="00F139AF">
        <w:t>”</w:t>
      </w:r>
      <w:r w:rsidR="00FA34A3">
        <w:t xml:space="preserve"> (referring to a controversial water</w:t>
      </w:r>
      <w:r w:rsidR="00371902">
        <w:t xml:space="preserve"> infrastructure reform)</w:t>
      </w:r>
      <w:r w:rsidRPr="006636EE">
        <w:t>, accompanied by the Māori flag</w:t>
      </w:r>
      <w:r w:rsidR="00371902">
        <w:t xml:space="preserve"> (often seen as </w:t>
      </w:r>
      <w:r w:rsidRPr="006636EE">
        <w:t>a symbol of Māori sovereignty</w:t>
      </w:r>
      <w:r w:rsidR="00371902">
        <w:t>)</w:t>
      </w:r>
      <w:r w:rsidRPr="006636EE">
        <w:t xml:space="preserve">. In Christchurch, placards reading </w:t>
      </w:r>
      <w:r w:rsidR="00F139AF">
        <w:t>“</w:t>
      </w:r>
      <w:r w:rsidRPr="006636EE">
        <w:t>My body, my choice</w:t>
      </w:r>
      <w:r w:rsidR="00F139AF">
        <w:t>”</w:t>
      </w:r>
      <w:r w:rsidRPr="006636EE">
        <w:t xml:space="preserve"> and </w:t>
      </w:r>
      <w:r w:rsidR="00F139AF">
        <w:t>“</w:t>
      </w:r>
      <w:r w:rsidRPr="006636EE">
        <w:t>Freedom 2 choose</w:t>
      </w:r>
      <w:r w:rsidR="00F139AF">
        <w:t>”</w:t>
      </w:r>
      <w:r w:rsidRPr="006636EE">
        <w:t xml:space="preserve"> reinforced the growing opposition to government-imposed mandates.</w:t>
      </w:r>
    </w:p>
    <w:p w14:paraId="04B9DCD4" w14:textId="08A2A4DA" w:rsidR="000F48C0" w:rsidRPr="006636EE" w:rsidRDefault="000F48C0" w:rsidP="00A54D55">
      <w:r w:rsidRPr="006636EE">
        <w:t xml:space="preserve">The protests culminated in early 2022 with a globally reported demonstration outside New Zealand’s Parliament in Wellington, known as the Beehive. Protesters camped on the parliamentary grounds, displaying slogans ranging from </w:t>
      </w:r>
      <w:r w:rsidR="005870FE">
        <w:t>“</w:t>
      </w:r>
      <w:r w:rsidRPr="006636EE">
        <w:t>Freedom over fear</w:t>
      </w:r>
      <w:r w:rsidR="005870FE">
        <w:t>”</w:t>
      </w:r>
      <w:r w:rsidRPr="006636EE">
        <w:t xml:space="preserve"> and </w:t>
      </w:r>
      <w:r w:rsidR="005870FE">
        <w:t>“</w:t>
      </w:r>
      <w:r w:rsidRPr="006636EE">
        <w:t>Leave our kids alone</w:t>
      </w:r>
      <w:r w:rsidR="005870FE">
        <w:t>”</w:t>
      </w:r>
      <w:r w:rsidRPr="006636EE">
        <w:t xml:space="preserve"> to anti-racism messages and</w:t>
      </w:r>
      <w:r w:rsidR="005870FE">
        <w:t xml:space="preserve"> popular</w:t>
      </w:r>
      <w:r w:rsidRPr="006636EE">
        <w:t xml:space="preserve"> cultural references such as </w:t>
      </w:r>
      <w:r w:rsidR="00F139AF">
        <w:t>“</w:t>
      </w:r>
      <w:r w:rsidRPr="006636EE">
        <w:t>One love Bob Marley</w:t>
      </w:r>
      <w:r w:rsidR="006C1343">
        <w:t>.”</w:t>
      </w:r>
    </w:p>
    <w:p w14:paraId="69596730" w14:textId="6D2E8439" w:rsidR="000F48C0" w:rsidRPr="006636EE" w:rsidRDefault="000F48C0" w:rsidP="00A54D55">
      <w:r w:rsidRPr="006636EE">
        <w:t>These developments illustrate</w:t>
      </w:r>
      <w:r w:rsidR="005870FE">
        <w:t>d</w:t>
      </w:r>
      <w:r w:rsidRPr="006636EE">
        <w:t xml:space="preserve"> how COVID-19 vaccination mandates </w:t>
      </w:r>
      <w:r w:rsidR="00E31515" w:rsidRPr="006636EE">
        <w:t>catalysed</w:t>
      </w:r>
      <w:r w:rsidRPr="006636EE">
        <w:t xml:space="preserve"> a diverse and loosely connected </w:t>
      </w:r>
      <w:r w:rsidR="005870FE">
        <w:t>“</w:t>
      </w:r>
      <w:r w:rsidRPr="006636EE">
        <w:t>movement</w:t>
      </w:r>
      <w:r w:rsidR="006C1343">
        <w:t>,”</w:t>
      </w:r>
      <w:r w:rsidRPr="006636EE">
        <w:t xml:space="preserve"> which appropriated existing political rhetoric and social justice language to frame its resistance. The convergence of disparate groups under a shared call for </w:t>
      </w:r>
      <w:r w:rsidR="00701036">
        <w:t>“</w:t>
      </w:r>
      <w:r w:rsidRPr="006636EE">
        <w:t>freedom</w:t>
      </w:r>
      <w:r w:rsidR="00701036">
        <w:t>”</w:t>
      </w:r>
      <w:r w:rsidRPr="006636EE">
        <w:t xml:space="preserve"> </w:t>
      </w:r>
      <w:r w:rsidR="00BF1BFA" w:rsidRPr="006636EE">
        <w:t>emphasizes</w:t>
      </w:r>
      <w:r w:rsidRPr="006636EE">
        <w:t xml:space="preserve"> the complexity of modern protest movements, challenging simplistic media narratives that homogenize their composition and objectives.</w:t>
      </w:r>
    </w:p>
    <w:p w14:paraId="17AD23F1" w14:textId="1469DB92" w:rsidR="00DF7A79" w:rsidRPr="006636EE" w:rsidRDefault="44BFE689" w:rsidP="00A54D55">
      <w:pPr>
        <w:pStyle w:val="Heading1"/>
      </w:pPr>
      <w:r w:rsidRPr="006636EE">
        <w:lastRenderedPageBreak/>
        <w:t>Discussion</w:t>
      </w:r>
    </w:p>
    <w:p w14:paraId="25C4AEC1" w14:textId="1E8EEBC5" w:rsidR="00495ECE" w:rsidRDefault="00B01505" w:rsidP="00A54D55">
      <w:r w:rsidRPr="006636EE">
        <w:t>While brandjacking has typically been understood in the context of commercial brands</w:t>
      </w:r>
      <w:r w:rsidR="007D0FEE" w:rsidRPr="006636EE">
        <w:t xml:space="preserve"> (Langley, 2016), this study </w:t>
      </w:r>
      <w:r w:rsidR="00FA2B78">
        <w:t xml:space="preserve">aims to </w:t>
      </w:r>
      <w:r w:rsidR="007D0FEE" w:rsidRPr="006636EE">
        <w:t xml:space="preserve">demonstrate its applicability to social movements. </w:t>
      </w:r>
      <w:r w:rsidR="00081EFA">
        <w:t>In response to</w:t>
      </w:r>
      <w:r w:rsidR="00081EFA" w:rsidRPr="006636EE">
        <w:t xml:space="preserve"> </w:t>
      </w:r>
      <w:r w:rsidR="007D0FEE" w:rsidRPr="006636EE">
        <w:t xml:space="preserve">the global COVID-19 </w:t>
      </w:r>
      <w:r w:rsidR="00FA2B78">
        <w:t>restrictions</w:t>
      </w:r>
      <w:r w:rsidR="00FA2B78" w:rsidRPr="006636EE">
        <w:t xml:space="preserve"> </w:t>
      </w:r>
      <w:r w:rsidR="007D0FEE" w:rsidRPr="006636EE">
        <w:t>and vaccine mandates, the antivax movement hijacked the feminist slogan “</w:t>
      </w:r>
      <w:r w:rsidR="00410D55">
        <w:t>m</w:t>
      </w:r>
      <w:r w:rsidR="007D0FEE" w:rsidRPr="006636EE">
        <w:t>y body, my choice</w:t>
      </w:r>
      <w:r w:rsidR="002A5F3C">
        <w:t>”</w:t>
      </w:r>
      <w:r w:rsidR="00081EFA">
        <w:t xml:space="preserve"> to protest government decisions</w:t>
      </w:r>
      <w:r w:rsidR="002A5F3C">
        <w:t>,</w:t>
      </w:r>
      <w:r w:rsidR="007D0FEE" w:rsidRPr="006636EE">
        <w:t xml:space="preserve"> repurposing </w:t>
      </w:r>
      <w:r w:rsidR="00410D55">
        <w:t>the slogan’s</w:t>
      </w:r>
      <w:r w:rsidR="00410D55" w:rsidRPr="006636EE">
        <w:t xml:space="preserve"> </w:t>
      </w:r>
      <w:r w:rsidR="007D0FEE" w:rsidRPr="006636EE">
        <w:t xml:space="preserve">symbolic power to support opposition to public health measures. In doing so, </w:t>
      </w:r>
      <w:r w:rsidR="005449D3">
        <w:t xml:space="preserve">the movement effectively </w:t>
      </w:r>
      <w:r w:rsidR="007D0FEE" w:rsidRPr="006636EE">
        <w:t xml:space="preserve">undermined decades of advocacy for women’s bodily autonomy and reframed a feminist demand for reproductive rights into a </w:t>
      </w:r>
      <w:proofErr w:type="gramStart"/>
      <w:r w:rsidR="007D0FEE" w:rsidRPr="006636EE">
        <w:t>protest against</w:t>
      </w:r>
      <w:proofErr w:type="gramEnd"/>
      <w:r w:rsidR="007D0FEE" w:rsidRPr="006636EE">
        <w:t xml:space="preserve"> collective responsibility.</w:t>
      </w:r>
      <w:r w:rsidRPr="006636EE">
        <w:t xml:space="preserve"> </w:t>
      </w:r>
    </w:p>
    <w:p w14:paraId="7E547AFE" w14:textId="665ECE77" w:rsidR="00C97B92" w:rsidRPr="006636EE" w:rsidRDefault="00495ECE" w:rsidP="00A54D55">
      <w:r>
        <w:t>B</w:t>
      </w:r>
      <w:r w:rsidR="0E3FA994" w:rsidRPr="006636EE">
        <w:t xml:space="preserve">randjacking </w:t>
      </w:r>
      <w:r>
        <w:t xml:space="preserve">thus </w:t>
      </w:r>
      <w:r w:rsidR="00875B02">
        <w:t>became</w:t>
      </w:r>
      <w:r w:rsidR="00875B02" w:rsidRPr="006636EE">
        <w:t xml:space="preserve"> </w:t>
      </w:r>
      <w:r w:rsidR="0E3FA994" w:rsidRPr="006636EE">
        <w:t xml:space="preserve">a relatively low-cost strategy for the COVID-19 </w:t>
      </w:r>
      <w:r w:rsidR="005B2E7B" w:rsidRPr="006636EE">
        <w:t>antivax</w:t>
      </w:r>
      <w:r w:rsidR="0E3FA994" w:rsidRPr="006636EE">
        <w:t xml:space="preserve"> movement, enabling </w:t>
      </w:r>
      <w:r w:rsidR="00875B02">
        <w:t xml:space="preserve">its </w:t>
      </w:r>
      <w:r w:rsidR="00AE1123">
        <w:t>“</w:t>
      </w:r>
      <w:r w:rsidR="00875B02">
        <w:t>members</w:t>
      </w:r>
      <w:r w:rsidR="00AE1123">
        <w:t>”</w:t>
      </w:r>
      <w:r w:rsidR="0E3FA994" w:rsidRPr="006636EE">
        <w:t xml:space="preserve"> to benefit </w:t>
      </w:r>
      <w:r w:rsidR="3599F35C" w:rsidRPr="006636EE">
        <w:t xml:space="preserve">from extant work, </w:t>
      </w:r>
      <w:r w:rsidR="00740D37">
        <w:t xml:space="preserve">and the accompanied </w:t>
      </w:r>
      <w:r w:rsidR="3599F35C" w:rsidRPr="006636EE">
        <w:t>recognition and reputation</w:t>
      </w:r>
      <w:r w:rsidR="00740D37">
        <w:t>. B</w:t>
      </w:r>
      <w:r w:rsidR="3599F35C" w:rsidRPr="006636EE">
        <w:t xml:space="preserve">y coopting an existing, established </w:t>
      </w:r>
      <w:r w:rsidR="00740D37">
        <w:t xml:space="preserve">(feminist) </w:t>
      </w:r>
      <w:r w:rsidR="3599F35C" w:rsidRPr="006636EE">
        <w:t>movement’s social capital</w:t>
      </w:r>
      <w:r w:rsidR="00740D37">
        <w:t xml:space="preserve">, </w:t>
      </w:r>
      <w:r w:rsidR="29AF35DE" w:rsidRPr="006636EE">
        <w:t xml:space="preserve">they literally </w:t>
      </w:r>
      <w:r w:rsidR="00A32C1B" w:rsidRPr="006636EE">
        <w:t xml:space="preserve">drew </w:t>
      </w:r>
      <w:r w:rsidR="29AF35DE" w:rsidRPr="006636EE">
        <w:t xml:space="preserve">in audiences and potential protesters based on the </w:t>
      </w:r>
      <w:r w:rsidR="00515833">
        <w:t xml:space="preserve">slogan’s </w:t>
      </w:r>
      <w:r w:rsidR="29AF35DE" w:rsidRPr="006636EE">
        <w:t xml:space="preserve">recognisability and </w:t>
      </w:r>
      <w:r w:rsidR="00515833">
        <w:t xml:space="preserve">its </w:t>
      </w:r>
      <w:r w:rsidR="29AF35DE" w:rsidRPr="006636EE">
        <w:t xml:space="preserve">related, </w:t>
      </w:r>
      <w:r w:rsidR="00515833" w:rsidRPr="006636EE">
        <w:t>universally</w:t>
      </w:r>
      <w:r w:rsidR="29AF35DE" w:rsidRPr="006636EE">
        <w:t xml:space="preserve"> recognised </w:t>
      </w:r>
      <w:r w:rsidR="1221A228" w:rsidRPr="006636EE">
        <w:t>messaging.</w:t>
      </w:r>
      <w:r w:rsidR="7DD09599" w:rsidRPr="006636EE">
        <w:t xml:space="preserve"> </w:t>
      </w:r>
      <w:r w:rsidR="00050774">
        <w:t>A</w:t>
      </w:r>
      <w:r w:rsidR="00C97B92" w:rsidRPr="006636EE">
        <w:t xml:space="preserve">dopting </w:t>
      </w:r>
      <w:r w:rsidR="00050774">
        <w:t>the</w:t>
      </w:r>
      <w:r w:rsidR="00050774" w:rsidRPr="006636EE">
        <w:t xml:space="preserve"> </w:t>
      </w:r>
      <w:r w:rsidR="00C97B92" w:rsidRPr="006636EE">
        <w:t xml:space="preserve">familiar slogan </w:t>
      </w:r>
      <w:r w:rsidR="00050774">
        <w:t xml:space="preserve">“my body, my choice” </w:t>
      </w:r>
      <w:r w:rsidR="00C97B92" w:rsidRPr="006636EE">
        <w:t xml:space="preserve">with </w:t>
      </w:r>
      <w:r w:rsidR="00B35587">
        <w:t xml:space="preserve">its </w:t>
      </w:r>
      <w:r w:rsidR="00C97B92" w:rsidRPr="006636EE">
        <w:t>strong emotional and cultural associations,</w:t>
      </w:r>
      <w:r w:rsidR="00B35587">
        <w:t xml:space="preserve"> allowed</w:t>
      </w:r>
      <w:r w:rsidR="00C97B92" w:rsidRPr="006636EE">
        <w:t xml:space="preserve"> the antivax movement </w:t>
      </w:r>
      <w:r w:rsidR="00B35587">
        <w:t xml:space="preserve">to </w:t>
      </w:r>
      <w:r w:rsidR="00C97B92" w:rsidRPr="006636EE">
        <w:t>benefit from the feminist movement’s existing social capital. The</w:t>
      </w:r>
      <w:r w:rsidR="00CD0408">
        <w:t xml:space="preserve"> slogan’s</w:t>
      </w:r>
      <w:r w:rsidR="00C97B92" w:rsidRPr="006636EE">
        <w:t xml:space="preserve"> recognisability</w:t>
      </w:r>
      <w:r w:rsidR="00D12933">
        <w:t xml:space="preserve"> </w:t>
      </w:r>
      <w:r w:rsidR="00272EA9">
        <w:t xml:space="preserve">arguably </w:t>
      </w:r>
      <w:r w:rsidR="00C97B92" w:rsidRPr="006636EE">
        <w:t>lowered resistance among observers and provided a rhetorical bridge to reach new, potentially sympathetic audiences</w:t>
      </w:r>
      <w:r w:rsidR="00E83152" w:rsidRPr="006636EE">
        <w:t xml:space="preserve"> by</w:t>
      </w:r>
      <w:r w:rsidR="00B664B5" w:rsidRPr="006636EE">
        <w:t xml:space="preserve"> drawing on each of its member’s networks, providing the protest movement with the backing of the collectively owned capital sourced from both active participants and bystanders</w:t>
      </w:r>
      <w:r w:rsidR="00C97B92" w:rsidRPr="006636EE">
        <w:t xml:space="preserve">. This strategy echoed what Wolf and Theunissen (2023) described as the creation of “temporary momentum” (p. 6), though in this case, </w:t>
      </w:r>
      <w:r w:rsidR="00880E2A">
        <w:t xml:space="preserve">the </w:t>
      </w:r>
      <w:r w:rsidR="00693608">
        <w:t>energy</w:t>
      </w:r>
      <w:r w:rsidR="00880E2A">
        <w:t xml:space="preserve"> was arguably </w:t>
      </w:r>
      <w:r w:rsidR="00693608">
        <w:t xml:space="preserve">expended </w:t>
      </w:r>
      <w:r w:rsidR="00C97B92" w:rsidRPr="006636EE">
        <w:t xml:space="preserve">in pursuit of </w:t>
      </w:r>
      <w:r w:rsidR="00693608">
        <w:t>conservative</w:t>
      </w:r>
      <w:r w:rsidR="00B664B5" w:rsidRPr="006636EE">
        <w:t xml:space="preserve"> rather than </w:t>
      </w:r>
      <w:r w:rsidR="00423011">
        <w:t>progressive</w:t>
      </w:r>
      <w:r w:rsidR="00C97B92" w:rsidRPr="006636EE">
        <w:t xml:space="preserve"> goals.</w:t>
      </w:r>
    </w:p>
    <w:p w14:paraId="03AF090E" w14:textId="12F87410" w:rsidR="000F7774" w:rsidRPr="006636EE" w:rsidRDefault="00F5679F" w:rsidP="00A54D55">
      <w:r w:rsidRPr="006636EE">
        <w:lastRenderedPageBreak/>
        <w:t xml:space="preserve">The visual co-option of this slogan became especially </w:t>
      </w:r>
      <w:r w:rsidR="001555FA" w:rsidRPr="006636EE">
        <w:t>discernible</w:t>
      </w:r>
      <w:r w:rsidRPr="006636EE">
        <w:t xml:space="preserve"> when male protestors held placards at rallies in Australia and New Zealand that echoed </w:t>
      </w:r>
      <w:r w:rsidR="00553FBA">
        <w:t xml:space="preserve">the </w:t>
      </w:r>
      <w:r w:rsidRPr="006636EE">
        <w:t xml:space="preserve">feminist phrasing </w:t>
      </w:r>
      <w:r w:rsidR="00D74122">
        <w:t xml:space="preserve">“my body, my choice” </w:t>
      </w:r>
      <w:r w:rsidRPr="006636EE">
        <w:t xml:space="preserve">in opposition to vaccine mandates </w:t>
      </w:r>
      <w:r w:rsidR="0FE92157" w:rsidRPr="006636EE">
        <w:t>(</w:t>
      </w:r>
      <w:r w:rsidR="17AF7352" w:rsidRPr="006636EE">
        <w:t>McLeod, 2021</w:t>
      </w:r>
      <w:r w:rsidR="15F7F903" w:rsidRPr="006636EE">
        <w:t>; The Australian, 2021</w:t>
      </w:r>
      <w:r w:rsidR="17AF7352" w:rsidRPr="006636EE">
        <w:t>)</w:t>
      </w:r>
      <w:r w:rsidR="7E8307A2" w:rsidRPr="006636EE">
        <w:t>.</w:t>
      </w:r>
      <w:r w:rsidR="00351812" w:rsidRPr="006636EE">
        <w:t xml:space="preserve"> </w:t>
      </w:r>
      <w:r w:rsidR="00BA5443" w:rsidRPr="006636EE">
        <w:t>Indeed, a close analysis of anti-mandate and so called (pro-)freedom protest media coverage and ethnographic insights suggests that the co-option of the “my body, my choice” slogan</w:t>
      </w:r>
      <w:r w:rsidR="00E071C1">
        <w:t>—</w:t>
      </w:r>
      <w:r w:rsidR="00BA5443" w:rsidRPr="006636EE">
        <w:t>both in writing and as a chant (ABC News, 2021a)</w:t>
      </w:r>
      <w:r w:rsidR="00E071C1">
        <w:t>—</w:t>
      </w:r>
      <w:r w:rsidR="00BA5443" w:rsidRPr="006636EE">
        <w:t xml:space="preserve">was a popular choice among protesters across Oceania and beyond, alongside explicit references to human rights, pro-choice advocacy (“Not Anti-Vax–Pro Choice”) and bodily autonomy (“Hands off my body”). </w:t>
      </w:r>
      <w:r w:rsidR="000F7774" w:rsidRPr="006636EE">
        <w:t xml:space="preserve">These messages frequently invoked human rights and bodily autonomy, reframing the protest as a broader pro-choice cause. </w:t>
      </w:r>
    </w:p>
    <w:p w14:paraId="42A01D31" w14:textId="0E85592C" w:rsidR="00B14955" w:rsidRPr="006636EE" w:rsidRDefault="7941F43C" w:rsidP="00A54D55">
      <w:pPr>
        <w:rPr>
          <w14:ligatures w14:val="standardContextual"/>
        </w:rPr>
      </w:pPr>
      <w:r w:rsidRPr="006636EE">
        <w:t xml:space="preserve">Examining language </w:t>
      </w:r>
      <w:r w:rsidR="00FE755B">
        <w:t>allows</w:t>
      </w:r>
      <w:r w:rsidR="00410B4C">
        <w:t xml:space="preserve"> observers to gain </w:t>
      </w:r>
      <w:r w:rsidR="002747FF">
        <w:t xml:space="preserve">a </w:t>
      </w:r>
      <w:r w:rsidR="00410B4C">
        <w:t>deeper</w:t>
      </w:r>
      <w:r w:rsidRPr="006636EE">
        <w:t xml:space="preserve"> understanding </w:t>
      </w:r>
      <w:r w:rsidR="00410B4C">
        <w:t xml:space="preserve">of </w:t>
      </w:r>
      <w:r w:rsidR="002747FF">
        <w:t xml:space="preserve">the </w:t>
      </w:r>
      <w:r w:rsidR="00410B4C">
        <w:t xml:space="preserve">drivers </w:t>
      </w:r>
      <w:r w:rsidR="000C6077">
        <w:t xml:space="preserve">for </w:t>
      </w:r>
      <w:r w:rsidR="000C6077" w:rsidRPr="006636EE">
        <w:t>social</w:t>
      </w:r>
      <w:r w:rsidRPr="006636EE">
        <w:t xml:space="preserve"> movements and how these movements conceptualise their purpose</w:t>
      </w:r>
      <w:r w:rsidR="000C6077">
        <w:t>,</w:t>
      </w:r>
      <w:r w:rsidRPr="006636EE">
        <w:t xml:space="preserve"> or how they are framed in the media</w:t>
      </w:r>
      <w:r w:rsidR="00CE7BBF" w:rsidRPr="006636EE">
        <w:t xml:space="preserve">. </w:t>
      </w:r>
      <w:r w:rsidR="00571343" w:rsidRPr="006636EE">
        <w:t xml:space="preserve">Language </w:t>
      </w:r>
      <w:r w:rsidR="6CCEC859" w:rsidRPr="006636EE">
        <w:t xml:space="preserve">is </w:t>
      </w:r>
      <w:r w:rsidR="00A64CD3">
        <w:t>never</w:t>
      </w:r>
      <w:r w:rsidR="00A64CD3" w:rsidRPr="006636EE">
        <w:t xml:space="preserve"> </w:t>
      </w:r>
      <w:r w:rsidR="69913862" w:rsidRPr="006636EE">
        <w:t>an empty container</w:t>
      </w:r>
      <w:r w:rsidR="00DD4692" w:rsidRPr="006636EE">
        <w:t>, devoid of meaning</w:t>
      </w:r>
      <w:r w:rsidRPr="006636EE">
        <w:t xml:space="preserve">. </w:t>
      </w:r>
      <w:r w:rsidR="00E1162C" w:rsidRPr="006636EE">
        <w:t xml:space="preserve">It is a powerful tool in social movements, shaping public perception and framing </w:t>
      </w:r>
      <w:r w:rsidR="00A64CD3">
        <w:t xml:space="preserve">a movement’s </w:t>
      </w:r>
      <w:r w:rsidR="00E1162C" w:rsidRPr="006636EE">
        <w:t xml:space="preserve">legitimacy. </w:t>
      </w:r>
      <w:r w:rsidRPr="006636EE">
        <w:t>A</w:t>
      </w:r>
      <w:r w:rsidR="426C7EB0" w:rsidRPr="006636EE">
        <w:t xml:space="preserve">s </w:t>
      </w:r>
      <w:r w:rsidR="2E0B3D63" w:rsidRPr="006636EE">
        <w:t>Jenson</w:t>
      </w:r>
      <w:r w:rsidR="426C7EB0" w:rsidRPr="006636EE">
        <w:t xml:space="preserve"> </w:t>
      </w:r>
      <w:r w:rsidR="4BAF87F1" w:rsidRPr="006636EE">
        <w:t>(</w:t>
      </w:r>
      <w:r w:rsidR="40CAA956" w:rsidRPr="006636EE">
        <w:t>2015</w:t>
      </w:r>
      <w:r w:rsidR="4BAF87F1" w:rsidRPr="006636EE">
        <w:t xml:space="preserve">) </w:t>
      </w:r>
      <w:r w:rsidR="00427916" w:rsidRPr="006636EE">
        <w:t>note</w:t>
      </w:r>
      <w:r w:rsidR="00A64CD3">
        <w:t>d</w:t>
      </w:r>
      <w:r w:rsidR="00DD4692" w:rsidRPr="006636EE">
        <w:t>,</w:t>
      </w:r>
      <w:r w:rsidR="44BFE689" w:rsidRPr="006636EE">
        <w:t xml:space="preserve"> </w:t>
      </w:r>
      <w:r w:rsidR="68EA16B3" w:rsidRPr="006636EE">
        <w:rPr>
          <w14:ligatures w14:val="standardContextual"/>
        </w:rPr>
        <w:t>language</w:t>
      </w:r>
      <w:r w:rsidR="426C7EB0" w:rsidRPr="006636EE">
        <w:rPr>
          <w14:ligatures w14:val="standardContextual"/>
        </w:rPr>
        <w:t xml:space="preserve"> can serve “to naturali</w:t>
      </w:r>
      <w:r w:rsidR="00B14955" w:rsidRPr="006636EE">
        <w:rPr>
          <w14:ligatures w14:val="standardContextual"/>
        </w:rPr>
        <w:t>s</w:t>
      </w:r>
      <w:r w:rsidR="426C7EB0" w:rsidRPr="006636EE">
        <w:rPr>
          <w14:ligatures w14:val="standardContextual"/>
        </w:rPr>
        <w:t>e particular worldviews, while obscuring others”</w:t>
      </w:r>
      <w:r w:rsidR="68EA16B3" w:rsidRPr="006636EE">
        <w:rPr>
          <w14:ligatures w14:val="standardContextual"/>
        </w:rPr>
        <w:t xml:space="preserve"> (p.</w:t>
      </w:r>
      <w:r w:rsidR="00B14955" w:rsidRPr="006636EE">
        <w:rPr>
          <w14:ligatures w14:val="standardContextual"/>
        </w:rPr>
        <w:t xml:space="preserve"> </w:t>
      </w:r>
      <w:r w:rsidR="68EA16B3" w:rsidRPr="006636EE">
        <w:rPr>
          <w14:ligatures w14:val="standardContextual"/>
        </w:rPr>
        <w:t>570)</w:t>
      </w:r>
      <w:r w:rsidR="44BFE689" w:rsidRPr="006636EE">
        <w:rPr>
          <w14:ligatures w14:val="standardContextual"/>
        </w:rPr>
        <w:t>.</w:t>
      </w:r>
      <w:r w:rsidR="5FF190AC" w:rsidRPr="006636EE">
        <w:rPr>
          <w14:ligatures w14:val="standardContextual"/>
        </w:rPr>
        <w:t xml:space="preserve"> This ability of language arguably becomes contentious </w:t>
      </w:r>
      <w:r w:rsidR="1A5B5036" w:rsidRPr="006636EE">
        <w:rPr>
          <w14:ligatures w14:val="standardContextual"/>
        </w:rPr>
        <w:t>when slogans that represent hard-earned rights are used in a</w:t>
      </w:r>
      <w:r w:rsidR="6651489B" w:rsidRPr="006636EE">
        <w:rPr>
          <w14:ligatures w14:val="standardContextual"/>
        </w:rPr>
        <w:t xml:space="preserve"> </w:t>
      </w:r>
      <w:r w:rsidR="5FF190AC" w:rsidRPr="006636EE">
        <w:rPr>
          <w14:ligatures w14:val="standardContextual"/>
        </w:rPr>
        <w:t>way</w:t>
      </w:r>
      <w:r w:rsidR="1A5B5036" w:rsidRPr="006636EE">
        <w:rPr>
          <w14:ligatures w14:val="standardContextual"/>
        </w:rPr>
        <w:t xml:space="preserve"> </w:t>
      </w:r>
      <w:r w:rsidR="184C7254" w:rsidRPr="006636EE">
        <w:rPr>
          <w14:ligatures w14:val="standardContextual"/>
        </w:rPr>
        <w:t xml:space="preserve">that </w:t>
      </w:r>
      <w:r w:rsidR="00A14D4D" w:rsidRPr="006636EE">
        <w:rPr>
          <w14:ligatures w14:val="standardContextual"/>
        </w:rPr>
        <w:t>distorts, undermines</w:t>
      </w:r>
      <w:r w:rsidR="6BA02901" w:rsidRPr="006636EE">
        <w:rPr>
          <w14:ligatures w14:val="standardContextual"/>
        </w:rPr>
        <w:t xml:space="preserve"> </w:t>
      </w:r>
      <w:r w:rsidR="174477B0" w:rsidRPr="006636EE">
        <w:rPr>
          <w14:ligatures w14:val="standardContextual"/>
        </w:rPr>
        <w:t xml:space="preserve">and ultimately hijacks </w:t>
      </w:r>
      <w:r w:rsidR="6BA02901" w:rsidRPr="006636EE">
        <w:rPr>
          <w14:ligatures w14:val="standardContextual"/>
        </w:rPr>
        <w:t>their</w:t>
      </w:r>
      <w:r w:rsidR="6651489B" w:rsidRPr="006636EE">
        <w:rPr>
          <w14:ligatures w14:val="standardContextual"/>
        </w:rPr>
        <w:t xml:space="preserve"> original meaning.</w:t>
      </w:r>
      <w:r w:rsidR="2C3B719F" w:rsidRPr="006636EE">
        <w:rPr>
          <w14:ligatures w14:val="standardContextual"/>
        </w:rPr>
        <w:t xml:space="preserve"> </w:t>
      </w:r>
    </w:p>
    <w:p w14:paraId="3F0618A9" w14:textId="50420F8C" w:rsidR="00A6175B" w:rsidRPr="006636EE" w:rsidRDefault="00B14955" w:rsidP="00A54D55">
      <w:pPr>
        <w:pStyle w:val="Heading2"/>
        <w:rPr>
          <w:rFonts w:cs="Times New Roman"/>
          <w14:ligatures w14:val="standardContextual"/>
        </w:rPr>
      </w:pPr>
      <w:r w:rsidRPr="006636EE">
        <w:rPr>
          <w:rFonts w:cs="Times New Roman"/>
        </w:rPr>
        <w:t>Appealing to a Wider Audience</w:t>
      </w:r>
    </w:p>
    <w:p w14:paraId="25394B8D" w14:textId="4DD1B10C" w:rsidR="4FC8A0E7" w:rsidRPr="006636EE" w:rsidRDefault="00C44B46" w:rsidP="00A54D55">
      <w:r w:rsidRPr="006636EE">
        <w:t xml:space="preserve">The proliferation of protest messaging via social and news media enables </w:t>
      </w:r>
      <w:r w:rsidR="0029599C">
        <w:t xml:space="preserve">contemporary social </w:t>
      </w:r>
      <w:r w:rsidRPr="006636EE">
        <w:t xml:space="preserve">movements to amplify their reach beyond physical gatherings. As Van de Velde (2022) </w:t>
      </w:r>
      <w:r w:rsidR="0029599C">
        <w:t>reasoned</w:t>
      </w:r>
      <w:r w:rsidRPr="006636EE">
        <w:t xml:space="preserve">, slogans are increasingly personalised and designed to engage diverse audiences. </w:t>
      </w:r>
      <w:r w:rsidR="00DB14D3" w:rsidRPr="006636EE">
        <w:t xml:space="preserve">Though originally created for co-protesters, bystanders and audiences of </w:t>
      </w:r>
      <w:r w:rsidR="00DB14D3" w:rsidRPr="006636EE">
        <w:lastRenderedPageBreak/>
        <w:t xml:space="preserve">street protests (Branagan, 2007), such protest messages now have the potential to overcome geographical boundaries. Consequently, the visibility of what was originally an in-person protest becomes irrelevant, as does its size, if the impression of a </w:t>
      </w:r>
      <w:r w:rsidR="006D132E" w:rsidRPr="006636EE">
        <w:t>large</w:t>
      </w:r>
      <w:r w:rsidR="00DB14D3" w:rsidRPr="006636EE">
        <w:t xml:space="preserve"> protest movement can be conveyed via social and mainstream media. </w:t>
      </w:r>
      <w:r w:rsidR="000D5767">
        <w:t>In a contemporary world where social media is ubiquitous, p</w:t>
      </w:r>
      <w:r w:rsidRPr="006636EE">
        <w:t>rotest placards and social media posts operate as mobile messages, often created for virality and memetic spread</w:t>
      </w:r>
      <w:r w:rsidR="008D1611" w:rsidRPr="006636EE">
        <w:t xml:space="preserve"> well beyond the immediate protest</w:t>
      </w:r>
      <w:r w:rsidRPr="006636EE">
        <w:t>.</w:t>
      </w:r>
      <w:r w:rsidR="69913862" w:rsidRPr="006636EE">
        <w:t xml:space="preserve"> </w:t>
      </w:r>
    </w:p>
    <w:p w14:paraId="5259DA2B" w14:textId="3CF747F6" w:rsidR="005D6F21" w:rsidRPr="006636EE" w:rsidRDefault="005D6F21" w:rsidP="00A54D55">
      <w:r w:rsidRPr="006636EE">
        <w:t xml:space="preserve">Van de Velde’s (2022) three categories of protest messages—demands, proclamations, and mobilisation—help to clarify how the antivax movement communicated its agenda. “Ban the Mandates” and “End the Lockdowns” </w:t>
      </w:r>
      <w:r w:rsidR="003B3755">
        <w:t>can be described as</w:t>
      </w:r>
      <w:r w:rsidR="003B3755" w:rsidRPr="006636EE">
        <w:t xml:space="preserve"> </w:t>
      </w:r>
      <w:r w:rsidRPr="006636EE">
        <w:t>demand messages aimed at authorities. “Say No!” and “Join the Revolution” function</w:t>
      </w:r>
      <w:r w:rsidR="003B3755">
        <w:t>ed</w:t>
      </w:r>
      <w:r w:rsidRPr="006636EE">
        <w:t xml:space="preserve"> as proclamations designed to recruit and legitimise. Mobilisation messages like “We are Voices for Freedom” and “My Body, My Choice” foster internal solidarity while simultaneously attracting broader support by evoking widely understood ideals of autonomy and empowerment.</w:t>
      </w:r>
    </w:p>
    <w:p w14:paraId="707D0DD4" w14:textId="129B32CB" w:rsidR="4FC8A0E7" w:rsidRPr="006636EE" w:rsidRDefault="006A4F92" w:rsidP="00A54D55">
      <w:r>
        <w:t>Besides mobilising audiences, however, t</w:t>
      </w:r>
      <w:r w:rsidR="00BF4468" w:rsidRPr="006636EE">
        <w:t xml:space="preserve">he strategic reframing of “My Body, My Choice” </w:t>
      </w:r>
      <w:r w:rsidR="00D03A86">
        <w:t xml:space="preserve">arguably </w:t>
      </w:r>
      <w:r w:rsidR="00BF4468" w:rsidRPr="006636EE">
        <w:t>fulfilled all three functions: it demanded a rollback of mandates, appealed to a mass audience through shared values, and reinforced in-group identity. The familiarity of the slogan helped normalise the antivax agenda</w:t>
      </w:r>
      <w:r w:rsidR="00FB5E89">
        <w:t xml:space="preserve"> and increased </w:t>
      </w:r>
      <w:r w:rsidR="00E80802">
        <w:t>its</w:t>
      </w:r>
      <w:r w:rsidR="004517B2">
        <w:t xml:space="preserve"> </w:t>
      </w:r>
      <w:r w:rsidR="00FB5E89">
        <w:t>persuasiveness</w:t>
      </w:r>
      <w:r w:rsidR="004517B2">
        <w:t xml:space="preserve"> </w:t>
      </w:r>
      <w:r w:rsidR="00FB5E89">
        <w:t xml:space="preserve">(Pullman, </w:t>
      </w:r>
      <w:r w:rsidR="00FD01FD">
        <w:t>2013)</w:t>
      </w:r>
      <w:r w:rsidR="00E80802">
        <w:t xml:space="preserve">, </w:t>
      </w:r>
      <w:r w:rsidR="00BF4468" w:rsidRPr="006636EE">
        <w:t>repurposing a feminist call for bodily agency into a vehicle for individualist, anti-collectivist sentiment. In individualistic societies like Australia and New Zealand, appeals to liberty and personal rights were particularly resonant, even when used by non-progressive movements.</w:t>
      </w:r>
      <w:r w:rsidR="69913862" w:rsidRPr="006636EE">
        <w:t xml:space="preserve"> In adopting the “my body, my choice</w:t>
      </w:r>
      <w:r w:rsidR="00476D89" w:rsidRPr="006636EE">
        <w:t>”</w:t>
      </w:r>
      <w:r w:rsidR="69913862" w:rsidRPr="006636EE">
        <w:t xml:space="preserve"> slogan, the </w:t>
      </w:r>
      <w:r w:rsidR="005B2E7B" w:rsidRPr="006636EE">
        <w:t>antivax</w:t>
      </w:r>
      <w:r w:rsidR="69913862" w:rsidRPr="006636EE">
        <w:t xml:space="preserve"> movement exploited the global recognisability of an established and well-known social justice campaign</w:t>
      </w:r>
      <w:r w:rsidR="44AEB25E" w:rsidRPr="006636EE">
        <w:t xml:space="preserve"> </w:t>
      </w:r>
      <w:r w:rsidR="69913862" w:rsidRPr="006636EE">
        <w:t>by reframing it to suit their own agenda</w:t>
      </w:r>
      <w:r w:rsidR="00A76FAB" w:rsidRPr="006636EE">
        <w:t xml:space="preserve"> and </w:t>
      </w:r>
      <w:r w:rsidR="69913862" w:rsidRPr="006636EE">
        <w:t>increase reach.</w:t>
      </w:r>
      <w:r w:rsidR="351E76B1" w:rsidRPr="006636EE">
        <w:t xml:space="preserve"> </w:t>
      </w:r>
      <w:r w:rsidR="00A76FAB" w:rsidRPr="006636EE">
        <w:t xml:space="preserve">A </w:t>
      </w:r>
      <w:r w:rsidR="44AEB25E" w:rsidRPr="006636EE">
        <w:t>consequence of this</w:t>
      </w:r>
      <w:r w:rsidR="00A76FAB" w:rsidRPr="006636EE">
        <w:t xml:space="preserve"> practice—</w:t>
      </w:r>
      <w:r w:rsidR="44AEB25E" w:rsidRPr="006636EE">
        <w:lastRenderedPageBreak/>
        <w:t>whether intended or not</w:t>
      </w:r>
      <w:r w:rsidR="00A76FAB" w:rsidRPr="006636EE">
        <w:t>—</w:t>
      </w:r>
      <w:r w:rsidR="44AEB25E" w:rsidRPr="006636EE">
        <w:t xml:space="preserve">is the weakening of </w:t>
      </w:r>
      <w:r w:rsidR="4D793AD0" w:rsidRPr="006636EE">
        <w:t xml:space="preserve">the </w:t>
      </w:r>
      <w:r w:rsidR="44AEB25E" w:rsidRPr="006636EE">
        <w:t>existing movement</w:t>
      </w:r>
      <w:r w:rsidR="00A76FAB" w:rsidRPr="006636EE">
        <w:t>’</w:t>
      </w:r>
      <w:r w:rsidR="44AEB25E" w:rsidRPr="006636EE">
        <w:t>s messaging</w:t>
      </w:r>
      <w:r w:rsidR="1395618C" w:rsidRPr="006636EE">
        <w:t xml:space="preserve"> and social capital</w:t>
      </w:r>
      <w:r w:rsidR="44AEB25E" w:rsidRPr="006636EE">
        <w:t>.</w:t>
      </w:r>
    </w:p>
    <w:p w14:paraId="11E055A8" w14:textId="12840350" w:rsidR="2E90ECAC" w:rsidRPr="006636EE" w:rsidRDefault="00034D88" w:rsidP="00A54D55">
      <w:r w:rsidRPr="006636EE">
        <w:t>This is a classic case of discursive brandjacking (</w:t>
      </w:r>
      <w:proofErr w:type="spellStart"/>
      <w:r w:rsidRPr="006636EE">
        <w:t>Knüpfer</w:t>
      </w:r>
      <w:proofErr w:type="spellEnd"/>
      <w:r w:rsidRPr="006636EE">
        <w:t xml:space="preserve"> et al., 2022), where slogans from social justice movements are strategically repurposed to serve conflicting agendas. </w:t>
      </w:r>
      <w:proofErr w:type="spellStart"/>
      <w:r w:rsidRPr="006636EE">
        <w:t>Knüpfer</w:t>
      </w:r>
      <w:proofErr w:type="spellEnd"/>
      <w:r w:rsidRPr="006636EE">
        <w:t xml:space="preserve"> et al.’s study of the </w:t>
      </w:r>
      <w:r w:rsidR="00D07695">
        <w:t>“</w:t>
      </w:r>
      <w:r w:rsidRPr="006636EE">
        <w:t>120 decibels</w:t>
      </w:r>
      <w:r w:rsidR="00D07695">
        <w:t>”</w:t>
      </w:r>
      <w:r w:rsidRPr="006636EE">
        <w:t xml:space="preserve"> campaign highlighted how right-wing actors used the #metoo hashtag to promote anti-immigrant messaging. While the antivax movement’s hijacking of “</w:t>
      </w:r>
      <w:r w:rsidR="0041149A">
        <w:t>m</w:t>
      </w:r>
      <w:r w:rsidRPr="006636EE">
        <w:t xml:space="preserve">y </w:t>
      </w:r>
      <w:r w:rsidR="0041149A">
        <w:t>b</w:t>
      </w:r>
      <w:r w:rsidRPr="006636EE">
        <w:t xml:space="preserve">ody, </w:t>
      </w:r>
      <w:r w:rsidR="0041149A">
        <w:t>m</w:t>
      </w:r>
      <w:r w:rsidRPr="006636EE">
        <w:t xml:space="preserve">y </w:t>
      </w:r>
      <w:r w:rsidR="0041149A">
        <w:t>c</w:t>
      </w:r>
      <w:r w:rsidRPr="006636EE">
        <w:t>hoice” may have been less deliberately disruptive, it nevertheless functioned as a form of agenda surfing—an opportunistic attachment to existing debates for rhetorical gain.</w:t>
      </w:r>
      <w:r w:rsidR="183AF8BB" w:rsidRPr="006636EE">
        <w:t xml:space="preserve"> Opportunistic or not, the actions by the antivax movement resulted in the undermining of the original movement’s messages and social capital by reframing its core slogan</w:t>
      </w:r>
      <w:r w:rsidR="00414397" w:rsidRPr="006636EE">
        <w:t xml:space="preserve"> </w:t>
      </w:r>
      <w:r w:rsidR="69913862" w:rsidRPr="006636EE">
        <w:t>to suit</w:t>
      </w:r>
      <w:r w:rsidR="07FF3763" w:rsidRPr="006636EE">
        <w:t xml:space="preserve"> a non-</w:t>
      </w:r>
      <w:r w:rsidR="00476D89" w:rsidRPr="006636EE">
        <w:t>progressive, self</w:t>
      </w:r>
      <w:r w:rsidR="1819D6EB" w:rsidRPr="006636EE">
        <w:t xml:space="preserve">-centred agenda. </w:t>
      </w:r>
    </w:p>
    <w:p w14:paraId="76676A00" w14:textId="17DE1446" w:rsidR="00655072" w:rsidRPr="006636EE" w:rsidRDefault="00655072" w:rsidP="00A54D55">
      <w:pPr>
        <w:pStyle w:val="Heading2"/>
      </w:pPr>
      <w:r w:rsidRPr="006636EE">
        <w:t>Broadening and shifting the frame</w:t>
      </w:r>
    </w:p>
    <w:p w14:paraId="022AF857" w14:textId="17DDC909" w:rsidR="4FC8A0E7" w:rsidRPr="006636EE" w:rsidRDefault="30D4F17D" w:rsidP="00A54D55">
      <w:proofErr w:type="spellStart"/>
      <w:r w:rsidRPr="006636EE">
        <w:t>Rucht</w:t>
      </w:r>
      <w:proofErr w:type="spellEnd"/>
      <w:r w:rsidRPr="006636EE">
        <w:t xml:space="preserve"> and Teune (2017) noted the </w:t>
      </w:r>
      <w:r w:rsidR="69913862" w:rsidRPr="006636EE">
        <w:t xml:space="preserve">trend </w:t>
      </w:r>
      <w:r w:rsidRPr="006636EE">
        <w:t xml:space="preserve">of </w:t>
      </w:r>
      <w:r w:rsidR="69913862" w:rsidRPr="006636EE">
        <w:t>adapt</w:t>
      </w:r>
      <w:r w:rsidRPr="006636EE">
        <w:t xml:space="preserve">ing </w:t>
      </w:r>
      <w:r w:rsidR="69913862" w:rsidRPr="006636EE">
        <w:t>and imit</w:t>
      </w:r>
      <w:r w:rsidRPr="006636EE">
        <w:t>ating the</w:t>
      </w:r>
      <w:r w:rsidR="69913862" w:rsidRPr="006636EE">
        <w:t xml:space="preserve"> actions, lifestyles and claims from liberal and left-wing activism by the far right</w:t>
      </w:r>
      <w:r w:rsidRPr="006636EE">
        <w:t xml:space="preserve">. </w:t>
      </w:r>
      <w:r w:rsidR="000458D9">
        <w:t>Munk (2024) warned that the tr</w:t>
      </w:r>
      <w:r w:rsidR="00D413EA">
        <w:t xml:space="preserve">end was an attempt to gain mainstream recognition for ultra-conservatist views that turn back the clock on, for example, </w:t>
      </w:r>
      <w:r w:rsidR="00C65B59">
        <w:t xml:space="preserve">gains for female empowerment. </w:t>
      </w:r>
      <w:r w:rsidR="00496BA7" w:rsidRPr="006636EE">
        <w:t>However</w:t>
      </w:r>
      <w:r w:rsidRPr="006636EE">
        <w:t xml:space="preserve">, </w:t>
      </w:r>
      <w:r w:rsidR="00C65B59">
        <w:t xml:space="preserve">it should be noted that this strategy is not merely </w:t>
      </w:r>
      <w:r w:rsidR="3E916418" w:rsidRPr="006636EE">
        <w:t xml:space="preserve">a </w:t>
      </w:r>
      <w:r w:rsidR="00EC0761">
        <w:t>far-right</w:t>
      </w:r>
      <w:r w:rsidR="3E916418" w:rsidRPr="006636EE">
        <w:t xml:space="preserve"> trend. The Black Lives Matter (BLM) movement </w:t>
      </w:r>
      <w:r w:rsidR="7590E815" w:rsidRPr="006636EE">
        <w:t>coopt</w:t>
      </w:r>
      <w:r w:rsidR="00C65B59">
        <w:t>ed</w:t>
      </w:r>
      <w:r w:rsidR="7590E815" w:rsidRPr="006636EE">
        <w:t xml:space="preserve"> #</w:t>
      </w:r>
      <w:r w:rsidR="69913862" w:rsidRPr="006636EE">
        <w:t>AllLivesMatter to maintain</w:t>
      </w:r>
      <w:r w:rsidR="00157446">
        <w:t>—</w:t>
      </w:r>
      <w:r w:rsidR="639B62A1" w:rsidRPr="006636EE">
        <w:t>and</w:t>
      </w:r>
      <w:r w:rsidR="69913862" w:rsidRPr="006636EE">
        <w:t xml:space="preserve"> </w:t>
      </w:r>
      <w:r w:rsidR="639B62A1" w:rsidRPr="006636EE">
        <w:t>arguably reclaim</w:t>
      </w:r>
      <w:r w:rsidR="00157446">
        <w:t>—</w:t>
      </w:r>
      <w:r w:rsidR="639B62A1" w:rsidRPr="006636EE">
        <w:t xml:space="preserve">the </w:t>
      </w:r>
      <w:r w:rsidR="69913862" w:rsidRPr="006636EE">
        <w:t>focus on original BLM goals (Gallagher</w:t>
      </w:r>
      <w:r w:rsidR="00D71C03" w:rsidRPr="006636EE">
        <w:t xml:space="preserve"> et al.</w:t>
      </w:r>
      <w:r w:rsidR="69913862" w:rsidRPr="006636EE">
        <w:t>, 2018).</w:t>
      </w:r>
    </w:p>
    <w:p w14:paraId="2ADFC4BA" w14:textId="5F4550AA" w:rsidR="00B62F1D" w:rsidRPr="006636EE" w:rsidRDefault="00084015" w:rsidP="00E84D43">
      <w:r w:rsidRPr="006636EE">
        <w:t>However, unlike movements that narrow existing frames (e.g.</w:t>
      </w:r>
      <w:r w:rsidR="00E27258">
        <w:t>,</w:t>
      </w:r>
      <w:r w:rsidRPr="006636EE">
        <w:t xml:space="preserve"> the anti-immigrant adaptation of #metoo</w:t>
      </w:r>
      <w:r w:rsidR="00543294" w:rsidRPr="006636EE">
        <w:t xml:space="preserve"> (</w:t>
      </w:r>
      <w:proofErr w:type="spellStart"/>
      <w:r w:rsidR="00543294" w:rsidRPr="006636EE">
        <w:t>Knüpfer</w:t>
      </w:r>
      <w:proofErr w:type="spellEnd"/>
      <w:r w:rsidR="00543294" w:rsidRPr="006636EE">
        <w:t xml:space="preserve"> et al,.2022</w:t>
      </w:r>
      <w:r w:rsidR="004D6200">
        <w:t>)</w:t>
      </w:r>
      <w:r w:rsidRPr="006636EE">
        <w:t xml:space="preserve">, the antivax movement broadened the feminist slogan to encompass all bodies and choices, reframing it from reproductive autonomy to total individual freedom. This shift had significant implications: in the context of a public health </w:t>
      </w:r>
      <w:r w:rsidRPr="006636EE">
        <w:lastRenderedPageBreak/>
        <w:t xml:space="preserve">emergency, individual vaccine refusal </w:t>
      </w:r>
      <w:r w:rsidR="00E84D43">
        <w:t xml:space="preserve">and reframing “choice” to mean complete individual freedom </w:t>
      </w:r>
      <w:r w:rsidRPr="006636EE">
        <w:t>affect</w:t>
      </w:r>
      <w:r w:rsidR="00052461">
        <w:t>ed</w:t>
      </w:r>
      <w:r w:rsidRPr="006636EE">
        <w:t xml:space="preserve"> not just the self but the wider community, undermining the social contract that underpins public health initiatives.</w:t>
      </w:r>
      <w:r w:rsidR="00966D4F">
        <w:t xml:space="preserve"> </w:t>
      </w:r>
      <w:r w:rsidR="45CE678C" w:rsidRPr="006636EE">
        <w:t xml:space="preserve">At the height of the COVID-19 pandemic, vaccinations were seen </w:t>
      </w:r>
      <w:proofErr w:type="gramStart"/>
      <w:r w:rsidR="001D0543" w:rsidRPr="006636EE">
        <w:t xml:space="preserve">as a means </w:t>
      </w:r>
      <w:r w:rsidR="45CE678C" w:rsidRPr="006636EE">
        <w:t>to</w:t>
      </w:r>
      <w:proofErr w:type="gramEnd"/>
      <w:r w:rsidR="45CE678C" w:rsidRPr="006636EE">
        <w:t xml:space="preserve"> ensure the safety of a </w:t>
      </w:r>
      <w:r w:rsidR="1B1C5437" w:rsidRPr="006636EE">
        <w:t>community</w:t>
      </w:r>
      <w:r w:rsidR="004F2CCE" w:rsidRPr="006636EE">
        <w:t>, and particularly</w:t>
      </w:r>
      <w:r w:rsidR="1B1C5437" w:rsidRPr="006636EE">
        <w:t xml:space="preserve"> those who </w:t>
      </w:r>
      <w:r w:rsidR="44AEB25E" w:rsidRPr="006636EE">
        <w:t>could,</w:t>
      </w:r>
      <w:r w:rsidR="1B1C5437" w:rsidRPr="006636EE">
        <w:t xml:space="preserve"> and </w:t>
      </w:r>
      <w:r w:rsidR="44AEB25E" w:rsidRPr="006636EE">
        <w:t>likely would,</w:t>
      </w:r>
      <w:r w:rsidR="1B1C5437" w:rsidRPr="006636EE">
        <w:t xml:space="preserve"> be vulnerable to the virus.</w:t>
      </w:r>
      <w:r w:rsidR="601CDDB2" w:rsidRPr="006636EE">
        <w:t xml:space="preserve"> Thus, the </w:t>
      </w:r>
      <w:r w:rsidR="005B2E7B" w:rsidRPr="006636EE">
        <w:t>antivax</w:t>
      </w:r>
      <w:r w:rsidR="601CDDB2" w:rsidRPr="006636EE">
        <w:t xml:space="preserve"> movement as it played out during the pandemic could not be </w:t>
      </w:r>
      <w:r w:rsidR="002300A3" w:rsidRPr="006636EE">
        <w:t xml:space="preserve">seen </w:t>
      </w:r>
      <w:r w:rsidR="601CDDB2" w:rsidRPr="006636EE">
        <w:t>as a righteous, prosocial movement.</w:t>
      </w:r>
      <w:r w:rsidR="78C1D853" w:rsidRPr="006636EE">
        <w:t xml:space="preserve"> </w:t>
      </w:r>
      <w:r w:rsidR="44AEB25E" w:rsidRPr="006636EE">
        <w:t>Unlike</w:t>
      </w:r>
      <w:r w:rsidR="78C1D853" w:rsidRPr="006636EE">
        <w:t xml:space="preserve"> the consequences of </w:t>
      </w:r>
      <w:r w:rsidR="44AEB25E" w:rsidRPr="006636EE">
        <w:t>hard-fought</w:t>
      </w:r>
      <w:r w:rsidR="78C1D853" w:rsidRPr="006636EE">
        <w:t xml:space="preserve"> women’s rights, such as, for example the decision to terminate a pregnancy, which only affects the </w:t>
      </w:r>
      <w:r w:rsidR="62C985CA" w:rsidRPr="006636EE">
        <w:t>individual</w:t>
      </w:r>
      <w:r w:rsidR="002300A3" w:rsidRPr="006636EE">
        <w:t>—</w:t>
      </w:r>
      <w:r w:rsidR="78C1D853" w:rsidRPr="006636EE">
        <w:t xml:space="preserve">and if </w:t>
      </w:r>
      <w:r w:rsidR="5FE6CC79" w:rsidRPr="006636EE">
        <w:t>they</w:t>
      </w:r>
      <w:r w:rsidR="25B6AE9F" w:rsidRPr="006636EE">
        <w:t xml:space="preserve"> </w:t>
      </w:r>
      <w:r w:rsidR="5FE6CC79" w:rsidRPr="006636EE">
        <w:t>have</w:t>
      </w:r>
      <w:r w:rsidR="78C1D853" w:rsidRPr="006636EE">
        <w:t xml:space="preserve"> one, </w:t>
      </w:r>
      <w:r w:rsidR="377C7E9D" w:rsidRPr="006636EE">
        <w:t xml:space="preserve">their </w:t>
      </w:r>
      <w:r w:rsidR="78C1D853" w:rsidRPr="006636EE">
        <w:t>partner</w:t>
      </w:r>
      <w:r w:rsidR="002300A3" w:rsidRPr="006636EE">
        <w:t>—</w:t>
      </w:r>
      <w:r w:rsidR="78C1D853" w:rsidRPr="006636EE">
        <w:t>the decision not to get vaccinated and thus allowing the COVID-19 virus to replicate and spread to vulnerable communities is one with far more wide-reaching consequences</w:t>
      </w:r>
      <w:r w:rsidR="33DCAC52" w:rsidRPr="006636EE">
        <w:t xml:space="preserve"> for </w:t>
      </w:r>
      <w:r w:rsidR="44AEB25E" w:rsidRPr="006636EE">
        <w:t>society</w:t>
      </w:r>
      <w:r w:rsidR="33DCAC52" w:rsidRPr="006636EE">
        <w:t>.</w:t>
      </w:r>
    </w:p>
    <w:p w14:paraId="34FCDC0C" w14:textId="0AA85ED3" w:rsidR="00D10AE5" w:rsidRPr="006636EE" w:rsidRDefault="00D10AE5" w:rsidP="00A54D55">
      <w:r w:rsidRPr="006636EE">
        <w:t>By ignoring the distinction between negative freedom (freedom from constraint) and positive freedom (freedom enabled through collective safeguards), the antivax movement rejected reasonable restrictions intended to protect vulnerable populations. Ironically, it was these restrictions that enabled relative freedoms in Australia and New Zealand during much of the pandemic</w:t>
      </w:r>
      <w:r w:rsidR="004571FF" w:rsidRPr="006636EE">
        <w:t>, including the ability to go to work, meet friends, socialise, and travel within their respective countries. These were freedoms many other countries could not enjoy.</w:t>
      </w:r>
    </w:p>
    <w:p w14:paraId="6822BFBB" w14:textId="207EC5F3" w:rsidR="00965C2F" w:rsidRPr="006636EE" w:rsidRDefault="00556E22" w:rsidP="00A54D55">
      <w:r w:rsidRPr="00556E22">
        <w:t xml:space="preserve">Ultimately, the COVID-19 antivax movement’s strategic appropriation of “my body, my choice” provided a deceptively familiar entry point into a </w:t>
      </w:r>
      <w:r w:rsidR="00022131">
        <w:t>movement</w:t>
      </w:r>
      <w:r w:rsidR="00022131" w:rsidRPr="00556E22">
        <w:t xml:space="preserve"> </w:t>
      </w:r>
      <w:r w:rsidRPr="00556E22">
        <w:t>that prioritised individual rights over collective wellbeing. This co-option diluted the slogan’s feminist origins, replacing solidarity with self-interest and distorting its message of empowerment. By leveraging widely recognised language, the movement eased the mainstreaming of fringe and even extreme ideologies, including those linked to</w:t>
      </w:r>
      <w:r w:rsidR="006C4C73">
        <w:t xml:space="preserve"> sovereign citizen movement and anti-government conspiracy theories.</w:t>
      </w:r>
    </w:p>
    <w:p w14:paraId="6072EC89" w14:textId="7F56BB17" w:rsidR="0041526A" w:rsidRPr="006636EE" w:rsidRDefault="00383E6B" w:rsidP="00A54D55">
      <w:pPr>
        <w:pStyle w:val="Heading1"/>
      </w:pPr>
      <w:r w:rsidRPr="006636EE">
        <w:lastRenderedPageBreak/>
        <w:t>Implications</w:t>
      </w:r>
      <w:r w:rsidR="00655072" w:rsidRPr="006636EE">
        <w:t xml:space="preserve"> and </w:t>
      </w:r>
      <w:r w:rsidR="00CD5941" w:rsidRPr="006636EE">
        <w:t>Conclusion</w:t>
      </w:r>
    </w:p>
    <w:p w14:paraId="690EF162" w14:textId="42DA62E0" w:rsidR="004F2ED7" w:rsidRPr="00F61212" w:rsidRDefault="004F2ED7" w:rsidP="003F4040">
      <w:pPr>
        <w:spacing w:before="0" w:beforeAutospacing="0" w:after="160" w:afterAutospacing="0"/>
      </w:pPr>
      <w:r w:rsidRPr="00F61212">
        <w:t>At the heart of the antivax movement was a rhetorical emphasis on individual rights and personal freedoms</w:t>
      </w:r>
      <w:r w:rsidR="00EB515C">
        <w:t xml:space="preserve">, </w:t>
      </w:r>
      <w:r w:rsidRPr="00F61212">
        <w:t>particularly a refusal to comply with what were perceived as state-imposed violations of bodily autonomy. By appropriating the feminist slogan “my body, my choice</w:t>
      </w:r>
      <w:r w:rsidR="006C1343">
        <w:t>,”</w:t>
      </w:r>
      <w:r w:rsidRPr="00F61212">
        <w:t xml:space="preserve"> protestors drew on the emotional resonance and symbolic legitimacy of a long-established social justice movement to frame their cause as morally justified. Despite its ideological diversity, the movement was able to construct a coherent identity</w:t>
      </w:r>
      <w:r w:rsidR="00CC2ABC">
        <w:t xml:space="preserve"> that warranted public and political recognition</w:t>
      </w:r>
      <w:r w:rsidRPr="00F61212">
        <w:t xml:space="preserve"> through the strategic repurposing of familiar language.</w:t>
      </w:r>
    </w:p>
    <w:p w14:paraId="3F392F5D" w14:textId="72271CB1" w:rsidR="00B51595" w:rsidRDefault="00B51595" w:rsidP="00C66658">
      <w:pPr>
        <w:spacing w:before="0" w:beforeAutospacing="0" w:after="160" w:afterAutospacing="0"/>
      </w:pPr>
      <w:r w:rsidRPr="00F61212">
        <w:t>This appropriation served two key functions: it unified a fragmented coalition under a recognisable message</w:t>
      </w:r>
      <w:r w:rsidR="0038513F">
        <w:t xml:space="preserve"> </w:t>
      </w:r>
      <w:r w:rsidRPr="00F61212">
        <w:t xml:space="preserve">and transferred social capital from </w:t>
      </w:r>
      <w:r w:rsidR="00A470C6">
        <w:t>progressive</w:t>
      </w:r>
      <w:r w:rsidR="00C40629">
        <w:t xml:space="preserve"> </w:t>
      </w:r>
      <w:r w:rsidRPr="00F61212">
        <w:t xml:space="preserve">advocacy to a movement </w:t>
      </w:r>
      <w:r w:rsidR="00C40629">
        <w:t>frequently</w:t>
      </w:r>
      <w:r w:rsidRPr="00F61212">
        <w:t xml:space="preserve"> </w:t>
      </w:r>
      <w:r w:rsidR="00C40629">
        <w:t>aligned</w:t>
      </w:r>
      <w:r w:rsidRPr="00F61212">
        <w:t xml:space="preserve"> with populist, anti-collectivist agendas. More than mimicry, the use of feminist language activated the </w:t>
      </w:r>
      <w:r w:rsidRPr="00F61212">
        <w:rPr>
          <w:i/>
          <w:iCs/>
        </w:rPr>
        <w:t>deontic power</w:t>
      </w:r>
      <w:r w:rsidRPr="00F61212">
        <w:t xml:space="preserve"> of the slogan</w:t>
      </w:r>
      <w:r>
        <w:t xml:space="preserve">, </w:t>
      </w:r>
      <w:r w:rsidRPr="00F61212">
        <w:t xml:space="preserve">suggesting that bodily autonomy </w:t>
      </w:r>
      <w:r w:rsidR="006D0E5A">
        <w:t xml:space="preserve">was </w:t>
      </w:r>
      <w:r w:rsidRPr="00F61212">
        <w:t>not only permitted</w:t>
      </w:r>
      <w:r>
        <w:t>,</w:t>
      </w:r>
      <w:r w:rsidRPr="00F61212">
        <w:t xml:space="preserve"> but morally demanded</w:t>
      </w:r>
      <w:r>
        <w:t>,</w:t>
      </w:r>
      <w:r w:rsidRPr="00F61212">
        <w:t xml:space="preserve"> resist</w:t>
      </w:r>
      <w:r w:rsidR="0040348F">
        <w:t>ing</w:t>
      </w:r>
      <w:r w:rsidRPr="00F61212">
        <w:t xml:space="preserve"> public health mandates. In doing so, the antivax movement reframed reproductive rights language to oppose collective responsibility in favour of individual sovereignty.</w:t>
      </w:r>
    </w:p>
    <w:p w14:paraId="7E578BF6" w14:textId="7821BFCD" w:rsidR="008E0EA1" w:rsidRPr="00F64E3A" w:rsidRDefault="00E2248C" w:rsidP="009428DF">
      <w:pPr>
        <w:spacing w:before="0" w:beforeAutospacing="0" w:after="160" w:afterAutospacing="0"/>
        <w:rPr>
          <w:color w:val="000000" w:themeColor="text1"/>
        </w:rPr>
      </w:pPr>
      <w:r w:rsidRPr="00F64E3A">
        <w:rPr>
          <w:color w:val="000000" w:themeColor="text1"/>
        </w:rPr>
        <w:t xml:space="preserve">This challenges the common assumption in public relations and activist scholarship that </w:t>
      </w:r>
      <w:r w:rsidR="008E0EA1" w:rsidRPr="00F64E3A">
        <w:rPr>
          <w:color w:val="000000" w:themeColor="text1"/>
        </w:rPr>
        <w:t xml:space="preserve">protest movements are inherently progressive or prosocial. As this study illustrates, rhetorical strategies </w:t>
      </w:r>
      <w:r w:rsidR="00777E41">
        <w:rPr>
          <w:color w:val="000000" w:themeColor="text1"/>
        </w:rPr>
        <w:t>commonly</w:t>
      </w:r>
      <w:r w:rsidR="008E0EA1" w:rsidRPr="00F64E3A">
        <w:rPr>
          <w:color w:val="000000" w:themeColor="text1"/>
        </w:rPr>
        <w:t xml:space="preserve"> associated with social justice can be redeployed to undermine th</w:t>
      </w:r>
      <w:r w:rsidR="005B698C">
        <w:rPr>
          <w:color w:val="000000" w:themeColor="text1"/>
        </w:rPr>
        <w:t>e</w:t>
      </w:r>
      <w:r w:rsidR="008E0EA1" w:rsidRPr="00F64E3A">
        <w:rPr>
          <w:color w:val="000000" w:themeColor="text1"/>
        </w:rPr>
        <w:t xml:space="preserve">se </w:t>
      </w:r>
      <w:r w:rsidR="00E63839">
        <w:rPr>
          <w:color w:val="000000" w:themeColor="text1"/>
        </w:rPr>
        <w:t>same</w:t>
      </w:r>
      <w:r w:rsidR="008E0EA1" w:rsidRPr="00F64E3A">
        <w:rPr>
          <w:color w:val="000000" w:themeColor="text1"/>
        </w:rPr>
        <w:t xml:space="preserve"> causes. The co-option of progressive language is not merely a branding issue</w:t>
      </w:r>
      <w:r w:rsidR="00CB7FE3">
        <w:rPr>
          <w:color w:val="000000" w:themeColor="text1"/>
        </w:rPr>
        <w:t xml:space="preserve">; </w:t>
      </w:r>
      <w:r w:rsidR="008E0EA1" w:rsidRPr="00F64E3A">
        <w:rPr>
          <w:color w:val="000000" w:themeColor="text1"/>
        </w:rPr>
        <w:t xml:space="preserve">it </w:t>
      </w:r>
      <w:r w:rsidR="00CB7FE3">
        <w:rPr>
          <w:color w:val="000000" w:themeColor="text1"/>
        </w:rPr>
        <w:t>reshapes</w:t>
      </w:r>
      <w:r w:rsidR="008E0EA1" w:rsidRPr="00F64E3A">
        <w:rPr>
          <w:color w:val="000000" w:themeColor="text1"/>
        </w:rPr>
        <w:t xml:space="preserve"> public discourse and </w:t>
      </w:r>
      <w:r w:rsidR="008B0743">
        <w:rPr>
          <w:color w:val="000000" w:themeColor="text1"/>
        </w:rPr>
        <w:t xml:space="preserve">potentially </w:t>
      </w:r>
      <w:r w:rsidR="007D48CC">
        <w:rPr>
          <w:color w:val="000000" w:themeColor="text1"/>
        </w:rPr>
        <w:t xml:space="preserve">disrupts </w:t>
      </w:r>
      <w:r w:rsidR="008E0EA1" w:rsidRPr="00F64E3A">
        <w:rPr>
          <w:color w:val="000000" w:themeColor="text1"/>
        </w:rPr>
        <w:t>social cohesion. There is an urgent need for public relations scholars and practitioners to critically examine</w:t>
      </w:r>
      <w:r w:rsidR="008E0EA1">
        <w:rPr>
          <w:color w:val="000000" w:themeColor="text1"/>
        </w:rPr>
        <w:t xml:space="preserve"> and recognise</w:t>
      </w:r>
      <w:r w:rsidR="008E0EA1" w:rsidRPr="00F64E3A">
        <w:rPr>
          <w:color w:val="000000" w:themeColor="text1"/>
        </w:rPr>
        <w:t xml:space="preserve"> how language</w:t>
      </w:r>
      <w:r w:rsidR="00F06D9C">
        <w:rPr>
          <w:color w:val="000000" w:themeColor="text1"/>
        </w:rPr>
        <w:t xml:space="preserve"> - </w:t>
      </w:r>
      <w:r w:rsidR="008E0EA1">
        <w:rPr>
          <w:color w:val="000000" w:themeColor="text1"/>
        </w:rPr>
        <w:t>including</w:t>
      </w:r>
      <w:r w:rsidR="008E0EA1" w:rsidRPr="00F64E3A">
        <w:rPr>
          <w:color w:val="000000" w:themeColor="text1"/>
        </w:rPr>
        <w:t xml:space="preserve"> the symbolic power embedded in slogans</w:t>
      </w:r>
      <w:r w:rsidR="008B0743">
        <w:rPr>
          <w:color w:val="000000" w:themeColor="text1"/>
        </w:rPr>
        <w:t xml:space="preserve"> and strategic messages</w:t>
      </w:r>
      <w:r w:rsidR="00F06D9C">
        <w:rPr>
          <w:color w:val="000000" w:themeColor="text1"/>
        </w:rPr>
        <w:t xml:space="preserve"> - </w:t>
      </w:r>
      <w:r w:rsidR="008E0EA1" w:rsidRPr="00F64E3A">
        <w:rPr>
          <w:color w:val="000000" w:themeColor="text1"/>
        </w:rPr>
        <w:t xml:space="preserve">operates not only as a persuasive tool, but as a mechanism through which ideologies are contested, </w:t>
      </w:r>
      <w:r w:rsidR="008E0EA1" w:rsidRPr="00F64E3A">
        <w:rPr>
          <w:color w:val="000000" w:themeColor="text1"/>
        </w:rPr>
        <w:lastRenderedPageBreak/>
        <w:t xml:space="preserve">redefined, and legitimised. </w:t>
      </w:r>
      <w:r w:rsidR="006347BD">
        <w:rPr>
          <w:color w:val="000000" w:themeColor="text1"/>
        </w:rPr>
        <w:t>In fact, t</w:t>
      </w:r>
      <w:r w:rsidR="00CF6199">
        <w:rPr>
          <w:color w:val="000000" w:themeColor="text1"/>
        </w:rPr>
        <w:t>hese</w:t>
      </w:r>
      <w:r w:rsidR="008E0EA1" w:rsidRPr="00F64E3A">
        <w:rPr>
          <w:color w:val="000000" w:themeColor="text1"/>
        </w:rPr>
        <w:t xml:space="preserve"> rhetorical shifts may s</w:t>
      </w:r>
      <w:r w:rsidR="00CC7129">
        <w:rPr>
          <w:color w:val="000000" w:themeColor="text1"/>
        </w:rPr>
        <w:t xml:space="preserve">ignal broader </w:t>
      </w:r>
      <w:r w:rsidR="0023502A">
        <w:rPr>
          <w:color w:val="000000" w:themeColor="text1"/>
        </w:rPr>
        <w:t xml:space="preserve">changes in </w:t>
      </w:r>
      <w:r w:rsidR="008E0EA1" w:rsidRPr="00F64E3A">
        <w:rPr>
          <w:color w:val="000000" w:themeColor="text1"/>
        </w:rPr>
        <w:t xml:space="preserve">societal values and the </w:t>
      </w:r>
      <w:r w:rsidR="0023502A">
        <w:rPr>
          <w:color w:val="000000" w:themeColor="text1"/>
        </w:rPr>
        <w:t>growing influence</w:t>
      </w:r>
      <w:r w:rsidR="008E0EA1" w:rsidRPr="00F64E3A">
        <w:rPr>
          <w:color w:val="000000" w:themeColor="text1"/>
        </w:rPr>
        <w:t xml:space="preserve"> of populist sentiment.</w:t>
      </w:r>
    </w:p>
    <w:p w14:paraId="53F4A74B" w14:textId="6F93AB32" w:rsidR="0012666B" w:rsidRPr="00EC5341" w:rsidRDefault="0012666B" w:rsidP="0012666B">
      <w:r w:rsidRPr="00EC5341">
        <w:t xml:space="preserve">The concept of </w:t>
      </w:r>
      <w:r w:rsidRPr="00A80A51">
        <w:t>discursive brandjacking</w:t>
      </w:r>
      <w:r w:rsidRPr="00EC5341">
        <w:t xml:space="preserve"> (</w:t>
      </w:r>
      <w:proofErr w:type="spellStart"/>
      <w:r w:rsidRPr="00EC5341">
        <w:t>Knüpfer</w:t>
      </w:r>
      <w:proofErr w:type="spellEnd"/>
      <w:r w:rsidRPr="00EC5341">
        <w:t xml:space="preserve"> et al., 2022) provides a useful lens for understanding how slogans, values, and credibility can be hijacked to legitimise opposing agendas. Even when such appropriation does not overtly reject the original cause, it dilutes the meaning and paves the way for mainstream acceptance of fringe or contradictory ideologies. In this case, the shift redirected a slogan rooted in feminist and collective health advocacy to justify vaccine refusal and individualist resistance, thereby undermining decades of progress</w:t>
      </w:r>
      <w:r w:rsidR="007C29FB">
        <w:t xml:space="preserve"> for women’s rights</w:t>
      </w:r>
      <w:r w:rsidRPr="00EC5341">
        <w:t>.</w:t>
      </w:r>
    </w:p>
    <w:p w14:paraId="34A824D1" w14:textId="07E43344" w:rsidR="00383E6B" w:rsidRPr="006636EE" w:rsidRDefault="00AA294A" w:rsidP="00A54D55">
      <w:r w:rsidRPr="00EC5341">
        <w:t>While th</w:t>
      </w:r>
      <w:r w:rsidR="00CC5FE5">
        <w:t>is</w:t>
      </w:r>
      <w:r w:rsidRPr="00EC5341">
        <w:t xml:space="preserve"> study is grounded in the context of </w:t>
      </w:r>
      <w:r w:rsidR="00CC5FE5">
        <w:t xml:space="preserve">Covid-19 </w:t>
      </w:r>
      <w:r w:rsidRPr="00EC5341">
        <w:t xml:space="preserve">antivax activism in Australia and New Zealand, its implications are globally relevant. The appropriation of rights-based rhetoric to resist public health measures has emerged across various national contexts, reflecting a broader pattern in which populist movements </w:t>
      </w:r>
      <w:r w:rsidR="001C3C5A" w:rsidRPr="00EC5341">
        <w:t>weaponize</w:t>
      </w:r>
      <w:r w:rsidRPr="00EC5341">
        <w:t xml:space="preserve"> liberal democratic discourse</w:t>
      </w:r>
      <w:r w:rsidR="001C3C5A">
        <w:t xml:space="preserve"> to serve their own causes</w:t>
      </w:r>
      <w:r w:rsidRPr="00EC5341">
        <w:t>. Comparable examples</w:t>
      </w:r>
      <w:r w:rsidR="00F36A1E">
        <w:t xml:space="preserve">, </w:t>
      </w:r>
      <w:r w:rsidRPr="00EC5341">
        <w:t xml:space="preserve">such as the right-wing “120 </w:t>
      </w:r>
      <w:r w:rsidR="001C3C5A">
        <w:t>d</w:t>
      </w:r>
      <w:r w:rsidRPr="00EC5341">
        <w:t>ecibels” campaign’s hijacking of the #MeToo hashtag</w:t>
      </w:r>
      <w:r w:rsidR="00991DD4">
        <w:t xml:space="preserve"> </w:t>
      </w:r>
      <w:r w:rsidR="00991DD4" w:rsidRPr="00EC5341">
        <w:t>(</w:t>
      </w:r>
      <w:proofErr w:type="spellStart"/>
      <w:r w:rsidR="00991DD4" w:rsidRPr="00EC5341">
        <w:t>Knüpfer</w:t>
      </w:r>
      <w:proofErr w:type="spellEnd"/>
      <w:r w:rsidR="00991DD4" w:rsidRPr="00EC5341">
        <w:t xml:space="preserve"> et al., 2022)</w:t>
      </w:r>
      <w:r w:rsidR="00991DD4">
        <w:t xml:space="preserve"> </w:t>
      </w:r>
      <w:r w:rsidRPr="00EC5341">
        <w:t xml:space="preserve">suggest </w:t>
      </w:r>
      <w:r w:rsidR="004B2849">
        <w:t xml:space="preserve">that </w:t>
      </w:r>
      <w:r w:rsidRPr="00EC5341">
        <w:t xml:space="preserve">this phenomenon is neither new nor spontaneous. </w:t>
      </w:r>
      <w:r w:rsidR="004B2849">
        <w:t>Often, i</w:t>
      </w:r>
      <w:r w:rsidRPr="00EC5341">
        <w:t>t is fuelled by misinformation, algorithmic amplification, and coordinated online mobilisation.</w:t>
      </w:r>
      <w:r w:rsidR="006A4F21">
        <w:t xml:space="preserve"> </w:t>
      </w:r>
    </w:p>
    <w:p w14:paraId="65C3BF43" w14:textId="3B895A5F" w:rsidR="002B1E99" w:rsidRPr="00EC5341" w:rsidRDefault="002B1E99" w:rsidP="002B1E99">
      <w:r w:rsidRPr="00EC5341">
        <w:t xml:space="preserve">These findings contribute to a deeper understanding of </w:t>
      </w:r>
      <w:r>
        <w:t>activist</w:t>
      </w:r>
      <w:r w:rsidRPr="00EC5341">
        <w:t xml:space="preserve"> communication, particularly the way </w:t>
      </w:r>
      <w:r w:rsidR="009428DF">
        <w:t xml:space="preserve">in which </w:t>
      </w:r>
      <w:r w:rsidRPr="00EC5341">
        <w:t xml:space="preserve">slogans function as ideological vessels. Their familiarity lends legitimacy, but </w:t>
      </w:r>
      <w:r w:rsidR="00682272">
        <w:t>this familiarity</w:t>
      </w:r>
      <w:r w:rsidR="00682272" w:rsidRPr="00EC5341">
        <w:t xml:space="preserve"> </w:t>
      </w:r>
      <w:r w:rsidRPr="00EC5341">
        <w:t>also renders them vulnerable to reappropriation. Public relations</w:t>
      </w:r>
      <w:r w:rsidR="0005122A">
        <w:t xml:space="preserve">, </w:t>
      </w:r>
      <w:r w:rsidRPr="00EC5341">
        <w:t>as a field deeply engaged in the crafting and circulation of language</w:t>
      </w:r>
      <w:r w:rsidR="0005122A">
        <w:t xml:space="preserve">, </w:t>
      </w:r>
      <w:r w:rsidRPr="00EC5341">
        <w:t xml:space="preserve">plays a central role in this dynamic. Practitioners may develop campaigns that draw on activist language or </w:t>
      </w:r>
      <w:r w:rsidRPr="00EC5341">
        <w:lastRenderedPageBreak/>
        <w:t xml:space="preserve">defend causes targeted by rhetorical hijacking. As such, </w:t>
      </w:r>
      <w:r w:rsidR="00EA57E0">
        <w:t>public relations</w:t>
      </w:r>
      <w:r w:rsidR="00EA57E0" w:rsidRPr="00EC5341">
        <w:t xml:space="preserve"> </w:t>
      </w:r>
      <w:proofErr w:type="gramStart"/>
      <w:r w:rsidRPr="00EC5341">
        <w:t>does</w:t>
      </w:r>
      <w:proofErr w:type="gramEnd"/>
      <w:r w:rsidRPr="00EC5341">
        <w:t xml:space="preserve"> not merely operate in contested spaces; it helps construct and redefine them.</w:t>
      </w:r>
    </w:p>
    <w:p w14:paraId="69C52126" w14:textId="515828C8" w:rsidR="008D5DB9" w:rsidRPr="00EC5341" w:rsidRDefault="008C04B4" w:rsidP="008D5DB9">
      <w:r>
        <w:t>Arguably,</w:t>
      </w:r>
      <w:r w:rsidR="008D5DB9" w:rsidRPr="00EC5341">
        <w:t xml:space="preserve"> public relations is not just a technical or managerial function</w:t>
      </w:r>
      <w:r w:rsidR="008D5DB9">
        <w:t xml:space="preserve">; </w:t>
      </w:r>
      <w:r w:rsidR="008D5DB9" w:rsidRPr="00EC5341">
        <w:t xml:space="preserve">it is a profession deeply embedded in the negotiation of meaning, power, and legitimacy. The strategic use of language carries both influence and responsibility. </w:t>
      </w:r>
      <w:r w:rsidR="00F75BC3" w:rsidRPr="00F61212">
        <w:t>Slogans like “my body, my choice” remain powerful not only because of their rhetorical simplicity, but because of their symbolic weight.</w:t>
      </w:r>
      <w:r w:rsidR="00F75BC3">
        <w:t xml:space="preserve"> </w:t>
      </w:r>
      <w:r w:rsidR="008D5DB9" w:rsidRPr="00EC5341">
        <w:t xml:space="preserve">As </w:t>
      </w:r>
      <w:r w:rsidR="00C9685F">
        <w:t>they</w:t>
      </w:r>
      <w:r w:rsidR="008D5DB9" w:rsidRPr="00EC5341">
        <w:t xml:space="preserve"> are recast across ideological lines, </w:t>
      </w:r>
      <w:r>
        <w:t>public relations</w:t>
      </w:r>
      <w:r w:rsidRPr="00EC5341">
        <w:t xml:space="preserve"> </w:t>
      </w:r>
      <w:r w:rsidR="008D5DB9" w:rsidRPr="00EC5341">
        <w:t xml:space="preserve">practitioners and scholars must remain </w:t>
      </w:r>
      <w:r w:rsidR="009F2479">
        <w:t>attentive</w:t>
      </w:r>
      <w:r w:rsidR="008D5DB9" w:rsidRPr="00EC5341">
        <w:t xml:space="preserve"> to how their work may reinforce or challenge such shifts. Protecting the integrity of public communication requires not only rhetorical skill, but ethical reflection on the broader societal impacts of language appropriation in an increasingly polarised world.</w:t>
      </w:r>
    </w:p>
    <w:p w14:paraId="64562135" w14:textId="7BCD0132" w:rsidR="00E855AB" w:rsidRPr="006636EE" w:rsidRDefault="00723538" w:rsidP="00A54D55">
      <w:pPr>
        <w:pStyle w:val="Heading1"/>
      </w:pPr>
      <w:r w:rsidRPr="006636EE">
        <w:t>References</w:t>
      </w:r>
    </w:p>
    <w:p w14:paraId="012241E7" w14:textId="1F74C609" w:rsidR="00670CA7" w:rsidRPr="006636EE" w:rsidRDefault="5BCFF529" w:rsidP="00A54D55">
      <w:pPr>
        <w:ind w:left="720" w:hanging="720"/>
        <w:rPr>
          <w:rFonts w:eastAsia="Times New Roman" w:cs="Times New Roman"/>
          <w:szCs w:val="24"/>
        </w:rPr>
      </w:pPr>
      <w:r w:rsidRPr="006636EE">
        <w:rPr>
          <w:rFonts w:eastAsia="Times New Roman" w:cs="Times New Roman"/>
          <w:szCs w:val="24"/>
        </w:rPr>
        <w:t>ABC News. (2021</w:t>
      </w:r>
      <w:r w:rsidR="1814F8B1" w:rsidRPr="006636EE">
        <w:rPr>
          <w:rFonts w:eastAsia="Times New Roman" w:cs="Times New Roman"/>
          <w:szCs w:val="24"/>
        </w:rPr>
        <w:t>a</w:t>
      </w:r>
      <w:r w:rsidRPr="006636EE">
        <w:rPr>
          <w:rFonts w:eastAsia="Times New Roman" w:cs="Times New Roman"/>
          <w:szCs w:val="24"/>
        </w:rPr>
        <w:t xml:space="preserve">, February 20). </w:t>
      </w:r>
      <w:r w:rsidRPr="006636EE">
        <w:rPr>
          <w:rFonts w:eastAsia="Times New Roman" w:cs="Times New Roman"/>
          <w:i/>
          <w:iCs/>
          <w:szCs w:val="24"/>
        </w:rPr>
        <w:t>Anti-vaccination protesters chant “my body, my choice” at rallies ahead of coronavirus jab rollout</w:t>
      </w:r>
      <w:r w:rsidRPr="006636EE">
        <w:rPr>
          <w:rFonts w:eastAsia="Times New Roman" w:cs="Times New Roman"/>
          <w:szCs w:val="24"/>
        </w:rPr>
        <w:t xml:space="preserve">. </w:t>
      </w:r>
      <w:hyperlink r:id="rId8">
        <w:r w:rsidRPr="006636EE">
          <w:rPr>
            <w:rStyle w:val="Hyperlink"/>
            <w:rFonts w:eastAsia="Times New Roman" w:cs="Times New Roman"/>
            <w:szCs w:val="24"/>
          </w:rPr>
          <w:t>https://www.abc.net.au/news/2021-02-20/protests-against-covid-19-vaccination-around-australia/13175296</w:t>
        </w:r>
      </w:hyperlink>
      <w:r w:rsidRPr="006636EE">
        <w:rPr>
          <w:rFonts w:eastAsia="Times New Roman" w:cs="Times New Roman"/>
          <w:szCs w:val="24"/>
        </w:rPr>
        <w:t xml:space="preserve"> </w:t>
      </w:r>
    </w:p>
    <w:p w14:paraId="1C52C037" w14:textId="7BD728FB" w:rsidR="56FEB021" w:rsidRPr="006636EE" w:rsidRDefault="56FEB021" w:rsidP="00A54D55">
      <w:pPr>
        <w:ind w:left="720" w:hanging="720"/>
        <w:rPr>
          <w:rFonts w:eastAsia="Times New Roman" w:cs="Times New Roman"/>
          <w:szCs w:val="24"/>
        </w:rPr>
      </w:pPr>
      <w:r w:rsidRPr="006636EE">
        <w:rPr>
          <w:rFonts w:eastAsia="Times New Roman" w:cs="Times New Roman"/>
          <w:szCs w:val="24"/>
        </w:rPr>
        <w:t>ABC News (2021</w:t>
      </w:r>
      <w:r w:rsidR="2E5EAF2E" w:rsidRPr="006636EE">
        <w:rPr>
          <w:rFonts w:eastAsia="Times New Roman" w:cs="Times New Roman"/>
          <w:szCs w:val="24"/>
        </w:rPr>
        <w:t>b</w:t>
      </w:r>
      <w:r w:rsidRPr="006636EE">
        <w:rPr>
          <w:rFonts w:eastAsia="Times New Roman" w:cs="Times New Roman"/>
          <w:szCs w:val="24"/>
        </w:rPr>
        <w:t xml:space="preserve">, October 16). </w:t>
      </w:r>
      <w:proofErr w:type="gramStart"/>
      <w:r w:rsidRPr="006636EE">
        <w:rPr>
          <w:rFonts w:eastAsia="Times New Roman" w:cs="Times New Roman"/>
          <w:i/>
          <w:iCs/>
          <w:szCs w:val="24"/>
        </w:rPr>
        <w:t>Protest against</w:t>
      </w:r>
      <w:proofErr w:type="gramEnd"/>
      <w:r w:rsidRPr="006636EE">
        <w:rPr>
          <w:rFonts w:eastAsia="Times New Roman" w:cs="Times New Roman"/>
          <w:i/>
          <w:iCs/>
          <w:szCs w:val="24"/>
        </w:rPr>
        <w:t xml:space="preserve"> mandatory vaccinations in Perth earns rebuke from Australian Medical Association’s WA president. </w:t>
      </w:r>
      <w:hyperlink r:id="rId9">
        <w:r w:rsidR="005955AE" w:rsidRPr="006636EE">
          <w:rPr>
            <w:rStyle w:val="Hyperlink"/>
            <w:rFonts w:eastAsia="Times New Roman" w:cs="Times New Roman"/>
            <w:szCs w:val="24"/>
          </w:rPr>
          <w:t>https://www.abc.net.au/news/2021-10-16/wa-covid-protest-perth-forrest-place-anti-vaccines/100545066</w:t>
        </w:r>
      </w:hyperlink>
      <w:r w:rsidR="005955AE" w:rsidRPr="006636EE">
        <w:rPr>
          <w:rFonts w:eastAsia="Times New Roman" w:cs="Times New Roman"/>
          <w:szCs w:val="24"/>
        </w:rPr>
        <w:t xml:space="preserve"> </w:t>
      </w:r>
    </w:p>
    <w:p w14:paraId="2AAD0C28" w14:textId="51107A22" w:rsidR="00C349A8" w:rsidRPr="006636EE" w:rsidRDefault="00F26D16" w:rsidP="00A54D55">
      <w:pPr>
        <w:ind w:left="720" w:hanging="720"/>
        <w:rPr>
          <w:rFonts w:eastAsia="Times New Roman" w:cs="Times New Roman"/>
          <w:i/>
          <w:iCs/>
          <w:szCs w:val="24"/>
        </w:rPr>
      </w:pPr>
      <w:r w:rsidRPr="006636EE">
        <w:rPr>
          <w:rFonts w:eastAsia="Times New Roman" w:cs="Times New Roman"/>
          <w:szCs w:val="24"/>
        </w:rPr>
        <w:t>1</w:t>
      </w:r>
      <w:r w:rsidR="00DF6304" w:rsidRPr="006636EE">
        <w:rPr>
          <w:rFonts w:eastAsia="Times New Roman" w:cs="Times New Roman"/>
          <w:szCs w:val="24"/>
        </w:rPr>
        <w:t>News (</w:t>
      </w:r>
      <w:r w:rsidR="008673A0" w:rsidRPr="006636EE">
        <w:rPr>
          <w:rFonts w:eastAsia="Times New Roman" w:cs="Times New Roman"/>
          <w:szCs w:val="24"/>
        </w:rPr>
        <w:t>3 November 2021)</w:t>
      </w:r>
      <w:r w:rsidRPr="006636EE">
        <w:rPr>
          <w:rFonts w:eastAsia="Times New Roman" w:cs="Times New Roman"/>
          <w:szCs w:val="24"/>
        </w:rPr>
        <w:t>.</w:t>
      </w:r>
      <w:r w:rsidRPr="006636EE">
        <w:rPr>
          <w:rFonts w:eastAsia="Times New Roman" w:cs="Times New Roman"/>
          <w:i/>
          <w:iCs/>
          <w:szCs w:val="24"/>
        </w:rPr>
        <w:t xml:space="preserve"> </w:t>
      </w:r>
      <w:r w:rsidR="00C349A8" w:rsidRPr="006636EE">
        <w:rPr>
          <w:rFonts w:eastAsia="Times New Roman" w:cs="Times New Roman"/>
          <w:i/>
          <w:iCs/>
          <w:szCs w:val="24"/>
        </w:rPr>
        <w:t>Ardern abandons scheduled event in Whanganui due to protesters</w:t>
      </w:r>
      <w:r w:rsidRPr="006636EE">
        <w:rPr>
          <w:rFonts w:eastAsia="Times New Roman" w:cs="Times New Roman"/>
          <w:i/>
          <w:iCs/>
          <w:szCs w:val="24"/>
        </w:rPr>
        <w:t>.</w:t>
      </w:r>
      <w:r w:rsidRPr="006636EE">
        <w:rPr>
          <w:rFonts w:eastAsia="Times New Roman" w:cs="Times New Roman"/>
        </w:rPr>
        <w:t xml:space="preserve"> </w:t>
      </w:r>
      <w:hyperlink r:id="rId10">
        <w:r w:rsidRPr="006636EE">
          <w:rPr>
            <w:rStyle w:val="Hyperlink"/>
            <w:rFonts w:eastAsia="Times New Roman" w:cs="Times New Roman"/>
            <w:szCs w:val="24"/>
          </w:rPr>
          <w:t>https://www.1news.co.nz/2021/11/03/ardern-abandons-scheduled-event-in-whanganui-due-to-protesters/</w:t>
        </w:r>
      </w:hyperlink>
      <w:r w:rsidRPr="006636EE">
        <w:rPr>
          <w:rFonts w:eastAsia="Times New Roman" w:cs="Times New Roman"/>
          <w:szCs w:val="24"/>
        </w:rPr>
        <w:t xml:space="preserve"> </w:t>
      </w:r>
    </w:p>
    <w:p w14:paraId="7E2C78FD" w14:textId="391B82FB" w:rsidR="0079547F" w:rsidRPr="006636EE" w:rsidRDefault="01457EBD" w:rsidP="00A54D55">
      <w:pPr>
        <w:ind w:left="720" w:hanging="720"/>
        <w:rPr>
          <w:rFonts w:eastAsia="Times New Roman" w:cs="Times New Roman"/>
          <w:szCs w:val="24"/>
        </w:rPr>
      </w:pPr>
      <w:r w:rsidRPr="006636EE">
        <w:rPr>
          <w:rFonts w:eastAsia="Times New Roman" w:cs="Times New Roman"/>
          <w:szCs w:val="24"/>
        </w:rPr>
        <w:lastRenderedPageBreak/>
        <w:t xml:space="preserve"> </w:t>
      </w:r>
      <w:proofErr w:type="spellStart"/>
      <w:r w:rsidR="1B802ADF" w:rsidRPr="006636EE">
        <w:rPr>
          <w:rFonts w:eastAsia="Times New Roman" w:cs="Times New Roman"/>
          <w:szCs w:val="24"/>
        </w:rPr>
        <w:t>Askanius</w:t>
      </w:r>
      <w:proofErr w:type="spellEnd"/>
      <w:r w:rsidR="1B802ADF" w:rsidRPr="006636EE">
        <w:rPr>
          <w:rFonts w:eastAsia="Times New Roman" w:cs="Times New Roman"/>
          <w:szCs w:val="24"/>
        </w:rPr>
        <w:t xml:space="preserve">, T., Molas, B., &amp; </w:t>
      </w:r>
      <w:proofErr w:type="spellStart"/>
      <w:r w:rsidR="1B802ADF" w:rsidRPr="006636EE">
        <w:rPr>
          <w:rFonts w:eastAsia="Times New Roman" w:cs="Times New Roman"/>
          <w:szCs w:val="24"/>
        </w:rPr>
        <w:t>Amarasingam</w:t>
      </w:r>
      <w:proofErr w:type="spellEnd"/>
      <w:r w:rsidR="1B802ADF" w:rsidRPr="006636EE">
        <w:rPr>
          <w:rFonts w:eastAsia="Times New Roman" w:cs="Times New Roman"/>
          <w:szCs w:val="24"/>
        </w:rPr>
        <w:t xml:space="preserve">, A. (2024). Far-right extremist narratives in Canadian and Swedish COVID-19 protests: a comparative case study of the Freedom Movement and Freedom Convoy. </w:t>
      </w:r>
      <w:proofErr w:type="spellStart"/>
      <w:r w:rsidR="1B802ADF" w:rsidRPr="006636EE">
        <w:rPr>
          <w:rFonts w:eastAsia="Times New Roman" w:cs="Times New Roman"/>
          <w:i/>
          <w:iCs/>
          <w:szCs w:val="24"/>
        </w:rPr>
        <w:t>Behavioral</w:t>
      </w:r>
      <w:proofErr w:type="spellEnd"/>
      <w:r w:rsidR="1B802ADF" w:rsidRPr="006636EE">
        <w:rPr>
          <w:rFonts w:eastAsia="Times New Roman" w:cs="Times New Roman"/>
          <w:i/>
          <w:iCs/>
          <w:szCs w:val="24"/>
        </w:rPr>
        <w:t xml:space="preserve"> Sciences of Terrorism and Political Aggression</w:t>
      </w:r>
      <w:r w:rsidR="1B802ADF" w:rsidRPr="006636EE">
        <w:rPr>
          <w:rFonts w:eastAsia="Times New Roman" w:cs="Times New Roman"/>
          <w:szCs w:val="24"/>
        </w:rPr>
        <w:t xml:space="preserve">, 1-21. </w:t>
      </w:r>
      <w:hyperlink r:id="rId11">
        <w:r w:rsidR="00A33D12" w:rsidRPr="006636EE">
          <w:rPr>
            <w:rStyle w:val="Hyperlink"/>
            <w:rFonts w:eastAsia="Times New Roman" w:cs="Times New Roman"/>
            <w:szCs w:val="24"/>
          </w:rPr>
          <w:t>https://doi.org/10.1080/19434472.2024.2340492</w:t>
        </w:r>
      </w:hyperlink>
      <w:r w:rsidR="00A33D12" w:rsidRPr="006636EE">
        <w:rPr>
          <w:rFonts w:eastAsia="Times New Roman" w:cs="Times New Roman"/>
          <w:szCs w:val="24"/>
        </w:rPr>
        <w:t xml:space="preserve"> </w:t>
      </w:r>
    </w:p>
    <w:p w14:paraId="086EA784" w14:textId="5EA92F55" w:rsidR="00654A4E" w:rsidRPr="006636EE" w:rsidRDefault="00654A4E" w:rsidP="00A54D55">
      <w:pPr>
        <w:ind w:left="720" w:hanging="720"/>
        <w:rPr>
          <w:rFonts w:eastAsia="Times New Roman" w:cs="Times New Roman"/>
          <w:szCs w:val="24"/>
        </w:rPr>
      </w:pPr>
      <w:r w:rsidRPr="006636EE">
        <w:rPr>
          <w:rFonts w:eastAsia="Times New Roman" w:cs="Times New Roman"/>
          <w:szCs w:val="24"/>
        </w:rPr>
        <w:t>Amnesty International. (</w:t>
      </w:r>
      <w:proofErr w:type="spellStart"/>
      <w:r w:rsidR="1431330C" w:rsidRPr="006636EE">
        <w:rPr>
          <w:rFonts w:eastAsia="Times New Roman" w:cs="Times New Roman"/>
          <w:szCs w:val="24"/>
        </w:rPr>
        <w:t>n.d.</w:t>
      </w:r>
      <w:r w:rsidR="285E905F" w:rsidRPr="006636EE">
        <w:rPr>
          <w:rFonts w:eastAsia="Times New Roman" w:cs="Times New Roman"/>
          <w:szCs w:val="24"/>
        </w:rPr>
        <w:t>a</w:t>
      </w:r>
      <w:proofErr w:type="spellEnd"/>
      <w:r w:rsidRPr="006636EE">
        <w:rPr>
          <w:rFonts w:eastAsia="Times New Roman" w:cs="Times New Roman"/>
          <w:szCs w:val="24"/>
        </w:rPr>
        <w:t xml:space="preserve">). </w:t>
      </w:r>
      <w:r w:rsidR="002B52E4" w:rsidRPr="006636EE">
        <w:rPr>
          <w:rFonts w:eastAsia="Times New Roman" w:cs="Times New Roman"/>
          <w:i/>
          <w:iCs/>
          <w:szCs w:val="24"/>
        </w:rPr>
        <w:t>My body My Rights</w:t>
      </w:r>
      <w:r w:rsidRPr="006636EE">
        <w:rPr>
          <w:rFonts w:eastAsia="Times New Roman" w:cs="Times New Roman"/>
          <w:i/>
          <w:iCs/>
          <w:szCs w:val="24"/>
        </w:rPr>
        <w:t xml:space="preserve"> - Amnesty International</w:t>
      </w:r>
      <w:r w:rsidRPr="006636EE">
        <w:rPr>
          <w:rFonts w:eastAsia="Times New Roman" w:cs="Times New Roman"/>
          <w:szCs w:val="24"/>
        </w:rPr>
        <w:t xml:space="preserve">. </w:t>
      </w:r>
      <w:hyperlink r:id="rId12">
        <w:r w:rsidRPr="006636EE">
          <w:rPr>
            <w:rStyle w:val="Hyperlink"/>
            <w:rFonts w:eastAsia="Times New Roman" w:cs="Times New Roman"/>
            <w:szCs w:val="24"/>
          </w:rPr>
          <w:t>https://www.amnesty.org/en/get-involved/my-body-my-rights/</w:t>
        </w:r>
      </w:hyperlink>
      <w:r w:rsidRPr="006636EE">
        <w:rPr>
          <w:rFonts w:eastAsia="Times New Roman" w:cs="Times New Roman"/>
          <w:szCs w:val="24"/>
        </w:rPr>
        <w:t xml:space="preserve"> </w:t>
      </w:r>
    </w:p>
    <w:p w14:paraId="37FBE694" w14:textId="36272E9A" w:rsidR="00805EEC" w:rsidRPr="006636EE" w:rsidRDefault="00805EEC" w:rsidP="00A54D55">
      <w:pPr>
        <w:ind w:left="720" w:hanging="720"/>
        <w:rPr>
          <w:rFonts w:eastAsia="Times New Roman" w:cs="Times New Roman"/>
          <w:szCs w:val="24"/>
        </w:rPr>
      </w:pPr>
      <w:r w:rsidRPr="006636EE">
        <w:rPr>
          <w:rFonts w:eastAsia="Times New Roman" w:cs="Times New Roman"/>
          <w:szCs w:val="24"/>
        </w:rPr>
        <w:t>Amnesty International. (</w:t>
      </w:r>
      <w:proofErr w:type="spellStart"/>
      <w:r w:rsidR="1D5F7758" w:rsidRPr="006636EE">
        <w:rPr>
          <w:rFonts w:eastAsia="Times New Roman" w:cs="Times New Roman"/>
          <w:szCs w:val="24"/>
        </w:rPr>
        <w:t>n.d.b</w:t>
      </w:r>
      <w:proofErr w:type="spellEnd"/>
      <w:r w:rsidRPr="006636EE">
        <w:rPr>
          <w:rFonts w:eastAsia="Times New Roman" w:cs="Times New Roman"/>
          <w:szCs w:val="24"/>
        </w:rPr>
        <w:t xml:space="preserve">). </w:t>
      </w:r>
      <w:r w:rsidRPr="006636EE">
        <w:rPr>
          <w:rFonts w:eastAsia="Times New Roman" w:cs="Times New Roman"/>
          <w:i/>
          <w:iCs/>
          <w:szCs w:val="24"/>
        </w:rPr>
        <w:t>Abortion Rights - Amnesty International</w:t>
      </w:r>
      <w:r w:rsidRPr="006636EE">
        <w:rPr>
          <w:rFonts w:eastAsia="Times New Roman" w:cs="Times New Roman"/>
          <w:szCs w:val="24"/>
        </w:rPr>
        <w:t xml:space="preserve">. </w:t>
      </w:r>
      <w:hyperlink r:id="rId13">
        <w:r w:rsidRPr="006636EE">
          <w:rPr>
            <w:rStyle w:val="Hyperlink"/>
            <w:rFonts w:eastAsia="Times New Roman" w:cs="Times New Roman"/>
            <w:szCs w:val="24"/>
          </w:rPr>
          <w:t>https://www.amnesty.org/en/what-we-do/sexual-and-reproductive-rights/abortion-facts/</w:t>
        </w:r>
      </w:hyperlink>
      <w:r w:rsidRPr="006636EE">
        <w:rPr>
          <w:rFonts w:eastAsia="Times New Roman" w:cs="Times New Roman"/>
          <w:szCs w:val="24"/>
        </w:rPr>
        <w:t xml:space="preserve"> </w:t>
      </w:r>
    </w:p>
    <w:p w14:paraId="2848AA3A" w14:textId="49E48A3C" w:rsidR="0098705D" w:rsidRPr="006636EE" w:rsidRDefault="0098705D" w:rsidP="00A54D55">
      <w:pPr>
        <w:ind w:left="720" w:hanging="720"/>
        <w:rPr>
          <w:rFonts w:eastAsia="Times New Roman" w:cs="Times New Roman"/>
          <w:szCs w:val="24"/>
        </w:rPr>
      </w:pPr>
      <w:r w:rsidRPr="006636EE">
        <w:rPr>
          <w:rFonts w:eastAsia="Times New Roman" w:cs="Times New Roman"/>
          <w:szCs w:val="24"/>
        </w:rPr>
        <w:t xml:space="preserve">Benton, B., &amp; Peterka-Benton, D. (2020). Hating in plain sight: The </w:t>
      </w:r>
      <w:proofErr w:type="spellStart"/>
      <w:r w:rsidRPr="006636EE">
        <w:rPr>
          <w:rFonts w:eastAsia="Times New Roman" w:cs="Times New Roman"/>
          <w:szCs w:val="24"/>
        </w:rPr>
        <w:t>hatejacking</w:t>
      </w:r>
      <w:proofErr w:type="spellEnd"/>
      <w:r w:rsidRPr="006636EE">
        <w:rPr>
          <w:rFonts w:eastAsia="Times New Roman" w:cs="Times New Roman"/>
          <w:szCs w:val="24"/>
        </w:rPr>
        <w:t xml:space="preserve"> of brands by extremist groups. </w:t>
      </w:r>
      <w:r w:rsidRPr="006636EE">
        <w:rPr>
          <w:rFonts w:eastAsia="Times New Roman" w:cs="Times New Roman"/>
          <w:i/>
          <w:iCs/>
          <w:szCs w:val="24"/>
        </w:rPr>
        <w:t>Public Relations Inquiry, 9</w:t>
      </w:r>
      <w:r w:rsidRPr="006636EE">
        <w:rPr>
          <w:rFonts w:eastAsia="Times New Roman" w:cs="Times New Roman"/>
          <w:szCs w:val="24"/>
        </w:rPr>
        <w:t xml:space="preserve">(1), 7–26. </w:t>
      </w:r>
      <w:hyperlink r:id="rId14">
        <w:r w:rsidR="00805EEC" w:rsidRPr="006636EE">
          <w:rPr>
            <w:rStyle w:val="Hyperlink"/>
            <w:rFonts w:eastAsia="Times New Roman" w:cs="Times New Roman"/>
            <w:szCs w:val="24"/>
          </w:rPr>
          <w:t>https://doi.org/10.1177/2046147X19863838</w:t>
        </w:r>
      </w:hyperlink>
      <w:r w:rsidR="00805EEC" w:rsidRPr="006636EE">
        <w:rPr>
          <w:rFonts w:eastAsia="Times New Roman" w:cs="Times New Roman"/>
          <w:szCs w:val="24"/>
        </w:rPr>
        <w:t xml:space="preserve"> </w:t>
      </w:r>
    </w:p>
    <w:p w14:paraId="2117809F" w14:textId="43B320FE" w:rsidR="00B75CBD" w:rsidRPr="006636EE" w:rsidRDefault="2582D98F"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Bourdieu, P. (1997). The forms of capital. In A. H. Halsey, H. Lauder, P. Brown &amp; A. S. Wels (Eds.), Education: Culture, economy, and society</w:t>
      </w:r>
      <w:r w:rsidR="3B2DC7B6" w:rsidRPr="006636EE">
        <w:rPr>
          <w:rFonts w:eastAsia="Times New Roman" w:cs="Times New Roman"/>
          <w:szCs w:val="24"/>
        </w:rPr>
        <w:t xml:space="preserve"> (pp.241-258).</w:t>
      </w:r>
      <w:r w:rsidRPr="006636EE">
        <w:rPr>
          <w:rFonts w:eastAsia="Times New Roman" w:cs="Times New Roman"/>
          <w:szCs w:val="24"/>
        </w:rPr>
        <w:t xml:space="preserve"> Oxford University Press. </w:t>
      </w:r>
    </w:p>
    <w:p w14:paraId="36529FE1" w14:textId="7FE39BC0" w:rsidR="00B75CBD" w:rsidRDefault="2582D98F"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Bourdieu, P., &amp; Wacquant, L. J. D. (1992). </w:t>
      </w:r>
      <w:r w:rsidRPr="006636EE">
        <w:rPr>
          <w:rFonts w:eastAsia="Times New Roman" w:cs="Times New Roman"/>
          <w:i/>
          <w:iCs/>
          <w:szCs w:val="24"/>
        </w:rPr>
        <w:t>An invitation to reflexive sociology</w:t>
      </w:r>
      <w:r w:rsidR="003C0F84" w:rsidRPr="006636EE">
        <w:rPr>
          <w:rFonts w:eastAsia="Times New Roman" w:cs="Times New Roman"/>
          <w:szCs w:val="24"/>
        </w:rPr>
        <w:t>.</w:t>
      </w:r>
      <w:r w:rsidRPr="006636EE">
        <w:rPr>
          <w:rFonts w:eastAsia="Times New Roman" w:cs="Times New Roman"/>
          <w:szCs w:val="24"/>
        </w:rPr>
        <w:t xml:space="preserve"> University of Chicago Press. </w:t>
      </w:r>
    </w:p>
    <w:p w14:paraId="0E91213C" w14:textId="3890544E" w:rsidR="00143830" w:rsidRPr="006636EE" w:rsidRDefault="00143830" w:rsidP="00A54D55">
      <w:pPr>
        <w:autoSpaceDE w:val="0"/>
        <w:autoSpaceDN w:val="0"/>
        <w:adjustRightInd w:val="0"/>
        <w:ind w:left="720" w:hanging="720"/>
        <w:rPr>
          <w:rFonts w:eastAsia="Times New Roman" w:cs="Times New Roman"/>
          <w:szCs w:val="24"/>
        </w:rPr>
      </w:pPr>
      <w:r>
        <w:rPr>
          <w:rFonts w:eastAsia="Times New Roman" w:cs="Times New Roman"/>
          <w:szCs w:val="24"/>
        </w:rPr>
        <w:t xml:space="preserve">Boyland, J. R. (2019). </w:t>
      </w:r>
      <w:r w:rsidR="00785AF0" w:rsidRPr="00785AF0">
        <w:rPr>
          <w:rFonts w:eastAsia="Times New Roman" w:cs="Times New Roman"/>
          <w:szCs w:val="24"/>
        </w:rPr>
        <w:t>A social constructivist approach to the gathering of empirical data</w:t>
      </w:r>
      <w:r w:rsidR="00785AF0">
        <w:rPr>
          <w:rFonts w:eastAsia="Times New Roman" w:cs="Times New Roman"/>
          <w:szCs w:val="24"/>
        </w:rPr>
        <w:t xml:space="preserve">. </w:t>
      </w:r>
      <w:r w:rsidR="00785AF0" w:rsidRPr="00926D93">
        <w:rPr>
          <w:rFonts w:eastAsia="Times New Roman" w:cs="Times New Roman"/>
          <w:i/>
          <w:iCs/>
          <w:szCs w:val="24"/>
        </w:rPr>
        <w:t>Australian Counselling Research Journal</w:t>
      </w:r>
      <w:r w:rsidR="001F6A8C" w:rsidRPr="00926D93">
        <w:rPr>
          <w:rFonts w:eastAsia="Times New Roman" w:cs="Times New Roman"/>
          <w:i/>
          <w:iCs/>
          <w:szCs w:val="24"/>
        </w:rPr>
        <w:t>, 13</w:t>
      </w:r>
      <w:r w:rsidR="001F6A8C">
        <w:rPr>
          <w:rFonts w:eastAsia="Times New Roman" w:cs="Times New Roman"/>
          <w:szCs w:val="24"/>
        </w:rPr>
        <w:t>(2), 30-35.</w:t>
      </w:r>
    </w:p>
    <w:p w14:paraId="65841A73" w14:textId="4B796264" w:rsidR="00B75CBD" w:rsidRPr="006636EE" w:rsidRDefault="67B43F8C"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Branagan, M. (2007). Activism and the power of humour. </w:t>
      </w:r>
      <w:r w:rsidRPr="006636EE">
        <w:rPr>
          <w:rFonts w:eastAsia="Times New Roman" w:cs="Times New Roman"/>
          <w:i/>
          <w:iCs/>
          <w:szCs w:val="24"/>
        </w:rPr>
        <w:t>Australian Journal of Communication 34</w:t>
      </w:r>
      <w:r w:rsidRPr="006636EE">
        <w:rPr>
          <w:rFonts w:eastAsia="Times New Roman" w:cs="Times New Roman"/>
          <w:szCs w:val="24"/>
        </w:rPr>
        <w:t xml:space="preserve">(1), 41-54. </w:t>
      </w:r>
      <w:hyperlink r:id="rId15">
        <w:r w:rsidR="30CE2EEF" w:rsidRPr="006636EE">
          <w:rPr>
            <w:rStyle w:val="Hyperlink"/>
            <w:rFonts w:eastAsia="Times New Roman" w:cs="Times New Roman"/>
            <w:szCs w:val="24"/>
          </w:rPr>
          <w:t>https://hdl.handle.net/1959.11/1735</w:t>
        </w:r>
      </w:hyperlink>
      <w:r w:rsidR="30CE2EEF" w:rsidRPr="006636EE">
        <w:rPr>
          <w:rFonts w:eastAsia="Times New Roman" w:cs="Times New Roman"/>
          <w:szCs w:val="24"/>
        </w:rPr>
        <w:t xml:space="preserve"> </w:t>
      </w:r>
    </w:p>
    <w:p w14:paraId="43E96B29" w14:textId="2DF9A250" w:rsidR="00B75CBD" w:rsidRPr="006636EE" w:rsidRDefault="00B75CBD" w:rsidP="00A54D55">
      <w:pPr>
        <w:autoSpaceDE w:val="0"/>
        <w:autoSpaceDN w:val="0"/>
        <w:adjustRightInd w:val="0"/>
        <w:ind w:left="720" w:hanging="720"/>
        <w:rPr>
          <w:rFonts w:eastAsia="Times New Roman" w:cs="Times New Roman"/>
          <w:szCs w:val="24"/>
        </w:rPr>
      </w:pPr>
      <w:proofErr w:type="spellStart"/>
      <w:r w:rsidRPr="006636EE">
        <w:rPr>
          <w:rFonts w:eastAsia="Times New Roman" w:cs="Times New Roman"/>
          <w:szCs w:val="24"/>
        </w:rPr>
        <w:lastRenderedPageBreak/>
        <w:t>Buscatto</w:t>
      </w:r>
      <w:proofErr w:type="spellEnd"/>
      <w:r w:rsidR="00FB2078" w:rsidRPr="006636EE">
        <w:rPr>
          <w:rFonts w:eastAsia="Times New Roman" w:cs="Times New Roman"/>
          <w:szCs w:val="24"/>
        </w:rPr>
        <w:t>,</w:t>
      </w:r>
      <w:r w:rsidRPr="006636EE">
        <w:rPr>
          <w:rFonts w:eastAsia="Times New Roman" w:cs="Times New Roman"/>
          <w:szCs w:val="24"/>
        </w:rPr>
        <w:t xml:space="preserve"> M</w:t>
      </w:r>
      <w:r w:rsidR="00FB2078" w:rsidRPr="006636EE">
        <w:rPr>
          <w:rFonts w:eastAsia="Times New Roman" w:cs="Times New Roman"/>
          <w:szCs w:val="24"/>
        </w:rPr>
        <w:t>.</w:t>
      </w:r>
      <w:r w:rsidRPr="006636EE">
        <w:rPr>
          <w:rFonts w:eastAsia="Times New Roman" w:cs="Times New Roman"/>
          <w:szCs w:val="24"/>
        </w:rPr>
        <w:t xml:space="preserve"> (2021)</w:t>
      </w:r>
      <w:r w:rsidR="00776543" w:rsidRPr="006636EE">
        <w:rPr>
          <w:rFonts w:eastAsia="Times New Roman" w:cs="Times New Roman"/>
          <w:szCs w:val="24"/>
        </w:rPr>
        <w:t>.</w:t>
      </w:r>
      <w:r w:rsidRPr="006636EE">
        <w:rPr>
          <w:rFonts w:eastAsia="Times New Roman" w:cs="Times New Roman"/>
          <w:szCs w:val="24"/>
        </w:rPr>
        <w:t xml:space="preserve"> Practising reflexivity in ethnography. In Silverman</w:t>
      </w:r>
      <w:r w:rsidR="00FB2078" w:rsidRPr="006636EE">
        <w:rPr>
          <w:rFonts w:eastAsia="Times New Roman" w:cs="Times New Roman"/>
          <w:szCs w:val="24"/>
        </w:rPr>
        <w:t>,</w:t>
      </w:r>
      <w:r w:rsidRPr="006636EE">
        <w:rPr>
          <w:rFonts w:eastAsia="Times New Roman" w:cs="Times New Roman"/>
          <w:szCs w:val="24"/>
        </w:rPr>
        <w:t xml:space="preserve"> D</w:t>
      </w:r>
      <w:r w:rsidR="00FB2078" w:rsidRPr="006636EE">
        <w:rPr>
          <w:rFonts w:eastAsia="Times New Roman" w:cs="Times New Roman"/>
          <w:szCs w:val="24"/>
        </w:rPr>
        <w:t>.</w:t>
      </w:r>
      <w:r w:rsidRPr="006636EE">
        <w:rPr>
          <w:rFonts w:eastAsia="Times New Roman" w:cs="Times New Roman"/>
          <w:szCs w:val="24"/>
        </w:rPr>
        <w:t xml:space="preserve"> (ed</w:t>
      </w:r>
      <w:r w:rsidR="00261BF3" w:rsidRPr="006636EE">
        <w:rPr>
          <w:rFonts w:eastAsia="Times New Roman" w:cs="Times New Roman"/>
          <w:szCs w:val="24"/>
        </w:rPr>
        <w:t>.</w:t>
      </w:r>
      <w:r w:rsidRPr="006636EE">
        <w:rPr>
          <w:rFonts w:eastAsia="Times New Roman" w:cs="Times New Roman"/>
          <w:szCs w:val="24"/>
        </w:rPr>
        <w:t xml:space="preserve">) </w:t>
      </w:r>
      <w:r w:rsidRPr="006636EE">
        <w:rPr>
          <w:rFonts w:eastAsia="Times New Roman" w:cs="Times New Roman"/>
          <w:i/>
          <w:iCs/>
          <w:szCs w:val="24"/>
        </w:rPr>
        <w:t>Qualitative</w:t>
      </w:r>
      <w:r w:rsidR="00261BF3" w:rsidRPr="006636EE">
        <w:rPr>
          <w:rFonts w:eastAsia="Times New Roman" w:cs="Times New Roman"/>
          <w:i/>
          <w:iCs/>
          <w:szCs w:val="24"/>
        </w:rPr>
        <w:t xml:space="preserve"> </w:t>
      </w:r>
      <w:r w:rsidRPr="006636EE">
        <w:rPr>
          <w:rFonts w:eastAsia="Times New Roman" w:cs="Times New Roman"/>
          <w:i/>
          <w:iCs/>
          <w:szCs w:val="24"/>
        </w:rPr>
        <w:t>Research</w:t>
      </w:r>
      <w:r w:rsidR="00FB2078" w:rsidRPr="006636EE">
        <w:rPr>
          <w:rFonts w:eastAsia="Times New Roman" w:cs="Times New Roman"/>
          <w:szCs w:val="24"/>
        </w:rPr>
        <w:t xml:space="preserve"> (pp. 147–162)</w:t>
      </w:r>
      <w:r w:rsidRPr="006636EE">
        <w:rPr>
          <w:rFonts w:eastAsia="Times New Roman" w:cs="Times New Roman"/>
          <w:szCs w:val="24"/>
        </w:rPr>
        <w:t>. Sage Publications</w:t>
      </w:r>
      <w:r w:rsidR="00081034" w:rsidRPr="006636EE">
        <w:rPr>
          <w:rFonts w:eastAsia="Times New Roman" w:cs="Times New Roman"/>
          <w:szCs w:val="24"/>
        </w:rPr>
        <w:t>.</w:t>
      </w:r>
    </w:p>
    <w:p w14:paraId="1BE9B273" w14:textId="77777777" w:rsidR="006E3C41" w:rsidRDefault="006E3C41" w:rsidP="00A54D55">
      <w:pPr>
        <w:ind w:left="720" w:hanging="720"/>
        <w:rPr>
          <w:rFonts w:eastAsia="Times New Roman" w:cs="Times New Roman"/>
          <w:szCs w:val="24"/>
          <w:shd w:val="clear" w:color="auto" w:fill="FFFFFF"/>
          <w:lang w:val="en-AU"/>
        </w:rPr>
      </w:pPr>
      <w:r w:rsidRPr="006E3C41">
        <w:rPr>
          <w:rFonts w:eastAsia="Times New Roman" w:cs="Times New Roman"/>
          <w:szCs w:val="24"/>
          <w:shd w:val="clear" w:color="auto" w:fill="FFFFFF"/>
          <w:lang w:val="en-AU"/>
        </w:rPr>
        <w:t xml:space="preserve">Ciszek, E. L. (2017). Public relations, activism and identity: A cultural-economic examination of contemporary LGBT activism. </w:t>
      </w:r>
      <w:r w:rsidRPr="006E3C41">
        <w:rPr>
          <w:rFonts w:eastAsia="Times New Roman" w:cs="Times New Roman"/>
          <w:i/>
          <w:iCs/>
          <w:szCs w:val="24"/>
          <w:shd w:val="clear" w:color="auto" w:fill="FFFFFF"/>
          <w:lang w:val="en-AU"/>
        </w:rPr>
        <w:t>Public Relations Review</w:t>
      </w:r>
      <w:r w:rsidRPr="006E3C41">
        <w:rPr>
          <w:rFonts w:eastAsia="Times New Roman" w:cs="Times New Roman"/>
          <w:szCs w:val="24"/>
          <w:shd w:val="clear" w:color="auto" w:fill="FFFFFF"/>
          <w:lang w:val="en-AU"/>
        </w:rPr>
        <w:t>,</w:t>
      </w:r>
      <w:r w:rsidRPr="006E3C41">
        <w:rPr>
          <w:rFonts w:eastAsia="Times New Roman" w:cs="Times New Roman"/>
          <w:i/>
          <w:iCs/>
          <w:szCs w:val="24"/>
          <w:shd w:val="clear" w:color="auto" w:fill="FFFFFF"/>
          <w:lang w:val="en-AU"/>
        </w:rPr>
        <w:t xml:space="preserve"> 43</w:t>
      </w:r>
      <w:r w:rsidRPr="006E3C41">
        <w:rPr>
          <w:rFonts w:eastAsia="Times New Roman" w:cs="Times New Roman"/>
          <w:szCs w:val="24"/>
          <w:shd w:val="clear" w:color="auto" w:fill="FFFFFF"/>
          <w:lang w:val="en-AU"/>
        </w:rPr>
        <w:t xml:space="preserve">(4), 809-816. https://doi.org/https://doi.org/10.1016/j.pubrev.2017.01.005 </w:t>
      </w:r>
    </w:p>
    <w:p w14:paraId="116516E1" w14:textId="46F764FA" w:rsidR="00614A73" w:rsidRPr="006636EE" w:rsidRDefault="11803BE4" w:rsidP="00A54D55">
      <w:pPr>
        <w:ind w:left="720" w:hanging="720"/>
        <w:rPr>
          <w:rFonts w:eastAsia="Times New Roman" w:cs="Times New Roman"/>
          <w:szCs w:val="24"/>
          <w:shd w:val="clear" w:color="auto" w:fill="FFFFFF"/>
        </w:rPr>
      </w:pPr>
      <w:r w:rsidRPr="006636EE">
        <w:rPr>
          <w:rStyle w:val="normaltextrun"/>
          <w:rFonts w:eastAsia="Times New Roman" w:cs="Times New Roman"/>
          <w:szCs w:val="24"/>
          <w:shd w:val="clear" w:color="auto" w:fill="FFFFFF"/>
        </w:rPr>
        <w:t>Colgrove, J.</w:t>
      </w:r>
      <w:r w:rsidR="3DE566A8" w:rsidRPr="006636EE">
        <w:rPr>
          <w:rStyle w:val="normaltextrun"/>
          <w:rFonts w:eastAsia="Times New Roman" w:cs="Times New Roman"/>
          <w:szCs w:val="24"/>
          <w:shd w:val="clear" w:color="auto" w:fill="FFFFFF"/>
        </w:rPr>
        <w:t>, &amp; Samuel</w:t>
      </w:r>
      <w:r w:rsidRPr="006636EE">
        <w:rPr>
          <w:rStyle w:val="normaltextrun"/>
          <w:rFonts w:eastAsia="Times New Roman" w:cs="Times New Roman"/>
          <w:szCs w:val="24"/>
          <w:shd w:val="clear" w:color="auto" w:fill="FFFFFF"/>
        </w:rPr>
        <w:t>, S.</w:t>
      </w:r>
      <w:r w:rsidR="3DE566A8" w:rsidRPr="006636EE">
        <w:rPr>
          <w:rStyle w:val="normaltextrun"/>
          <w:rFonts w:eastAsia="Times New Roman" w:cs="Times New Roman"/>
          <w:szCs w:val="24"/>
          <w:shd w:val="clear" w:color="auto" w:fill="FFFFFF"/>
        </w:rPr>
        <w:t xml:space="preserve"> </w:t>
      </w:r>
      <w:r w:rsidRPr="006636EE">
        <w:rPr>
          <w:rStyle w:val="normaltextrun"/>
          <w:rFonts w:eastAsia="Times New Roman" w:cs="Times New Roman"/>
          <w:szCs w:val="24"/>
          <w:shd w:val="clear" w:color="auto" w:fill="FFFFFF"/>
        </w:rPr>
        <w:t xml:space="preserve">J. (2022). Freedom, </w:t>
      </w:r>
      <w:r w:rsidR="3DE566A8" w:rsidRPr="006636EE">
        <w:rPr>
          <w:rStyle w:val="normaltextrun"/>
          <w:rFonts w:eastAsia="Times New Roman" w:cs="Times New Roman"/>
          <w:szCs w:val="24"/>
          <w:shd w:val="clear" w:color="auto" w:fill="FFFFFF"/>
        </w:rPr>
        <w:t>r</w:t>
      </w:r>
      <w:r w:rsidRPr="006636EE">
        <w:rPr>
          <w:rStyle w:val="normaltextrun"/>
          <w:rFonts w:eastAsia="Times New Roman" w:cs="Times New Roman"/>
          <w:szCs w:val="24"/>
          <w:shd w:val="clear" w:color="auto" w:fill="FFFFFF"/>
        </w:rPr>
        <w:t xml:space="preserve">ights, and </w:t>
      </w:r>
      <w:r w:rsidR="3DE566A8" w:rsidRPr="006636EE">
        <w:rPr>
          <w:rStyle w:val="normaltextrun"/>
          <w:rFonts w:eastAsia="Times New Roman" w:cs="Times New Roman"/>
          <w:szCs w:val="24"/>
          <w:shd w:val="clear" w:color="auto" w:fill="FFFFFF"/>
        </w:rPr>
        <w:t>v</w:t>
      </w:r>
      <w:r w:rsidRPr="006636EE">
        <w:rPr>
          <w:rStyle w:val="normaltextrun"/>
          <w:rFonts w:eastAsia="Times New Roman" w:cs="Times New Roman"/>
          <w:szCs w:val="24"/>
          <w:shd w:val="clear" w:color="auto" w:fill="FFFFFF"/>
        </w:rPr>
        <w:t xml:space="preserve">accine </w:t>
      </w:r>
      <w:r w:rsidR="3DE566A8" w:rsidRPr="006636EE">
        <w:rPr>
          <w:rStyle w:val="normaltextrun"/>
          <w:rFonts w:eastAsia="Times New Roman" w:cs="Times New Roman"/>
          <w:szCs w:val="24"/>
          <w:shd w:val="clear" w:color="auto" w:fill="FFFFFF"/>
        </w:rPr>
        <w:t>r</w:t>
      </w:r>
      <w:r w:rsidRPr="006636EE">
        <w:rPr>
          <w:rStyle w:val="normaltextrun"/>
          <w:rFonts w:eastAsia="Times New Roman" w:cs="Times New Roman"/>
          <w:szCs w:val="24"/>
          <w:shd w:val="clear" w:color="auto" w:fill="FFFFFF"/>
        </w:rPr>
        <w:t xml:space="preserve">efusal: The </w:t>
      </w:r>
      <w:r w:rsidR="3DE566A8" w:rsidRPr="006636EE">
        <w:rPr>
          <w:rStyle w:val="normaltextrun"/>
          <w:rFonts w:eastAsia="Times New Roman" w:cs="Times New Roman"/>
          <w:szCs w:val="24"/>
          <w:shd w:val="clear" w:color="auto" w:fill="FFFFFF"/>
        </w:rPr>
        <w:t>h</w:t>
      </w:r>
      <w:r w:rsidRPr="006636EE">
        <w:rPr>
          <w:rStyle w:val="normaltextrun"/>
          <w:rFonts w:eastAsia="Times New Roman" w:cs="Times New Roman"/>
          <w:szCs w:val="24"/>
          <w:shd w:val="clear" w:color="auto" w:fill="FFFFFF"/>
        </w:rPr>
        <w:t xml:space="preserve">istory of an </w:t>
      </w:r>
      <w:r w:rsidR="3DE566A8" w:rsidRPr="006636EE">
        <w:rPr>
          <w:rStyle w:val="normaltextrun"/>
          <w:rFonts w:eastAsia="Times New Roman" w:cs="Times New Roman"/>
          <w:szCs w:val="24"/>
          <w:shd w:val="clear" w:color="auto" w:fill="FFFFFF"/>
        </w:rPr>
        <w:t>i</w:t>
      </w:r>
      <w:r w:rsidRPr="006636EE">
        <w:rPr>
          <w:rStyle w:val="normaltextrun"/>
          <w:rFonts w:eastAsia="Times New Roman" w:cs="Times New Roman"/>
          <w:szCs w:val="24"/>
          <w:shd w:val="clear" w:color="auto" w:fill="FFFFFF"/>
        </w:rPr>
        <w:t>dea</w:t>
      </w:r>
      <w:r w:rsidR="3DE566A8" w:rsidRPr="006636EE">
        <w:rPr>
          <w:rStyle w:val="normaltextrun"/>
          <w:rFonts w:eastAsia="Times New Roman" w:cs="Times New Roman"/>
          <w:szCs w:val="24"/>
          <w:shd w:val="clear" w:color="auto" w:fill="FFFFFF"/>
        </w:rPr>
        <w:t xml:space="preserve">. </w:t>
      </w:r>
      <w:r w:rsidRPr="006636EE">
        <w:rPr>
          <w:rStyle w:val="normaltextrun"/>
          <w:rFonts w:eastAsia="Times New Roman" w:cs="Times New Roman"/>
          <w:i/>
          <w:iCs/>
          <w:szCs w:val="24"/>
          <w:shd w:val="clear" w:color="auto" w:fill="FFFFFF"/>
        </w:rPr>
        <w:t>American Journal of Public Health 112</w:t>
      </w:r>
      <w:r w:rsidR="3DE566A8" w:rsidRPr="006636EE">
        <w:rPr>
          <w:rStyle w:val="normaltextrun"/>
          <w:rFonts w:eastAsia="Times New Roman" w:cs="Times New Roman"/>
          <w:szCs w:val="24"/>
          <w:shd w:val="clear" w:color="auto" w:fill="FFFFFF"/>
        </w:rPr>
        <w:t>(</w:t>
      </w:r>
      <w:r w:rsidRPr="006636EE">
        <w:rPr>
          <w:rStyle w:val="normaltextrun"/>
          <w:rFonts w:eastAsia="Times New Roman" w:cs="Times New Roman"/>
          <w:szCs w:val="24"/>
          <w:shd w:val="clear" w:color="auto" w:fill="FFFFFF"/>
        </w:rPr>
        <w:t>2</w:t>
      </w:r>
      <w:r w:rsidR="3DE566A8" w:rsidRPr="006636EE">
        <w:rPr>
          <w:rStyle w:val="normaltextrun"/>
          <w:rFonts w:eastAsia="Times New Roman" w:cs="Times New Roman"/>
          <w:szCs w:val="24"/>
          <w:shd w:val="clear" w:color="auto" w:fill="FFFFFF"/>
        </w:rPr>
        <w:t>)</w:t>
      </w:r>
      <w:r w:rsidRPr="006636EE">
        <w:rPr>
          <w:rStyle w:val="normaltextrun"/>
          <w:rFonts w:eastAsia="Times New Roman" w:cs="Times New Roman"/>
          <w:szCs w:val="24"/>
          <w:shd w:val="clear" w:color="auto" w:fill="FFFFFF"/>
        </w:rPr>
        <w:t>, 234-241.</w:t>
      </w:r>
      <w:r w:rsidR="7DA69578" w:rsidRPr="006636EE">
        <w:rPr>
          <w:rStyle w:val="normaltextrun"/>
          <w:rFonts w:eastAsia="Times New Roman" w:cs="Times New Roman"/>
          <w:szCs w:val="24"/>
          <w:shd w:val="clear" w:color="auto" w:fill="FFFFFF"/>
        </w:rPr>
        <w:t xml:space="preserve"> </w:t>
      </w:r>
      <w:hyperlink r:id="rId16" w:history="1">
        <w:r w:rsidR="7DA69578" w:rsidRPr="006636EE">
          <w:rPr>
            <w:rStyle w:val="Hyperlink"/>
            <w:rFonts w:eastAsia="Times New Roman" w:cs="Times New Roman"/>
            <w:szCs w:val="24"/>
            <w:shd w:val="clear" w:color="auto" w:fill="FFFFFF"/>
          </w:rPr>
          <w:t>https://doi.org/10.2105/AJPH.2021.306504</w:t>
        </w:r>
      </w:hyperlink>
      <w:r w:rsidR="7DA69578" w:rsidRPr="006636EE">
        <w:rPr>
          <w:rFonts w:eastAsia="Times New Roman" w:cs="Times New Roman"/>
          <w:szCs w:val="24"/>
          <w:shd w:val="clear" w:color="auto" w:fill="FFFFFF"/>
        </w:rPr>
        <w:t xml:space="preserve"> </w:t>
      </w:r>
    </w:p>
    <w:p w14:paraId="50F42421" w14:textId="1B66A0B9" w:rsidR="007F36D4" w:rsidRPr="006636EE" w:rsidDel="005E22C4" w:rsidRDefault="005955AE" w:rsidP="00A54D55">
      <w:pPr>
        <w:ind w:left="720" w:hanging="720"/>
        <w:rPr>
          <w:rFonts w:eastAsia="Times New Roman" w:cs="Times New Roman"/>
          <w:szCs w:val="24"/>
          <w:shd w:val="clear" w:color="auto" w:fill="FFFFFF"/>
        </w:rPr>
      </w:pPr>
      <w:r w:rsidRPr="006636EE" w:rsidDel="005E22C4">
        <w:rPr>
          <w:rFonts w:eastAsia="Times New Roman" w:cs="Times New Roman"/>
          <w:szCs w:val="24"/>
          <w:shd w:val="clear" w:color="auto" w:fill="FFFFFF"/>
        </w:rPr>
        <w:t xml:space="preserve">Cooper, </w:t>
      </w:r>
      <w:r w:rsidR="000663BA" w:rsidRPr="006636EE">
        <w:rPr>
          <w:rFonts w:eastAsia="Times New Roman" w:cs="Times New Roman"/>
          <w:szCs w:val="24"/>
          <w:shd w:val="clear" w:color="auto" w:fill="FFFFFF"/>
        </w:rPr>
        <w:t>C. (2021, 17 November)</w:t>
      </w:r>
      <w:r w:rsidR="00D36155" w:rsidRPr="006636EE">
        <w:rPr>
          <w:rFonts w:eastAsia="Times New Roman" w:cs="Times New Roman"/>
          <w:szCs w:val="24"/>
          <w:shd w:val="clear" w:color="auto" w:fill="FFFFFF"/>
        </w:rPr>
        <w:t xml:space="preserve">. Local Opinion. Not all about protest cut and dried. </w:t>
      </w:r>
      <w:r w:rsidR="008D34A4" w:rsidRPr="006636EE">
        <w:rPr>
          <w:rFonts w:eastAsia="Times New Roman" w:cs="Times New Roman"/>
          <w:i/>
          <w:iCs/>
          <w:szCs w:val="24"/>
          <w:shd w:val="clear" w:color="auto" w:fill="FFFFFF"/>
        </w:rPr>
        <w:t>Hawke’s Bay Today</w:t>
      </w:r>
      <w:r w:rsidR="008D34A4" w:rsidRPr="006636EE">
        <w:rPr>
          <w:rFonts w:eastAsia="Times New Roman" w:cs="Times New Roman"/>
          <w:szCs w:val="24"/>
          <w:shd w:val="clear" w:color="auto" w:fill="FFFFFF"/>
        </w:rPr>
        <w:t>.</w:t>
      </w:r>
      <w:r w:rsidR="00C433B4" w:rsidRPr="006636EE">
        <w:rPr>
          <w:rFonts w:eastAsia="Times New Roman" w:cs="Times New Roman"/>
          <w:szCs w:val="24"/>
          <w:shd w:val="clear" w:color="auto" w:fill="FFFFFF"/>
        </w:rPr>
        <w:t xml:space="preserve"> </w:t>
      </w:r>
      <w:r w:rsidR="0015085A" w:rsidRPr="006636EE">
        <w:rPr>
          <w:rFonts w:eastAsia="Times New Roman" w:cs="Times New Roman"/>
          <w:shd w:val="clear" w:color="auto" w:fill="FFFFFF"/>
        </w:rPr>
        <w:t>"</w:t>
      </w:r>
      <w:hyperlink r:id="rId17" w:anchor="google_vignette&quot;https://www.nzherald.co.nz/hawkes-bay-today/news/opinion-troubled-by-triumphant-ending-to-protest/MPJZI64LIOA5XKJ7OBUTCXJDPQ/#google_vignette">
        <w:r w:rsidR="0015085A" w:rsidRPr="006636EE">
          <w:rPr>
            <w:rStyle w:val="Hyperlink"/>
            <w:rFonts w:eastAsia="Times New Roman" w:cs="Times New Roman"/>
          </w:rPr>
          <w:t>https://www.nzherald.co.nz/hawkes-bay-today/news/opinion-troubled-by-triumphant-ending-to-protest/MPJZI64LIOA5XKJ7OBUTCXJDPQ/#google_vignette"https://www.nzherald.co.nz/hawkes-bay-today/news/opinion-troubled-by-triumphant-ending-to-protest/MPJZI64LIOA5XKJ7OBUTCXJDPQ/#google_vignette</w:t>
        </w:r>
      </w:hyperlink>
      <w:r w:rsidR="44233BA8" w:rsidRPr="006636EE">
        <w:rPr>
          <w:rFonts w:eastAsia="Times New Roman" w:cs="Times New Roman"/>
        </w:rPr>
        <w:t xml:space="preserve"> </w:t>
      </w:r>
    </w:p>
    <w:p w14:paraId="7EFE120E" w14:textId="77777777" w:rsidR="00080491" w:rsidRDefault="00080491" w:rsidP="00A54D55">
      <w:pPr>
        <w:ind w:left="720" w:hanging="720"/>
        <w:rPr>
          <w:rFonts w:eastAsia="Times New Roman" w:cs="Times New Roman"/>
          <w:szCs w:val="24"/>
          <w:lang w:val="en-AU"/>
        </w:rPr>
      </w:pPr>
      <w:r w:rsidRPr="00080491">
        <w:rPr>
          <w:rFonts w:eastAsia="Times New Roman" w:cs="Times New Roman"/>
          <w:szCs w:val="24"/>
          <w:lang w:val="en-AU"/>
        </w:rPr>
        <w:t xml:space="preserve">Curtin, P. A., &amp; Gaither, T. K. (2007). </w:t>
      </w:r>
      <w:r w:rsidRPr="00080491">
        <w:rPr>
          <w:rFonts w:eastAsia="Times New Roman" w:cs="Times New Roman"/>
          <w:i/>
          <w:iCs/>
          <w:szCs w:val="24"/>
          <w:lang w:val="en-AU"/>
        </w:rPr>
        <w:t>International public relations: Negotiating culture, identity and power</w:t>
      </w:r>
      <w:r w:rsidRPr="00080491">
        <w:rPr>
          <w:rFonts w:eastAsia="Times New Roman" w:cs="Times New Roman"/>
          <w:szCs w:val="24"/>
          <w:lang w:val="en-AU"/>
        </w:rPr>
        <w:t xml:space="preserve">. Sage Publishing. </w:t>
      </w:r>
    </w:p>
    <w:p w14:paraId="2E45E0F0" w14:textId="41228F5C" w:rsidR="3ED6FCEA" w:rsidRDefault="3ED6FCEA" w:rsidP="00A54D55">
      <w:pPr>
        <w:ind w:left="720" w:hanging="720"/>
      </w:pPr>
      <w:r w:rsidRPr="006636EE">
        <w:rPr>
          <w:rFonts w:eastAsia="Times New Roman" w:cs="Times New Roman"/>
          <w:szCs w:val="24"/>
        </w:rPr>
        <w:t xml:space="preserve">Dan, V., Ihlen, </w:t>
      </w:r>
      <w:r w:rsidR="00DC3C25" w:rsidRPr="006636EE">
        <w:rPr>
          <w:rFonts w:eastAsia="Times New Roman" w:cs="Times New Roman"/>
          <w:szCs w:val="24"/>
        </w:rPr>
        <w:t>Ø</w:t>
      </w:r>
      <w:r w:rsidR="00DC3C25">
        <w:rPr>
          <w:rFonts w:eastAsia="Times New Roman" w:cs="Times New Roman"/>
          <w:szCs w:val="24"/>
        </w:rPr>
        <w:t>.,</w:t>
      </w:r>
      <w:r w:rsidR="00DC3C25" w:rsidRPr="006636EE">
        <w:rPr>
          <w:rFonts w:eastAsia="Times New Roman" w:cs="Times New Roman"/>
          <w:szCs w:val="24"/>
        </w:rPr>
        <w:t xml:space="preserve"> </w:t>
      </w:r>
      <w:r w:rsidRPr="006636EE">
        <w:rPr>
          <w:rFonts w:eastAsia="Times New Roman" w:cs="Times New Roman"/>
          <w:szCs w:val="24"/>
        </w:rPr>
        <w:t xml:space="preserve">&amp; Raknes, K. (2019). Underlying Mechanisms, Success Factors, and Impact. In J. Stromback &amp; S. Kiousis (Eds.), </w:t>
      </w:r>
      <w:r w:rsidRPr="006636EE">
        <w:rPr>
          <w:rFonts w:eastAsia="Times New Roman" w:cs="Times New Roman"/>
          <w:i/>
          <w:iCs/>
          <w:szCs w:val="24"/>
        </w:rPr>
        <w:t>Political Public Relations and Strategic Framing</w:t>
      </w:r>
      <w:r w:rsidRPr="006636EE">
        <w:rPr>
          <w:rFonts w:eastAsia="Times New Roman" w:cs="Times New Roman"/>
          <w:szCs w:val="24"/>
        </w:rPr>
        <w:t xml:space="preserve"> (2nd ed., pp. 146-164). Routledge. </w:t>
      </w:r>
      <w:hyperlink r:id="rId18">
        <w:r w:rsidRPr="006636EE">
          <w:rPr>
            <w:rStyle w:val="Hyperlink"/>
            <w:rFonts w:eastAsia="Times New Roman" w:cs="Times New Roman"/>
            <w:color w:val="467886"/>
            <w:szCs w:val="24"/>
          </w:rPr>
          <w:t>https://doi.org/10.4324/9781351053143-7</w:t>
        </w:r>
      </w:hyperlink>
    </w:p>
    <w:p w14:paraId="6ABBBE01" w14:textId="77777777" w:rsidR="00221C03" w:rsidRDefault="00221C03" w:rsidP="00A54D55">
      <w:pPr>
        <w:spacing w:after="0"/>
        <w:ind w:left="720" w:hanging="720"/>
      </w:pPr>
      <w:r w:rsidRPr="00221C03">
        <w:t xml:space="preserve">Edelman Trust Institute. (2025). </w:t>
      </w:r>
      <w:r w:rsidRPr="00221C03">
        <w:rPr>
          <w:i/>
          <w:iCs/>
        </w:rPr>
        <w:t>2025 Edelman Trust Barometer</w:t>
      </w:r>
      <w:r w:rsidRPr="00221C03">
        <w:t xml:space="preserve">. Edelman. </w:t>
      </w:r>
      <w:hyperlink r:id="rId19" w:tgtFrame="_new" w:history="1">
        <w:r w:rsidRPr="00221C03">
          <w:rPr>
            <w:rStyle w:val="Hyperlink"/>
          </w:rPr>
          <w:t>https://www.edelman.com/trust/2025/trust-barometer</w:t>
        </w:r>
      </w:hyperlink>
    </w:p>
    <w:p w14:paraId="65565735" w14:textId="0B589E14" w:rsidR="00080491" w:rsidRDefault="00080491" w:rsidP="00A54D55">
      <w:pPr>
        <w:spacing w:after="0"/>
        <w:ind w:left="720" w:hanging="720"/>
        <w:rPr>
          <w:rFonts w:eastAsia="Times New Roman" w:cs="Times New Roman"/>
          <w:szCs w:val="24"/>
          <w:lang w:val="en-AU"/>
        </w:rPr>
      </w:pPr>
      <w:r w:rsidRPr="00080491">
        <w:rPr>
          <w:rFonts w:eastAsia="Times New Roman" w:cs="Times New Roman"/>
          <w:szCs w:val="24"/>
          <w:lang w:val="en-AU"/>
        </w:rPr>
        <w:lastRenderedPageBreak/>
        <w:t xml:space="preserve">Edwards, L. (2011). Critical perspectives in global public </w:t>
      </w:r>
      <w:r w:rsidR="00221C03" w:rsidRPr="00080491">
        <w:rPr>
          <w:rFonts w:eastAsia="Times New Roman" w:cs="Times New Roman"/>
          <w:szCs w:val="24"/>
          <w:lang w:val="en-AU"/>
        </w:rPr>
        <w:t>relations</w:t>
      </w:r>
      <w:r w:rsidRPr="00080491">
        <w:rPr>
          <w:rFonts w:eastAsia="Times New Roman" w:cs="Times New Roman"/>
          <w:szCs w:val="24"/>
          <w:lang w:val="en-AU"/>
        </w:rPr>
        <w:t xml:space="preserve">: Theorising power. In N. Bardhan &amp; C. K. Weaver (Eds.), </w:t>
      </w:r>
      <w:r w:rsidRPr="00080491">
        <w:rPr>
          <w:rFonts w:eastAsia="Times New Roman" w:cs="Times New Roman"/>
          <w:i/>
          <w:iCs/>
          <w:szCs w:val="24"/>
          <w:lang w:val="en-AU"/>
        </w:rPr>
        <w:t>Public relations in global contexts: Multi-paradigmatic perspectives</w:t>
      </w:r>
      <w:r w:rsidRPr="00080491">
        <w:rPr>
          <w:rFonts w:eastAsia="Times New Roman" w:cs="Times New Roman"/>
          <w:szCs w:val="24"/>
          <w:lang w:val="en-AU"/>
        </w:rPr>
        <w:t xml:space="preserve"> (pp. 29-49). Routledge. </w:t>
      </w:r>
    </w:p>
    <w:p w14:paraId="366C5A02" w14:textId="659D79CB" w:rsidR="00B43AA4" w:rsidRPr="006636EE" w:rsidRDefault="3B3DC2DD" w:rsidP="00A54D55">
      <w:pPr>
        <w:spacing w:after="0"/>
        <w:ind w:left="720" w:hanging="720"/>
        <w:rPr>
          <w:rFonts w:eastAsia="Times New Roman" w:cs="Times New Roman"/>
          <w:szCs w:val="24"/>
        </w:rPr>
      </w:pPr>
      <w:proofErr w:type="spellStart"/>
      <w:r w:rsidRPr="006636EE">
        <w:rPr>
          <w:rFonts w:eastAsia="Times New Roman" w:cs="Times New Roman"/>
          <w:szCs w:val="24"/>
        </w:rPr>
        <w:t>Entman</w:t>
      </w:r>
      <w:proofErr w:type="spellEnd"/>
      <w:r w:rsidRPr="006636EE">
        <w:rPr>
          <w:rFonts w:eastAsia="Times New Roman" w:cs="Times New Roman"/>
          <w:szCs w:val="24"/>
        </w:rPr>
        <w:t xml:space="preserve">, R. M. (1993). Framing: Toward Clarification of a Fractured Paradigm. </w:t>
      </w:r>
      <w:r w:rsidRPr="006636EE">
        <w:rPr>
          <w:rFonts w:eastAsia="Times New Roman" w:cs="Times New Roman"/>
          <w:i/>
          <w:iCs/>
          <w:szCs w:val="24"/>
        </w:rPr>
        <w:t>Journal of Communication, 43</w:t>
      </w:r>
      <w:r w:rsidRPr="006636EE">
        <w:rPr>
          <w:rFonts w:eastAsia="Times New Roman" w:cs="Times New Roman"/>
          <w:szCs w:val="24"/>
        </w:rPr>
        <w:t xml:space="preserve">(4), 51-58. </w:t>
      </w:r>
      <w:hyperlink r:id="rId20">
        <w:r w:rsidR="005C036D" w:rsidRPr="006636EE">
          <w:rPr>
            <w:rStyle w:val="Hyperlink"/>
            <w:rFonts w:eastAsia="Times New Roman" w:cs="Times New Roman"/>
            <w:szCs w:val="24"/>
          </w:rPr>
          <w:t>https://doi.org/10.1111/j.1460-2466.1993.tb01304.x</w:t>
        </w:r>
      </w:hyperlink>
      <w:r w:rsidR="005C036D" w:rsidRPr="006636EE">
        <w:rPr>
          <w:rFonts w:eastAsia="Times New Roman" w:cs="Times New Roman"/>
          <w:szCs w:val="24"/>
        </w:rPr>
        <w:t xml:space="preserve"> </w:t>
      </w:r>
      <w:r w:rsidRPr="006636EE">
        <w:rPr>
          <w:rFonts w:eastAsia="Times New Roman" w:cs="Times New Roman"/>
          <w:szCs w:val="24"/>
        </w:rPr>
        <w:t xml:space="preserve"> </w:t>
      </w:r>
    </w:p>
    <w:p w14:paraId="684DC50E" w14:textId="3A6BCE4A" w:rsidR="00B43AA4" w:rsidRPr="006636EE" w:rsidRDefault="10FF1501" w:rsidP="00A54D55">
      <w:pPr>
        <w:ind w:left="720" w:hanging="720"/>
        <w:rPr>
          <w:rFonts w:eastAsia="Times New Roman" w:cs="Times New Roman"/>
          <w:szCs w:val="24"/>
        </w:rPr>
      </w:pPr>
      <w:r w:rsidRPr="006636EE">
        <w:rPr>
          <w:rFonts w:eastAsia="Times New Roman" w:cs="Times New Roman"/>
          <w:szCs w:val="24"/>
        </w:rPr>
        <w:t xml:space="preserve">Foster, M. D., &amp; </w:t>
      </w:r>
      <w:proofErr w:type="spellStart"/>
      <w:r w:rsidRPr="006636EE">
        <w:rPr>
          <w:rFonts w:eastAsia="Times New Roman" w:cs="Times New Roman"/>
          <w:szCs w:val="24"/>
        </w:rPr>
        <w:t>Rathlin</w:t>
      </w:r>
      <w:proofErr w:type="spellEnd"/>
      <w:r w:rsidRPr="006636EE">
        <w:rPr>
          <w:rFonts w:eastAsia="Times New Roman" w:cs="Times New Roman"/>
          <w:szCs w:val="24"/>
        </w:rPr>
        <w:t xml:space="preserve">, J. (2022). #MeToo as an ‘angry mob’ or in search of meaning? Using language to assess the focus of #MeToo tweets across four events. </w:t>
      </w:r>
      <w:r w:rsidRPr="006636EE">
        <w:rPr>
          <w:rFonts w:eastAsia="Times New Roman" w:cs="Times New Roman"/>
          <w:i/>
          <w:iCs/>
          <w:szCs w:val="24"/>
        </w:rPr>
        <w:t xml:space="preserve">Computers in Human </w:t>
      </w:r>
      <w:proofErr w:type="spellStart"/>
      <w:r w:rsidRPr="006636EE">
        <w:rPr>
          <w:rFonts w:eastAsia="Times New Roman" w:cs="Times New Roman"/>
          <w:i/>
          <w:iCs/>
          <w:szCs w:val="24"/>
        </w:rPr>
        <w:t>Behavior</w:t>
      </w:r>
      <w:proofErr w:type="spellEnd"/>
      <w:r w:rsidRPr="006636EE">
        <w:rPr>
          <w:rFonts w:eastAsia="Times New Roman" w:cs="Times New Roman"/>
          <w:i/>
          <w:iCs/>
          <w:szCs w:val="24"/>
        </w:rPr>
        <w:t xml:space="preserve"> Reports</w:t>
      </w:r>
      <w:r w:rsidRPr="006636EE">
        <w:rPr>
          <w:rFonts w:eastAsia="Times New Roman" w:cs="Times New Roman"/>
          <w:szCs w:val="24"/>
        </w:rPr>
        <w:t xml:space="preserve">, (5), 100173. </w:t>
      </w:r>
      <w:hyperlink r:id="rId21">
        <w:r w:rsidR="03E233BB" w:rsidRPr="006636EE">
          <w:rPr>
            <w:rStyle w:val="Hyperlink"/>
            <w:rFonts w:eastAsia="Times New Roman" w:cs="Times New Roman"/>
            <w:szCs w:val="24"/>
          </w:rPr>
          <w:t>https://doi.org/10.1016/j.chbr.2022.100173</w:t>
        </w:r>
      </w:hyperlink>
      <w:r w:rsidR="03E233BB" w:rsidRPr="006636EE">
        <w:rPr>
          <w:rFonts w:eastAsia="Times New Roman" w:cs="Times New Roman"/>
          <w:szCs w:val="24"/>
        </w:rPr>
        <w:t xml:space="preserve"> </w:t>
      </w:r>
    </w:p>
    <w:p w14:paraId="195C311B" w14:textId="08C02839" w:rsidR="00964567" w:rsidRPr="006636EE" w:rsidRDefault="2B66DAB0" w:rsidP="00A54D55">
      <w:pPr>
        <w:shd w:val="clear" w:color="auto" w:fill="FFFFFF" w:themeFill="background1"/>
        <w:autoSpaceDE w:val="0"/>
        <w:autoSpaceDN w:val="0"/>
        <w:adjustRightInd w:val="0"/>
        <w:spacing w:after="0"/>
        <w:ind w:left="720" w:hanging="720"/>
        <w:rPr>
          <w:rFonts w:eastAsia="Times New Roman" w:cs="Times New Roman"/>
          <w:szCs w:val="24"/>
        </w:rPr>
      </w:pPr>
      <w:r w:rsidRPr="006636EE">
        <w:rPr>
          <w:rFonts w:eastAsia="Times New Roman" w:cs="Times New Roman"/>
          <w:szCs w:val="24"/>
        </w:rPr>
        <w:t>Gallagher, R. J., Stowell, E., Parker, A. G., &amp; Foucault Welles, B. (2019). Reclaiming stigmatized narratives:</w:t>
      </w:r>
      <w:r w:rsidR="00E91C73" w:rsidRPr="006636EE">
        <w:rPr>
          <w:rFonts w:eastAsia="Times New Roman" w:cs="Times New Roman"/>
          <w:szCs w:val="24"/>
        </w:rPr>
        <w:t xml:space="preserve"> </w:t>
      </w:r>
      <w:r w:rsidRPr="006636EE">
        <w:rPr>
          <w:rFonts w:eastAsia="Times New Roman" w:cs="Times New Roman"/>
          <w:szCs w:val="24"/>
        </w:rPr>
        <w:t xml:space="preserve">The networked disclosure landscape of #MeToo. Proceedings of the ACM on Human–Computer Interaction, 3(CSCW), 1–30. </w:t>
      </w:r>
      <w:hyperlink r:id="rId22">
        <w:r w:rsidR="00743C4D" w:rsidRPr="006636EE">
          <w:rPr>
            <w:rStyle w:val="Hyperlink"/>
            <w:rFonts w:eastAsia="Times New Roman" w:cs="Times New Roman"/>
            <w:szCs w:val="24"/>
          </w:rPr>
          <w:t>https://doi.org/10.1145/3359198</w:t>
        </w:r>
      </w:hyperlink>
      <w:r w:rsidR="00743C4D" w:rsidRPr="006636EE">
        <w:rPr>
          <w:rFonts w:eastAsia="Times New Roman" w:cs="Times New Roman"/>
          <w:szCs w:val="24"/>
        </w:rPr>
        <w:t xml:space="preserve"> </w:t>
      </w:r>
      <w:r w:rsidRPr="006636EE">
        <w:rPr>
          <w:rFonts w:eastAsia="Times New Roman" w:cs="Times New Roman"/>
          <w:szCs w:val="24"/>
        </w:rPr>
        <w:t xml:space="preserve"> </w:t>
      </w:r>
    </w:p>
    <w:p w14:paraId="5769308A" w14:textId="5B89DB9E" w:rsidR="00B75CBD" w:rsidRPr="006636EE" w:rsidRDefault="56B50A3F"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Gobo</w:t>
      </w:r>
      <w:r w:rsidR="03E233BB" w:rsidRPr="006636EE">
        <w:rPr>
          <w:rFonts w:eastAsia="Times New Roman" w:cs="Times New Roman"/>
          <w:szCs w:val="24"/>
        </w:rPr>
        <w:t>,</w:t>
      </w:r>
      <w:r w:rsidRPr="006636EE">
        <w:rPr>
          <w:rFonts w:eastAsia="Times New Roman" w:cs="Times New Roman"/>
          <w:szCs w:val="24"/>
        </w:rPr>
        <w:t xml:space="preserve"> G</w:t>
      </w:r>
      <w:r w:rsidR="03E233BB" w:rsidRPr="006636EE">
        <w:rPr>
          <w:rFonts w:eastAsia="Times New Roman" w:cs="Times New Roman"/>
          <w:szCs w:val="24"/>
        </w:rPr>
        <w:t>., &amp;</w:t>
      </w:r>
      <w:r w:rsidRPr="006636EE">
        <w:rPr>
          <w:rFonts w:eastAsia="Times New Roman" w:cs="Times New Roman"/>
          <w:szCs w:val="24"/>
        </w:rPr>
        <w:t xml:space="preserve"> Cellini</w:t>
      </w:r>
      <w:r w:rsidR="03E233BB" w:rsidRPr="006636EE">
        <w:rPr>
          <w:rFonts w:eastAsia="Times New Roman" w:cs="Times New Roman"/>
          <w:szCs w:val="24"/>
        </w:rPr>
        <w:t>,</w:t>
      </w:r>
      <w:r w:rsidRPr="006636EE">
        <w:rPr>
          <w:rFonts w:eastAsia="Times New Roman" w:cs="Times New Roman"/>
          <w:szCs w:val="24"/>
        </w:rPr>
        <w:t xml:space="preserve"> E</w:t>
      </w:r>
      <w:r w:rsidR="03E233BB" w:rsidRPr="006636EE">
        <w:rPr>
          <w:rFonts w:eastAsia="Times New Roman" w:cs="Times New Roman"/>
          <w:szCs w:val="24"/>
        </w:rPr>
        <w:t>.</w:t>
      </w:r>
      <w:r w:rsidRPr="006636EE">
        <w:rPr>
          <w:rFonts w:eastAsia="Times New Roman" w:cs="Times New Roman"/>
          <w:szCs w:val="24"/>
        </w:rPr>
        <w:t xml:space="preserve"> (2021)</w:t>
      </w:r>
      <w:r w:rsidR="03E233BB" w:rsidRPr="006636EE">
        <w:rPr>
          <w:rFonts w:eastAsia="Times New Roman" w:cs="Times New Roman"/>
          <w:szCs w:val="24"/>
        </w:rPr>
        <w:t xml:space="preserve">. </w:t>
      </w:r>
      <w:r w:rsidRPr="006636EE">
        <w:rPr>
          <w:rFonts w:eastAsia="Times New Roman" w:cs="Times New Roman"/>
          <w:szCs w:val="24"/>
        </w:rPr>
        <w:t>Ethnographic approaches: types, trends and themes. In Silverman</w:t>
      </w:r>
      <w:r w:rsidR="5C97DB2D" w:rsidRPr="006636EE">
        <w:rPr>
          <w:rFonts w:eastAsia="Times New Roman" w:cs="Times New Roman"/>
          <w:szCs w:val="24"/>
        </w:rPr>
        <w:t>,</w:t>
      </w:r>
      <w:r w:rsidRPr="006636EE">
        <w:rPr>
          <w:rFonts w:eastAsia="Times New Roman" w:cs="Times New Roman"/>
          <w:szCs w:val="24"/>
        </w:rPr>
        <w:t xml:space="preserve"> D</w:t>
      </w:r>
      <w:r w:rsidR="5C97DB2D" w:rsidRPr="006636EE">
        <w:rPr>
          <w:rFonts w:eastAsia="Times New Roman" w:cs="Times New Roman"/>
          <w:szCs w:val="24"/>
        </w:rPr>
        <w:t>.</w:t>
      </w:r>
      <w:r w:rsidR="7D4256FB" w:rsidRPr="006636EE">
        <w:rPr>
          <w:rFonts w:eastAsia="Times New Roman" w:cs="Times New Roman"/>
          <w:szCs w:val="24"/>
        </w:rPr>
        <w:t xml:space="preserve"> </w:t>
      </w:r>
      <w:r w:rsidRPr="006636EE">
        <w:rPr>
          <w:rFonts w:eastAsia="Times New Roman" w:cs="Times New Roman"/>
          <w:szCs w:val="24"/>
        </w:rPr>
        <w:t>(ed</w:t>
      </w:r>
      <w:r w:rsidR="5C97DB2D" w:rsidRPr="006636EE">
        <w:rPr>
          <w:rFonts w:eastAsia="Times New Roman" w:cs="Times New Roman"/>
          <w:szCs w:val="24"/>
        </w:rPr>
        <w:t>.</w:t>
      </w:r>
      <w:r w:rsidRPr="006636EE">
        <w:rPr>
          <w:rFonts w:eastAsia="Times New Roman" w:cs="Times New Roman"/>
          <w:szCs w:val="24"/>
        </w:rPr>
        <w:t>)</w:t>
      </w:r>
      <w:r w:rsidR="17288978" w:rsidRPr="006636EE">
        <w:rPr>
          <w:rFonts w:eastAsia="Times New Roman" w:cs="Times New Roman"/>
          <w:szCs w:val="24"/>
        </w:rPr>
        <w:t xml:space="preserve">, </w:t>
      </w:r>
      <w:r w:rsidRPr="006636EE">
        <w:rPr>
          <w:rFonts w:eastAsia="Times New Roman" w:cs="Times New Roman"/>
          <w:i/>
          <w:iCs/>
          <w:szCs w:val="24"/>
        </w:rPr>
        <w:t>Qualitative Research</w:t>
      </w:r>
      <w:r w:rsidR="03E233BB" w:rsidRPr="006636EE">
        <w:rPr>
          <w:rFonts w:eastAsia="Times New Roman" w:cs="Times New Roman"/>
          <w:szCs w:val="24"/>
        </w:rPr>
        <w:t xml:space="preserve"> </w:t>
      </w:r>
      <w:r w:rsidR="5C97DB2D" w:rsidRPr="006636EE">
        <w:rPr>
          <w:rFonts w:eastAsia="Times New Roman" w:cs="Times New Roman"/>
          <w:szCs w:val="24"/>
        </w:rPr>
        <w:t>(</w:t>
      </w:r>
      <w:r w:rsidR="03E233BB" w:rsidRPr="006636EE">
        <w:rPr>
          <w:rFonts w:eastAsia="Times New Roman" w:cs="Times New Roman"/>
          <w:szCs w:val="24"/>
        </w:rPr>
        <w:t>pp.109–128</w:t>
      </w:r>
      <w:r w:rsidR="5C97DB2D" w:rsidRPr="006636EE">
        <w:rPr>
          <w:rFonts w:eastAsia="Times New Roman" w:cs="Times New Roman"/>
          <w:szCs w:val="24"/>
        </w:rPr>
        <w:t>)</w:t>
      </w:r>
      <w:r w:rsidRPr="006636EE">
        <w:rPr>
          <w:rFonts w:eastAsia="Times New Roman" w:cs="Times New Roman"/>
          <w:szCs w:val="24"/>
        </w:rPr>
        <w:t>. Sage Publications</w:t>
      </w:r>
      <w:r w:rsidR="5C97DB2D" w:rsidRPr="006636EE">
        <w:rPr>
          <w:rFonts w:eastAsia="Times New Roman" w:cs="Times New Roman"/>
          <w:szCs w:val="24"/>
        </w:rPr>
        <w:t>.</w:t>
      </w:r>
    </w:p>
    <w:p w14:paraId="287AA38D" w14:textId="77777777" w:rsidR="000050F7" w:rsidRDefault="000050F7" w:rsidP="00A54D55">
      <w:pPr>
        <w:spacing w:after="0"/>
        <w:ind w:left="720" w:hanging="720"/>
        <w:rPr>
          <w:rFonts w:eastAsia="Times New Roman" w:cs="Times New Roman"/>
          <w:szCs w:val="24"/>
          <w:lang w:val="en-AU"/>
        </w:rPr>
      </w:pPr>
      <w:r w:rsidRPr="000050F7">
        <w:rPr>
          <w:rFonts w:eastAsia="Times New Roman" w:cs="Times New Roman"/>
          <w:szCs w:val="24"/>
          <w:lang w:val="en-AU"/>
        </w:rPr>
        <w:t xml:space="preserve">Grunig, J. E. (1989). Sierra club study shows who becomes activists. </w:t>
      </w:r>
      <w:r w:rsidRPr="000050F7">
        <w:rPr>
          <w:rFonts w:eastAsia="Times New Roman" w:cs="Times New Roman"/>
          <w:i/>
          <w:iCs/>
          <w:szCs w:val="24"/>
          <w:lang w:val="en-AU"/>
        </w:rPr>
        <w:t>Public Relations Review</w:t>
      </w:r>
      <w:r w:rsidRPr="000050F7">
        <w:rPr>
          <w:rFonts w:eastAsia="Times New Roman" w:cs="Times New Roman"/>
          <w:szCs w:val="24"/>
          <w:lang w:val="en-AU"/>
        </w:rPr>
        <w:t>,</w:t>
      </w:r>
      <w:r w:rsidRPr="000050F7">
        <w:rPr>
          <w:rFonts w:eastAsia="Times New Roman" w:cs="Times New Roman"/>
          <w:i/>
          <w:iCs/>
          <w:szCs w:val="24"/>
          <w:lang w:val="en-AU"/>
        </w:rPr>
        <w:t xml:space="preserve"> 15</w:t>
      </w:r>
      <w:r w:rsidRPr="000050F7">
        <w:rPr>
          <w:rFonts w:eastAsia="Times New Roman" w:cs="Times New Roman"/>
          <w:szCs w:val="24"/>
          <w:lang w:val="en-AU"/>
        </w:rPr>
        <w:t xml:space="preserve">(3), 3-24. </w:t>
      </w:r>
    </w:p>
    <w:p w14:paraId="724AD300" w14:textId="275FFD06" w:rsidR="742BCE70" w:rsidRPr="006636EE" w:rsidRDefault="742BCE70" w:rsidP="00A54D55">
      <w:pPr>
        <w:spacing w:after="0"/>
        <w:ind w:left="720" w:hanging="720"/>
        <w:rPr>
          <w:rFonts w:eastAsia="Times New Roman" w:cs="Times New Roman"/>
          <w:szCs w:val="24"/>
        </w:rPr>
      </w:pPr>
      <w:r w:rsidRPr="006636EE">
        <w:rPr>
          <w:rFonts w:eastAsia="Times New Roman" w:cs="Times New Roman"/>
          <w:szCs w:val="24"/>
        </w:rPr>
        <w:t xml:space="preserve">Hallahan, K. (2011). Political Public Relations and Strategic Framing. In J. Stromback &amp; S. Kiousis (Eds.), </w:t>
      </w:r>
      <w:r w:rsidRPr="006636EE">
        <w:rPr>
          <w:rFonts w:eastAsia="Times New Roman" w:cs="Times New Roman"/>
          <w:i/>
          <w:iCs/>
          <w:szCs w:val="24"/>
        </w:rPr>
        <w:t>Political Public Relations</w:t>
      </w:r>
      <w:r w:rsidRPr="006636EE">
        <w:rPr>
          <w:rFonts w:eastAsia="Times New Roman" w:cs="Times New Roman"/>
          <w:szCs w:val="24"/>
        </w:rPr>
        <w:t xml:space="preserve"> (pp. 249-266). Routledge. </w:t>
      </w:r>
      <w:hyperlink r:id="rId23">
        <w:r w:rsidRPr="006636EE">
          <w:rPr>
            <w:rStyle w:val="Hyperlink"/>
            <w:rFonts w:eastAsia="Times New Roman" w:cs="Times New Roman"/>
            <w:color w:val="467886"/>
            <w:szCs w:val="24"/>
          </w:rPr>
          <w:t>https://doi.org/10.4324/9781351053143-18</w:t>
        </w:r>
      </w:hyperlink>
    </w:p>
    <w:p w14:paraId="686000FE" w14:textId="270FDCF8" w:rsidR="00E81124" w:rsidRPr="006636EE" w:rsidRDefault="00E81124"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lastRenderedPageBreak/>
        <w:t>Hewitt, W. (</w:t>
      </w:r>
      <w:r w:rsidR="00482151" w:rsidRPr="006636EE">
        <w:rPr>
          <w:rFonts w:eastAsia="Times New Roman" w:cs="Times New Roman"/>
          <w:szCs w:val="24"/>
        </w:rPr>
        <w:t>2021, October</w:t>
      </w:r>
      <w:r w:rsidR="00B1486D" w:rsidRPr="006636EE">
        <w:rPr>
          <w:rFonts w:eastAsia="Times New Roman" w:cs="Times New Roman"/>
          <w:szCs w:val="24"/>
        </w:rPr>
        <w:t xml:space="preserve"> </w:t>
      </w:r>
      <w:r w:rsidR="4509C0D5" w:rsidRPr="006636EE">
        <w:rPr>
          <w:rFonts w:eastAsia="Times New Roman" w:cs="Times New Roman"/>
          <w:szCs w:val="24"/>
        </w:rPr>
        <w:t>3</w:t>
      </w:r>
      <w:r w:rsidR="00B1486D" w:rsidRPr="006636EE">
        <w:rPr>
          <w:rFonts w:eastAsia="Times New Roman" w:cs="Times New Roman"/>
          <w:szCs w:val="24"/>
        </w:rPr>
        <w:t xml:space="preserve">). </w:t>
      </w:r>
      <w:r w:rsidR="00B1486D" w:rsidRPr="006636EE">
        <w:rPr>
          <w:rFonts w:eastAsia="Times New Roman" w:cs="Times New Roman"/>
          <w:i/>
          <w:iCs/>
          <w:szCs w:val="24"/>
        </w:rPr>
        <w:t xml:space="preserve">COVID-19: Auckland anti-lockdown protest in pictures. </w:t>
      </w:r>
      <w:proofErr w:type="spellStart"/>
      <w:r w:rsidR="00B1486D" w:rsidRPr="006636EE">
        <w:rPr>
          <w:rFonts w:eastAsia="Times New Roman" w:cs="Times New Roman"/>
          <w:i/>
          <w:iCs/>
          <w:szCs w:val="24"/>
        </w:rPr>
        <w:t>Newshub</w:t>
      </w:r>
      <w:proofErr w:type="spellEnd"/>
      <w:r w:rsidR="00B1486D" w:rsidRPr="006636EE">
        <w:rPr>
          <w:rFonts w:eastAsia="Times New Roman" w:cs="Times New Roman"/>
          <w:i/>
          <w:iCs/>
          <w:szCs w:val="24"/>
        </w:rPr>
        <w:t>.</w:t>
      </w:r>
      <w:r w:rsidR="00B1486D" w:rsidRPr="006636EE">
        <w:rPr>
          <w:rFonts w:eastAsia="Times New Roman" w:cs="Times New Roman"/>
          <w:szCs w:val="24"/>
        </w:rPr>
        <w:t xml:space="preserve"> </w:t>
      </w:r>
      <w:hyperlink r:id="rId24">
        <w:r w:rsidR="008A3F87" w:rsidRPr="006636EE">
          <w:rPr>
            <w:rStyle w:val="Hyperlink"/>
            <w:rFonts w:eastAsia="Times New Roman" w:cs="Times New Roman"/>
            <w:szCs w:val="24"/>
          </w:rPr>
          <w:t>https://www.newshub.co.nz/home/new-zealand/2021/10/covid-19-auckland-anti-lockdown-protest-in-pictures.html</w:t>
        </w:r>
      </w:hyperlink>
      <w:r w:rsidR="008A3F87" w:rsidRPr="006636EE">
        <w:rPr>
          <w:rFonts w:eastAsia="Times New Roman" w:cs="Times New Roman"/>
          <w:szCs w:val="24"/>
        </w:rPr>
        <w:t xml:space="preserve"> </w:t>
      </w:r>
    </w:p>
    <w:p w14:paraId="14DBDE6D" w14:textId="115F5AFC" w:rsidR="00492F91" w:rsidRPr="006636EE" w:rsidRDefault="00492F91"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Hill, K. (2012, </w:t>
      </w:r>
      <w:r w:rsidR="00F41C24" w:rsidRPr="006636EE">
        <w:rPr>
          <w:rFonts w:eastAsia="Times New Roman" w:cs="Times New Roman"/>
          <w:szCs w:val="24"/>
        </w:rPr>
        <w:t>July 19).</w:t>
      </w:r>
      <w:r w:rsidR="00F41C24" w:rsidRPr="006636EE">
        <w:t xml:space="preserve"> </w:t>
      </w:r>
      <w:r w:rsidR="00F41C24" w:rsidRPr="006636EE">
        <w:rPr>
          <w:rFonts w:eastAsia="Times New Roman" w:cs="Times New Roman"/>
          <w:szCs w:val="24"/>
        </w:rPr>
        <w:t>Was Greenpeace's Shell hoax brilliant or 'villainous'? One of the guys behind it all speaks.</w:t>
      </w:r>
      <w:r w:rsidR="009D608C" w:rsidRPr="006636EE">
        <w:rPr>
          <w:rFonts w:eastAsia="Times New Roman" w:cs="Times New Roman"/>
          <w:i/>
          <w:iCs/>
          <w:szCs w:val="24"/>
        </w:rPr>
        <w:t xml:space="preserve"> Forbes</w:t>
      </w:r>
      <w:r w:rsidR="009D608C" w:rsidRPr="006636EE">
        <w:rPr>
          <w:rFonts w:eastAsia="Times New Roman" w:cs="Times New Roman"/>
          <w:szCs w:val="24"/>
        </w:rPr>
        <w:t>.</w:t>
      </w:r>
      <w:r w:rsidR="009D608C" w:rsidRPr="006636EE">
        <w:t xml:space="preserve"> </w:t>
      </w:r>
      <w:hyperlink r:id="rId25" w:history="1">
        <w:r w:rsidR="009D608C" w:rsidRPr="006636EE">
          <w:rPr>
            <w:rStyle w:val="Hyperlink"/>
            <w:rFonts w:eastAsia="Times New Roman" w:cs="Times New Roman"/>
            <w:szCs w:val="24"/>
          </w:rPr>
          <w:t>https://www.forbes.com/sites/kashmirhill/2012/07/19/greenpeaces-shell-hoax/</w:t>
        </w:r>
      </w:hyperlink>
      <w:r w:rsidR="009D608C" w:rsidRPr="006636EE">
        <w:rPr>
          <w:rFonts w:eastAsia="Times New Roman" w:cs="Times New Roman"/>
          <w:szCs w:val="24"/>
        </w:rPr>
        <w:t xml:space="preserve"> </w:t>
      </w:r>
    </w:p>
    <w:p w14:paraId="65C17CA9" w14:textId="27342DC6" w:rsidR="00895AD5" w:rsidRPr="006636EE" w:rsidRDefault="00895AD5"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Jean, S. (</w:t>
      </w:r>
      <w:r w:rsidR="00E76028" w:rsidRPr="006636EE">
        <w:rPr>
          <w:rFonts w:eastAsia="Times New Roman" w:cs="Times New Roman"/>
          <w:szCs w:val="24"/>
        </w:rPr>
        <w:t xml:space="preserve">2011). Brand parody: a communication strategy to attack a competitor. </w:t>
      </w:r>
      <w:r w:rsidR="00E76028" w:rsidRPr="006636EE">
        <w:rPr>
          <w:rFonts w:eastAsia="Times New Roman" w:cs="Times New Roman"/>
          <w:i/>
          <w:iCs/>
          <w:szCs w:val="24"/>
        </w:rPr>
        <w:t>Journal of Consumer Marketing, 28</w:t>
      </w:r>
      <w:r w:rsidR="00E76028" w:rsidRPr="006636EE">
        <w:rPr>
          <w:rFonts w:eastAsia="Times New Roman" w:cs="Times New Roman"/>
          <w:szCs w:val="24"/>
        </w:rPr>
        <w:t xml:space="preserve">(1), </w:t>
      </w:r>
      <w:r w:rsidR="00CB625A" w:rsidRPr="006636EE">
        <w:rPr>
          <w:rFonts w:eastAsia="Times New Roman" w:cs="Times New Roman"/>
          <w:szCs w:val="24"/>
        </w:rPr>
        <w:t>1</w:t>
      </w:r>
      <w:r w:rsidR="00E76028" w:rsidRPr="006636EE">
        <w:rPr>
          <w:rFonts w:eastAsia="Times New Roman" w:cs="Times New Roman"/>
          <w:szCs w:val="24"/>
        </w:rPr>
        <w:t>9–26</w:t>
      </w:r>
      <w:r w:rsidR="00CB625A" w:rsidRPr="006636EE">
        <w:rPr>
          <w:rFonts w:eastAsia="Times New Roman" w:cs="Times New Roman"/>
          <w:szCs w:val="24"/>
        </w:rPr>
        <w:t>. https://doi.org/</w:t>
      </w:r>
      <w:r w:rsidR="00E76028" w:rsidRPr="006636EE">
        <w:rPr>
          <w:rFonts w:eastAsia="Times New Roman" w:cs="Times New Roman"/>
          <w:szCs w:val="24"/>
        </w:rPr>
        <w:t>10.1108/07363761111101912</w:t>
      </w:r>
    </w:p>
    <w:p w14:paraId="76CF45DA" w14:textId="238D70D4" w:rsidR="00A1689A" w:rsidRPr="006636EE" w:rsidRDefault="141F28D9"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Jensen</w:t>
      </w:r>
      <w:r w:rsidR="582259DD" w:rsidRPr="006636EE">
        <w:rPr>
          <w:rFonts w:eastAsia="Times New Roman" w:cs="Times New Roman"/>
          <w:szCs w:val="24"/>
        </w:rPr>
        <w:t xml:space="preserve">, K. B. (2015). </w:t>
      </w:r>
      <w:r w:rsidRPr="006636EE">
        <w:rPr>
          <w:rFonts w:eastAsia="Times New Roman" w:cs="Times New Roman"/>
          <w:szCs w:val="24"/>
        </w:rPr>
        <w:t>Semiotics</w:t>
      </w:r>
      <w:r w:rsidR="582259DD" w:rsidRPr="006636EE">
        <w:rPr>
          <w:rFonts w:eastAsia="Times New Roman" w:cs="Times New Roman"/>
          <w:szCs w:val="24"/>
        </w:rPr>
        <w:t>. I</w:t>
      </w:r>
      <w:r w:rsidRPr="006636EE">
        <w:rPr>
          <w:rFonts w:eastAsia="Times New Roman" w:cs="Times New Roman"/>
          <w:szCs w:val="24"/>
        </w:rPr>
        <w:t>n Donsbach</w:t>
      </w:r>
      <w:r w:rsidR="582259DD" w:rsidRPr="006636EE">
        <w:rPr>
          <w:rFonts w:eastAsia="Times New Roman" w:cs="Times New Roman"/>
          <w:szCs w:val="24"/>
        </w:rPr>
        <w:t>, W.</w:t>
      </w:r>
      <w:r w:rsidRPr="006636EE">
        <w:rPr>
          <w:rFonts w:eastAsia="Times New Roman" w:cs="Times New Roman"/>
          <w:szCs w:val="24"/>
        </w:rPr>
        <w:t xml:space="preserve"> (ed)</w:t>
      </w:r>
      <w:r w:rsidR="17288978" w:rsidRPr="006636EE">
        <w:rPr>
          <w:rFonts w:eastAsia="Times New Roman" w:cs="Times New Roman"/>
          <w:szCs w:val="24"/>
        </w:rPr>
        <w:t>,</w:t>
      </w:r>
      <w:r w:rsidRPr="006636EE">
        <w:rPr>
          <w:rFonts w:eastAsia="Times New Roman" w:cs="Times New Roman"/>
          <w:szCs w:val="24"/>
        </w:rPr>
        <w:t xml:space="preserve"> </w:t>
      </w:r>
      <w:r w:rsidRPr="006636EE">
        <w:rPr>
          <w:rFonts w:eastAsia="Times New Roman" w:cs="Times New Roman"/>
          <w:i/>
          <w:iCs/>
          <w:szCs w:val="24"/>
        </w:rPr>
        <w:t xml:space="preserve">The Concise </w:t>
      </w:r>
      <w:proofErr w:type="spellStart"/>
      <w:r w:rsidRPr="006636EE">
        <w:rPr>
          <w:rFonts w:eastAsia="Times New Roman" w:cs="Times New Roman"/>
          <w:i/>
          <w:iCs/>
          <w:szCs w:val="24"/>
        </w:rPr>
        <w:t>Encyclopedia</w:t>
      </w:r>
      <w:proofErr w:type="spellEnd"/>
      <w:r w:rsidRPr="006636EE">
        <w:rPr>
          <w:rFonts w:eastAsia="Times New Roman" w:cs="Times New Roman"/>
          <w:i/>
          <w:iCs/>
          <w:szCs w:val="24"/>
        </w:rPr>
        <w:t xml:space="preserve"> of Communication</w:t>
      </w:r>
      <w:r w:rsidR="582259DD" w:rsidRPr="006636EE">
        <w:rPr>
          <w:rFonts w:eastAsia="Times New Roman" w:cs="Times New Roman"/>
          <w:i/>
          <w:iCs/>
          <w:szCs w:val="24"/>
        </w:rPr>
        <w:t xml:space="preserve"> </w:t>
      </w:r>
      <w:r w:rsidR="582259DD" w:rsidRPr="006636EE">
        <w:rPr>
          <w:rFonts w:eastAsia="Times New Roman" w:cs="Times New Roman"/>
          <w:szCs w:val="24"/>
        </w:rPr>
        <w:t>(</w:t>
      </w:r>
      <w:r w:rsidR="66353906" w:rsidRPr="006636EE">
        <w:rPr>
          <w:rFonts w:eastAsia="Times New Roman" w:cs="Times New Roman"/>
          <w:szCs w:val="24"/>
        </w:rPr>
        <w:t xml:space="preserve">pp. </w:t>
      </w:r>
      <w:r w:rsidR="582259DD" w:rsidRPr="006636EE">
        <w:rPr>
          <w:rFonts w:eastAsia="Times New Roman" w:cs="Times New Roman"/>
          <w:szCs w:val="24"/>
        </w:rPr>
        <w:t>569-570).</w:t>
      </w:r>
      <w:r w:rsidR="27BE78C6" w:rsidRPr="006636EE">
        <w:rPr>
          <w:rFonts w:eastAsia="Times New Roman" w:cs="Times New Roman"/>
          <w:szCs w:val="24"/>
        </w:rPr>
        <w:t xml:space="preserve"> </w:t>
      </w:r>
      <w:r w:rsidRPr="006636EE">
        <w:rPr>
          <w:rFonts w:eastAsia="Times New Roman" w:cs="Times New Roman"/>
          <w:szCs w:val="24"/>
        </w:rPr>
        <w:t>Wiley Blackwell.</w:t>
      </w:r>
    </w:p>
    <w:p w14:paraId="04F590D7" w14:textId="3ADD694F" w:rsidR="00D8500B" w:rsidRPr="006636EE" w:rsidRDefault="673040C7" w:rsidP="00A54D55">
      <w:pPr>
        <w:ind w:left="720" w:hanging="720"/>
        <w:rPr>
          <w:rFonts w:eastAsia="Times New Roman" w:cs="Times New Roman"/>
          <w:szCs w:val="24"/>
        </w:rPr>
      </w:pPr>
      <w:r w:rsidRPr="006636EE">
        <w:rPr>
          <w:rFonts w:eastAsia="Times New Roman" w:cs="Times New Roman"/>
          <w:szCs w:val="24"/>
        </w:rPr>
        <w:t xml:space="preserve">Kilvert, N. (2018, July 4). </w:t>
      </w:r>
      <w:r w:rsidRPr="006636EE">
        <w:rPr>
          <w:rFonts w:eastAsia="Times New Roman" w:cs="Times New Roman"/>
          <w:i/>
          <w:iCs/>
          <w:szCs w:val="24"/>
        </w:rPr>
        <w:t>Nestle suspended from sustainable palm oil group following conduct breaches</w:t>
      </w:r>
      <w:r w:rsidRPr="006636EE">
        <w:rPr>
          <w:rFonts w:eastAsia="Times New Roman" w:cs="Times New Roman"/>
          <w:szCs w:val="24"/>
        </w:rPr>
        <w:t xml:space="preserve">. ABC News. </w:t>
      </w:r>
      <w:hyperlink r:id="rId26">
        <w:r w:rsidRPr="006636EE">
          <w:rPr>
            <w:rStyle w:val="Hyperlink"/>
            <w:rFonts w:eastAsia="Times New Roman" w:cs="Times New Roman"/>
            <w:szCs w:val="24"/>
          </w:rPr>
          <w:t>https://www.abc.net.au/news/science/2018-06-29/nestle-suspended-sustainable-palm-oil/9923238</w:t>
        </w:r>
      </w:hyperlink>
      <w:r w:rsidRPr="006636EE">
        <w:rPr>
          <w:rFonts w:eastAsia="Times New Roman" w:cs="Times New Roman"/>
          <w:szCs w:val="24"/>
        </w:rPr>
        <w:t xml:space="preserve"> </w:t>
      </w:r>
    </w:p>
    <w:p w14:paraId="3D39C84E" w14:textId="661E158B" w:rsidR="00665854" w:rsidRPr="006636EE" w:rsidRDefault="235465CD" w:rsidP="00A54D55">
      <w:pPr>
        <w:ind w:left="720" w:hanging="720"/>
        <w:rPr>
          <w:rFonts w:eastAsia="Times New Roman" w:cs="Times New Roman"/>
          <w:szCs w:val="24"/>
        </w:rPr>
      </w:pPr>
      <w:r w:rsidRPr="006636EE">
        <w:rPr>
          <w:rFonts w:eastAsia="Times New Roman" w:cs="Times New Roman"/>
          <w:szCs w:val="24"/>
        </w:rPr>
        <w:t>King J</w:t>
      </w:r>
      <w:r w:rsidR="00D006FB" w:rsidRPr="006636EE">
        <w:rPr>
          <w:rFonts w:eastAsia="Times New Roman" w:cs="Times New Roman"/>
          <w:szCs w:val="24"/>
        </w:rPr>
        <w:t>.</w:t>
      </w:r>
      <w:r w:rsidRPr="006636EE">
        <w:rPr>
          <w:rFonts w:eastAsia="Times New Roman" w:cs="Times New Roman"/>
          <w:szCs w:val="24"/>
        </w:rPr>
        <w:t>, Ferraz</w:t>
      </w:r>
      <w:r w:rsidR="00D006FB" w:rsidRPr="006636EE">
        <w:rPr>
          <w:rFonts w:eastAsia="Times New Roman" w:cs="Times New Roman"/>
          <w:szCs w:val="24"/>
        </w:rPr>
        <w:t xml:space="preserve">, </w:t>
      </w:r>
      <w:r w:rsidRPr="006636EE">
        <w:rPr>
          <w:rFonts w:eastAsia="Times New Roman" w:cs="Times New Roman"/>
          <w:szCs w:val="24"/>
        </w:rPr>
        <w:t>O</w:t>
      </w:r>
      <w:r w:rsidR="00D006FB" w:rsidRPr="006636EE">
        <w:rPr>
          <w:rFonts w:eastAsia="Times New Roman" w:cs="Times New Roman"/>
          <w:szCs w:val="24"/>
        </w:rPr>
        <w:t xml:space="preserve">. </w:t>
      </w:r>
      <w:r w:rsidRPr="006636EE">
        <w:rPr>
          <w:rFonts w:eastAsia="Times New Roman" w:cs="Times New Roman"/>
          <w:szCs w:val="24"/>
        </w:rPr>
        <w:t>L</w:t>
      </w:r>
      <w:r w:rsidR="00D006FB" w:rsidRPr="006636EE">
        <w:rPr>
          <w:rFonts w:eastAsia="Times New Roman" w:cs="Times New Roman"/>
          <w:szCs w:val="24"/>
        </w:rPr>
        <w:t xml:space="preserve">. </w:t>
      </w:r>
      <w:r w:rsidRPr="006636EE">
        <w:rPr>
          <w:rFonts w:eastAsia="Times New Roman" w:cs="Times New Roman"/>
          <w:szCs w:val="24"/>
        </w:rPr>
        <w:t>M</w:t>
      </w:r>
      <w:r w:rsidR="00D006FB" w:rsidRPr="006636EE">
        <w:rPr>
          <w:rFonts w:eastAsia="Times New Roman" w:cs="Times New Roman"/>
          <w:szCs w:val="24"/>
        </w:rPr>
        <w:t>.</w:t>
      </w:r>
      <w:r w:rsidRPr="006636EE">
        <w:rPr>
          <w:rFonts w:eastAsia="Times New Roman" w:cs="Times New Roman"/>
          <w:szCs w:val="24"/>
        </w:rPr>
        <w:t xml:space="preserve">, </w:t>
      </w:r>
      <w:r w:rsidR="00D006FB" w:rsidRPr="006636EE">
        <w:rPr>
          <w:rFonts w:eastAsia="Times New Roman" w:cs="Times New Roman"/>
          <w:szCs w:val="24"/>
        </w:rPr>
        <w:t xml:space="preserve">&amp; </w:t>
      </w:r>
      <w:r w:rsidRPr="006636EE">
        <w:rPr>
          <w:rFonts w:eastAsia="Times New Roman" w:cs="Times New Roman"/>
          <w:szCs w:val="24"/>
        </w:rPr>
        <w:t>Jones</w:t>
      </w:r>
      <w:r w:rsidR="00D006FB" w:rsidRPr="006636EE">
        <w:rPr>
          <w:rFonts w:eastAsia="Times New Roman" w:cs="Times New Roman"/>
          <w:szCs w:val="24"/>
        </w:rPr>
        <w:t>,</w:t>
      </w:r>
      <w:r w:rsidRPr="006636EE">
        <w:rPr>
          <w:rFonts w:eastAsia="Times New Roman" w:cs="Times New Roman"/>
          <w:szCs w:val="24"/>
        </w:rPr>
        <w:t xml:space="preserve"> A. (2022) Mandatory COVID-19 vaccination and human rights. </w:t>
      </w:r>
      <w:r w:rsidRPr="006636EE">
        <w:rPr>
          <w:rFonts w:eastAsia="Times New Roman" w:cs="Times New Roman"/>
          <w:i/>
          <w:iCs/>
          <w:szCs w:val="24"/>
        </w:rPr>
        <w:t>Lancet</w:t>
      </w:r>
      <w:r w:rsidRPr="006636EE">
        <w:rPr>
          <w:rFonts w:eastAsia="Times New Roman" w:cs="Times New Roman"/>
          <w:szCs w:val="24"/>
        </w:rPr>
        <w:t xml:space="preserve">. 399(10321), 220-222. </w:t>
      </w:r>
      <w:hyperlink r:id="rId27">
        <w:r w:rsidR="005C4789" w:rsidRPr="006636EE">
          <w:rPr>
            <w:rStyle w:val="Hyperlink"/>
            <w:rFonts w:eastAsia="Times New Roman" w:cs="Times New Roman"/>
            <w:szCs w:val="24"/>
          </w:rPr>
          <w:t>https://doi.org/10.1016/S0140-6736(21)02873-7</w:t>
        </w:r>
      </w:hyperlink>
      <w:r w:rsidR="005C4789" w:rsidRPr="006636EE">
        <w:rPr>
          <w:rFonts w:eastAsia="Times New Roman" w:cs="Times New Roman"/>
          <w:szCs w:val="24"/>
        </w:rPr>
        <w:t xml:space="preserve"> </w:t>
      </w:r>
    </w:p>
    <w:p w14:paraId="64BEB70D" w14:textId="33F13738" w:rsidR="00665854" w:rsidRPr="006636EE" w:rsidRDefault="294339D0" w:rsidP="00A54D55">
      <w:pPr>
        <w:ind w:left="720" w:hanging="720"/>
        <w:rPr>
          <w:rFonts w:eastAsia="Times New Roman" w:cs="Times New Roman"/>
          <w:szCs w:val="24"/>
        </w:rPr>
      </w:pPr>
      <w:proofErr w:type="spellStart"/>
      <w:r w:rsidRPr="006636EE">
        <w:rPr>
          <w:rFonts w:eastAsia="Times New Roman" w:cs="Times New Roman"/>
          <w:szCs w:val="24"/>
        </w:rPr>
        <w:t>Knüpfer</w:t>
      </w:r>
      <w:proofErr w:type="spellEnd"/>
      <w:r w:rsidRPr="006636EE">
        <w:rPr>
          <w:rFonts w:eastAsia="Times New Roman" w:cs="Times New Roman"/>
          <w:szCs w:val="24"/>
        </w:rPr>
        <w:t xml:space="preserve">, C., Hoffmann, M., &amp; </w:t>
      </w:r>
      <w:proofErr w:type="spellStart"/>
      <w:r w:rsidRPr="006636EE">
        <w:rPr>
          <w:rFonts w:eastAsia="Times New Roman" w:cs="Times New Roman"/>
          <w:szCs w:val="24"/>
        </w:rPr>
        <w:t>Voskresenski</w:t>
      </w:r>
      <w:proofErr w:type="spellEnd"/>
      <w:r w:rsidRPr="006636EE">
        <w:rPr>
          <w:rFonts w:eastAsia="Times New Roman" w:cs="Times New Roman"/>
          <w:szCs w:val="24"/>
        </w:rPr>
        <w:t xml:space="preserve">, V. (2022). Hijacking MeToo: transnational dynamics and networked frame contestation on the far right in the case of the ‘120 decibels’ campaign. </w:t>
      </w:r>
      <w:r w:rsidRPr="006636EE">
        <w:rPr>
          <w:rFonts w:eastAsia="Times New Roman" w:cs="Times New Roman"/>
          <w:i/>
          <w:iCs/>
          <w:szCs w:val="24"/>
        </w:rPr>
        <w:t>Information, Communication &amp; Society, 25</w:t>
      </w:r>
      <w:r w:rsidRPr="006636EE">
        <w:rPr>
          <w:rFonts w:eastAsia="Times New Roman" w:cs="Times New Roman"/>
          <w:szCs w:val="24"/>
        </w:rPr>
        <w:t xml:space="preserve">(7), 1010–1028 </w:t>
      </w:r>
      <w:hyperlink r:id="rId28">
        <w:r w:rsidR="3BA955C0" w:rsidRPr="006636EE">
          <w:rPr>
            <w:rStyle w:val="Hyperlink"/>
            <w:rFonts w:eastAsia="Times New Roman" w:cs="Times New Roman"/>
            <w:szCs w:val="24"/>
          </w:rPr>
          <w:t>https://doi.org/10.1080/1369118X.2020.1822904</w:t>
        </w:r>
      </w:hyperlink>
      <w:r w:rsidR="3BA955C0" w:rsidRPr="006636EE">
        <w:rPr>
          <w:rFonts w:eastAsia="Times New Roman" w:cs="Times New Roman"/>
          <w:szCs w:val="24"/>
        </w:rPr>
        <w:t xml:space="preserve"> </w:t>
      </w:r>
    </w:p>
    <w:p w14:paraId="551EC8BE" w14:textId="51B68A93" w:rsidR="00126C7C" w:rsidRPr="006636EE" w:rsidRDefault="00126C7C" w:rsidP="00A54D55">
      <w:pPr>
        <w:pStyle w:val="EndNoteBibliography"/>
        <w:spacing w:after="0" w:line="480" w:lineRule="auto"/>
        <w:ind w:left="720" w:hanging="720"/>
        <w:rPr>
          <w:rFonts w:ascii="Times New Roman" w:hAnsi="Times New Roman" w:cs="Times New Roman"/>
          <w:noProof w:val="0"/>
          <w:szCs w:val="24"/>
          <w:lang w:val="en-GB"/>
        </w:rPr>
      </w:pPr>
      <w:r w:rsidRPr="006636EE">
        <w:rPr>
          <w:rFonts w:ascii="Times New Roman" w:hAnsi="Times New Roman" w:cs="Times New Roman"/>
          <w:noProof w:val="0"/>
          <w:szCs w:val="24"/>
          <w:lang w:val="en-GB"/>
        </w:rPr>
        <w:lastRenderedPageBreak/>
        <w:t xml:space="preserve">Kohler, S., &amp; </w:t>
      </w:r>
      <w:proofErr w:type="spellStart"/>
      <w:r w:rsidRPr="006636EE">
        <w:rPr>
          <w:rFonts w:ascii="Times New Roman" w:hAnsi="Times New Roman" w:cs="Times New Roman"/>
          <w:noProof w:val="0"/>
          <w:szCs w:val="24"/>
          <w:lang w:val="en-GB"/>
        </w:rPr>
        <w:t>Koinig</w:t>
      </w:r>
      <w:proofErr w:type="spellEnd"/>
      <w:r w:rsidRPr="006636EE">
        <w:rPr>
          <w:rFonts w:ascii="Times New Roman" w:hAnsi="Times New Roman" w:cs="Times New Roman"/>
          <w:noProof w:val="0"/>
          <w:szCs w:val="24"/>
          <w:lang w:val="en-GB"/>
        </w:rPr>
        <w:t xml:space="preserve">, I. (2023). The </w:t>
      </w:r>
      <w:r w:rsidR="000B4B08" w:rsidRPr="006636EE">
        <w:rPr>
          <w:rFonts w:ascii="Times New Roman" w:hAnsi="Times New Roman" w:cs="Times New Roman"/>
          <w:noProof w:val="0"/>
          <w:szCs w:val="24"/>
          <w:lang w:val="en-GB"/>
        </w:rPr>
        <w:t>e</w:t>
      </w:r>
      <w:r w:rsidRPr="006636EE">
        <w:rPr>
          <w:rFonts w:ascii="Times New Roman" w:hAnsi="Times New Roman" w:cs="Times New Roman"/>
          <w:noProof w:val="0"/>
          <w:szCs w:val="24"/>
          <w:lang w:val="en-GB"/>
        </w:rPr>
        <w:t xml:space="preserve">ffect of </w:t>
      </w:r>
      <w:r w:rsidR="000B4B08" w:rsidRPr="006636EE">
        <w:rPr>
          <w:rFonts w:ascii="Times New Roman" w:hAnsi="Times New Roman" w:cs="Times New Roman"/>
          <w:noProof w:val="0"/>
          <w:szCs w:val="24"/>
          <w:lang w:val="en-GB"/>
        </w:rPr>
        <w:t>s</w:t>
      </w:r>
      <w:r w:rsidRPr="006636EE">
        <w:rPr>
          <w:rFonts w:ascii="Times New Roman" w:hAnsi="Times New Roman" w:cs="Times New Roman"/>
          <w:noProof w:val="0"/>
          <w:szCs w:val="24"/>
          <w:lang w:val="en-GB"/>
        </w:rPr>
        <w:t>cience-</w:t>
      </w:r>
      <w:r w:rsidR="000B4B08" w:rsidRPr="006636EE">
        <w:rPr>
          <w:rFonts w:ascii="Times New Roman" w:hAnsi="Times New Roman" w:cs="Times New Roman"/>
          <w:noProof w:val="0"/>
          <w:szCs w:val="24"/>
          <w:lang w:val="en-GB"/>
        </w:rPr>
        <w:t>r</w:t>
      </w:r>
      <w:r w:rsidRPr="006636EE">
        <w:rPr>
          <w:rFonts w:ascii="Times New Roman" w:hAnsi="Times New Roman" w:cs="Times New Roman"/>
          <w:noProof w:val="0"/>
          <w:szCs w:val="24"/>
          <w:lang w:val="en-GB"/>
        </w:rPr>
        <w:t xml:space="preserve">elated </w:t>
      </w:r>
      <w:r w:rsidR="000B4B08" w:rsidRPr="006636EE">
        <w:rPr>
          <w:rFonts w:ascii="Times New Roman" w:hAnsi="Times New Roman" w:cs="Times New Roman"/>
          <w:noProof w:val="0"/>
          <w:szCs w:val="24"/>
          <w:lang w:val="en-GB"/>
        </w:rPr>
        <w:t>p</w:t>
      </w:r>
      <w:r w:rsidRPr="006636EE">
        <w:rPr>
          <w:rFonts w:ascii="Times New Roman" w:hAnsi="Times New Roman" w:cs="Times New Roman"/>
          <w:noProof w:val="0"/>
          <w:szCs w:val="24"/>
          <w:lang w:val="en-GB"/>
        </w:rPr>
        <w:t xml:space="preserve">opulism on </w:t>
      </w:r>
      <w:r w:rsidR="000B4B08" w:rsidRPr="006636EE">
        <w:rPr>
          <w:rFonts w:ascii="Times New Roman" w:hAnsi="Times New Roman" w:cs="Times New Roman"/>
          <w:noProof w:val="0"/>
          <w:szCs w:val="24"/>
          <w:lang w:val="en-GB"/>
        </w:rPr>
        <w:t>v</w:t>
      </w:r>
      <w:r w:rsidRPr="006636EE">
        <w:rPr>
          <w:rFonts w:ascii="Times New Roman" w:hAnsi="Times New Roman" w:cs="Times New Roman"/>
          <w:noProof w:val="0"/>
          <w:szCs w:val="24"/>
          <w:lang w:val="en-GB"/>
        </w:rPr>
        <w:t xml:space="preserve">accination </w:t>
      </w:r>
      <w:r w:rsidR="000B4B08" w:rsidRPr="006636EE">
        <w:rPr>
          <w:rFonts w:ascii="Times New Roman" w:hAnsi="Times New Roman" w:cs="Times New Roman"/>
          <w:noProof w:val="0"/>
          <w:szCs w:val="24"/>
          <w:lang w:val="en-GB"/>
        </w:rPr>
        <w:t>a</w:t>
      </w:r>
      <w:r w:rsidRPr="006636EE">
        <w:rPr>
          <w:rFonts w:ascii="Times New Roman" w:hAnsi="Times New Roman" w:cs="Times New Roman"/>
          <w:noProof w:val="0"/>
          <w:szCs w:val="24"/>
          <w:lang w:val="en-GB"/>
        </w:rPr>
        <w:t xml:space="preserve">ttitudes and </w:t>
      </w:r>
      <w:r w:rsidR="000B4B08" w:rsidRPr="006636EE">
        <w:rPr>
          <w:rFonts w:ascii="Times New Roman" w:hAnsi="Times New Roman" w:cs="Times New Roman"/>
          <w:noProof w:val="0"/>
          <w:szCs w:val="24"/>
          <w:lang w:val="en-GB"/>
        </w:rPr>
        <w:t>d</w:t>
      </w:r>
      <w:r w:rsidRPr="006636EE">
        <w:rPr>
          <w:rFonts w:ascii="Times New Roman" w:hAnsi="Times New Roman" w:cs="Times New Roman"/>
          <w:noProof w:val="0"/>
          <w:szCs w:val="24"/>
          <w:lang w:val="en-GB"/>
        </w:rPr>
        <w:t xml:space="preserve">ecisions. </w:t>
      </w:r>
      <w:r w:rsidRPr="006636EE">
        <w:rPr>
          <w:rFonts w:ascii="Times New Roman" w:hAnsi="Times New Roman" w:cs="Times New Roman"/>
          <w:i/>
          <w:noProof w:val="0"/>
          <w:szCs w:val="24"/>
          <w:lang w:val="en-GB"/>
        </w:rPr>
        <w:t xml:space="preserve">Journal of </w:t>
      </w:r>
      <w:proofErr w:type="spellStart"/>
      <w:r w:rsidRPr="006636EE">
        <w:rPr>
          <w:rFonts w:ascii="Times New Roman" w:hAnsi="Times New Roman" w:cs="Times New Roman"/>
          <w:i/>
          <w:noProof w:val="0"/>
          <w:szCs w:val="24"/>
          <w:lang w:val="en-GB"/>
        </w:rPr>
        <w:t>Behavioral</w:t>
      </w:r>
      <w:proofErr w:type="spellEnd"/>
      <w:r w:rsidRPr="006636EE">
        <w:rPr>
          <w:rFonts w:ascii="Times New Roman" w:hAnsi="Times New Roman" w:cs="Times New Roman"/>
          <w:i/>
          <w:noProof w:val="0"/>
          <w:szCs w:val="24"/>
          <w:lang w:val="en-GB"/>
        </w:rPr>
        <w:t xml:space="preserve"> Medicine</w:t>
      </w:r>
      <w:r w:rsidRPr="006636EE">
        <w:rPr>
          <w:rFonts w:ascii="Times New Roman" w:hAnsi="Times New Roman" w:cs="Times New Roman"/>
          <w:noProof w:val="0"/>
          <w:szCs w:val="24"/>
          <w:lang w:val="en-GB"/>
        </w:rPr>
        <w:t>,</w:t>
      </w:r>
      <w:r w:rsidRPr="006636EE">
        <w:rPr>
          <w:rFonts w:ascii="Times New Roman" w:hAnsi="Times New Roman" w:cs="Times New Roman"/>
          <w:i/>
          <w:noProof w:val="0"/>
          <w:szCs w:val="24"/>
          <w:lang w:val="en-GB"/>
        </w:rPr>
        <w:t xml:space="preserve"> 46</w:t>
      </w:r>
      <w:r w:rsidRPr="006636EE">
        <w:rPr>
          <w:rFonts w:ascii="Times New Roman" w:hAnsi="Times New Roman" w:cs="Times New Roman"/>
          <w:noProof w:val="0"/>
          <w:szCs w:val="24"/>
          <w:lang w:val="en-GB"/>
        </w:rPr>
        <w:t xml:space="preserve">(1), 229-238. </w:t>
      </w:r>
      <w:hyperlink r:id="rId29" w:history="1">
        <w:r w:rsidRPr="006636EE">
          <w:rPr>
            <w:rStyle w:val="Hyperlink"/>
            <w:rFonts w:ascii="Times New Roman" w:hAnsi="Times New Roman" w:cs="Times New Roman"/>
            <w:noProof w:val="0"/>
            <w:szCs w:val="24"/>
            <w:lang w:val="en-GB"/>
          </w:rPr>
          <w:t>https://doi.org/10.1007/s10865-022-00333-2</w:t>
        </w:r>
      </w:hyperlink>
      <w:r w:rsidRPr="006636EE">
        <w:rPr>
          <w:rFonts w:ascii="Times New Roman" w:hAnsi="Times New Roman" w:cs="Times New Roman"/>
          <w:noProof w:val="0"/>
          <w:szCs w:val="24"/>
          <w:lang w:val="en-GB"/>
        </w:rPr>
        <w:t xml:space="preserve"> </w:t>
      </w:r>
    </w:p>
    <w:p w14:paraId="76802096" w14:textId="7FEB32BE" w:rsidR="0098705D" w:rsidRPr="006636EE" w:rsidRDefault="31358FB4" w:rsidP="00A54D55">
      <w:pPr>
        <w:ind w:left="720" w:hanging="720"/>
        <w:rPr>
          <w:rFonts w:eastAsia="Times New Roman" w:cs="Times New Roman"/>
          <w:szCs w:val="24"/>
        </w:rPr>
      </w:pPr>
      <w:r w:rsidRPr="006636EE">
        <w:rPr>
          <w:rFonts w:eastAsia="Times New Roman" w:cs="Times New Roman"/>
          <w:szCs w:val="24"/>
        </w:rPr>
        <w:t xml:space="preserve">Landler, M. (2023, December 10). </w:t>
      </w:r>
      <w:r w:rsidR="2344E47A" w:rsidRPr="006636EE">
        <w:rPr>
          <w:rFonts w:eastAsia="Times New Roman" w:cs="Times New Roman"/>
          <w:color w:val="212121"/>
          <w:szCs w:val="24"/>
        </w:rPr>
        <w:t xml:space="preserve">Vaccine mandates rekindle fierce debate over civil liberties. </w:t>
      </w:r>
      <w:r w:rsidR="2344E47A" w:rsidRPr="006636EE">
        <w:rPr>
          <w:rFonts w:eastAsia="Times New Roman" w:cs="Times New Roman"/>
          <w:i/>
          <w:iCs/>
          <w:color w:val="212121"/>
          <w:szCs w:val="24"/>
        </w:rPr>
        <w:t>The New York Times.</w:t>
      </w:r>
      <w:r w:rsidR="41FE9A2C" w:rsidRPr="006636EE">
        <w:rPr>
          <w:rFonts w:eastAsia="Times New Roman" w:cs="Times New Roman"/>
          <w:color w:val="212121"/>
          <w:szCs w:val="24"/>
        </w:rPr>
        <w:t xml:space="preserve"> </w:t>
      </w:r>
      <w:r w:rsidR="2344E47A" w:rsidRPr="006636EE">
        <w:rPr>
          <w:rFonts w:eastAsia="Times New Roman" w:cs="Times New Roman"/>
          <w:szCs w:val="24"/>
        </w:rPr>
        <w:t xml:space="preserve"> </w:t>
      </w:r>
      <w:hyperlink r:id="rId30" w:history="1">
        <w:r w:rsidR="00482151" w:rsidRPr="006636EE">
          <w:rPr>
            <w:rStyle w:val="Hyperlink"/>
            <w:rFonts w:eastAsia="Times New Roman" w:cs="Times New Roman"/>
            <w:szCs w:val="24"/>
          </w:rPr>
          <w:t>https://www.nytimes.com/2021/12/10/world/europe/vaccine-mandates-civil-liberties.html</w:t>
        </w:r>
      </w:hyperlink>
      <w:r w:rsidR="00482151" w:rsidRPr="006636EE">
        <w:rPr>
          <w:rFonts w:eastAsia="Times New Roman" w:cs="Times New Roman"/>
          <w:szCs w:val="24"/>
        </w:rPr>
        <w:t xml:space="preserve"> </w:t>
      </w:r>
    </w:p>
    <w:p w14:paraId="599B728E" w14:textId="25F4A815" w:rsidR="0098705D" w:rsidRPr="006636EE" w:rsidRDefault="0098705D" w:rsidP="00A54D55">
      <w:pPr>
        <w:ind w:left="720" w:hanging="720"/>
        <w:rPr>
          <w:rFonts w:eastAsia="Times New Roman" w:cs="Times New Roman"/>
          <w:szCs w:val="24"/>
        </w:rPr>
      </w:pPr>
      <w:r w:rsidRPr="006636EE">
        <w:rPr>
          <w:rFonts w:eastAsia="Times New Roman" w:cs="Times New Roman"/>
          <w:szCs w:val="24"/>
        </w:rPr>
        <w:t xml:space="preserve">Langley, Q. (2014). </w:t>
      </w:r>
      <w:r w:rsidRPr="006636EE">
        <w:rPr>
          <w:rFonts w:eastAsia="Times New Roman" w:cs="Times New Roman"/>
          <w:i/>
          <w:iCs/>
          <w:szCs w:val="24"/>
        </w:rPr>
        <w:t>Brandjack.</w:t>
      </w:r>
      <w:r w:rsidRPr="006636EE">
        <w:rPr>
          <w:rFonts w:eastAsia="Times New Roman" w:cs="Times New Roman"/>
          <w:szCs w:val="24"/>
        </w:rPr>
        <w:t xml:space="preserve"> Palgrave Macmillan. </w:t>
      </w:r>
    </w:p>
    <w:p w14:paraId="78CFA928" w14:textId="5199618F" w:rsidR="002F5048" w:rsidRPr="006636EE" w:rsidRDefault="41F03516" w:rsidP="00A54D55">
      <w:pPr>
        <w:ind w:left="720" w:hanging="720"/>
        <w:rPr>
          <w:rFonts w:eastAsia="Times New Roman" w:cs="Times New Roman"/>
          <w:szCs w:val="24"/>
        </w:rPr>
      </w:pPr>
      <w:r w:rsidRPr="006636EE">
        <w:rPr>
          <w:rFonts w:eastAsia="Times New Roman" w:cs="Times New Roman"/>
          <w:szCs w:val="24"/>
        </w:rPr>
        <w:t xml:space="preserve">Langley, Q. (2016). </w:t>
      </w:r>
      <w:r w:rsidRPr="006636EE">
        <w:rPr>
          <w:rFonts w:eastAsia="Times New Roman" w:cs="Times New Roman"/>
          <w:i/>
          <w:iCs/>
          <w:szCs w:val="24"/>
        </w:rPr>
        <w:t xml:space="preserve">Brandjack: How your reputation is at risk from brand pirates and what to do about it. </w:t>
      </w:r>
      <w:r w:rsidRPr="006636EE">
        <w:rPr>
          <w:rFonts w:eastAsia="Times New Roman" w:cs="Times New Roman"/>
          <w:szCs w:val="24"/>
        </w:rPr>
        <w:t>Springer.</w:t>
      </w:r>
    </w:p>
    <w:p w14:paraId="32AC557F" w14:textId="2183F6E9" w:rsidR="00BD7910" w:rsidRPr="006636EE" w:rsidRDefault="4C92CC34" w:rsidP="00A54D55">
      <w:pPr>
        <w:ind w:left="720" w:hanging="720"/>
        <w:rPr>
          <w:rFonts w:eastAsia="Times New Roman" w:cs="Times New Roman"/>
          <w:szCs w:val="24"/>
        </w:rPr>
      </w:pPr>
      <w:r w:rsidRPr="006636EE">
        <w:rPr>
          <w:rFonts w:eastAsia="Times New Roman" w:cs="Times New Roman"/>
          <w:szCs w:val="24"/>
        </w:rPr>
        <w:t xml:space="preserve">Lanphier, E. (2021, August 4). </w:t>
      </w:r>
      <w:r w:rsidRPr="006636EE">
        <w:rPr>
          <w:rFonts w:eastAsia="Times New Roman" w:cs="Times New Roman"/>
          <w:i/>
          <w:iCs/>
          <w:szCs w:val="24"/>
        </w:rPr>
        <w:t xml:space="preserve">With abortion heading back to the Supreme court, is it time to retire the ‘my body, my choice’ </w:t>
      </w:r>
      <w:proofErr w:type="gramStart"/>
      <w:r w:rsidRPr="006636EE">
        <w:rPr>
          <w:rFonts w:eastAsia="Times New Roman" w:cs="Times New Roman"/>
          <w:i/>
          <w:iCs/>
          <w:szCs w:val="24"/>
        </w:rPr>
        <w:t>slogan?.</w:t>
      </w:r>
      <w:proofErr w:type="gramEnd"/>
      <w:r w:rsidRPr="006636EE">
        <w:rPr>
          <w:rFonts w:eastAsia="Times New Roman" w:cs="Times New Roman"/>
          <w:i/>
          <w:iCs/>
          <w:szCs w:val="24"/>
        </w:rPr>
        <w:t xml:space="preserve"> </w:t>
      </w:r>
      <w:r w:rsidRPr="006636EE">
        <w:rPr>
          <w:rFonts w:eastAsia="Times New Roman" w:cs="Times New Roman"/>
          <w:szCs w:val="24"/>
        </w:rPr>
        <w:t>The Conversation.</w:t>
      </w:r>
      <w:r w:rsidRPr="006636EE">
        <w:rPr>
          <w:rFonts w:eastAsia="Times New Roman" w:cs="Times New Roman"/>
          <w:szCs w:val="24"/>
          <w:u w:val="single"/>
        </w:rPr>
        <w:t xml:space="preserve"> </w:t>
      </w:r>
      <w:hyperlink r:id="rId31">
        <w:r w:rsidR="005C4789" w:rsidRPr="006636EE">
          <w:rPr>
            <w:rStyle w:val="Hyperlink"/>
            <w:rFonts w:eastAsia="Times New Roman" w:cs="Times New Roman"/>
            <w:szCs w:val="24"/>
          </w:rPr>
          <w:t>https://theconversation.com/with-abortion-heading-back-to-the-supreme-court-is-it-time-to-retire-the-my-body-my-choice-slogan-163770</w:t>
        </w:r>
      </w:hyperlink>
      <w:r w:rsidR="005C4789" w:rsidRPr="006636EE">
        <w:rPr>
          <w:rFonts w:eastAsia="Times New Roman" w:cs="Times New Roman"/>
          <w:szCs w:val="24"/>
          <w:u w:val="single"/>
        </w:rPr>
        <w:t xml:space="preserve"> </w:t>
      </w:r>
      <w:r w:rsidRPr="006636EE">
        <w:rPr>
          <w:rFonts w:eastAsia="Times New Roman" w:cs="Times New Roman"/>
          <w:szCs w:val="24"/>
        </w:rPr>
        <w:t xml:space="preserve">  </w:t>
      </w:r>
    </w:p>
    <w:p w14:paraId="55673FB2" w14:textId="279E7532" w:rsidR="00BD7910" w:rsidRPr="006636EE" w:rsidRDefault="3A3CBC76" w:rsidP="00A54D55">
      <w:pPr>
        <w:ind w:left="720" w:hanging="720"/>
        <w:rPr>
          <w:rStyle w:val="Hyperlink"/>
          <w:rFonts w:eastAsia="Times New Roman" w:cs="Times New Roman"/>
          <w:color w:val="auto"/>
          <w:szCs w:val="24"/>
        </w:rPr>
      </w:pPr>
      <w:r w:rsidRPr="006636EE">
        <w:rPr>
          <w:rFonts w:eastAsia="Times New Roman" w:cs="Times New Roman"/>
          <w:szCs w:val="24"/>
        </w:rPr>
        <w:t xml:space="preserve">Massey, E. (1722, July 8). </w:t>
      </w:r>
      <w:r w:rsidRPr="006636EE">
        <w:rPr>
          <w:rFonts w:eastAsia="Times New Roman" w:cs="Times New Roman"/>
          <w:i/>
          <w:iCs/>
          <w:szCs w:val="24"/>
        </w:rPr>
        <w:t>A sermon against the dangerous and sinful practice of inoculation.</w:t>
      </w:r>
      <w:r w:rsidRPr="006636EE">
        <w:rPr>
          <w:rFonts w:eastAsia="Times New Roman" w:cs="Times New Roman"/>
          <w:szCs w:val="24"/>
        </w:rPr>
        <w:t xml:space="preserve"> </w:t>
      </w:r>
      <w:proofErr w:type="spellStart"/>
      <w:r w:rsidRPr="006636EE">
        <w:rPr>
          <w:rFonts w:eastAsia="Times New Roman" w:cs="Times New Roman"/>
          <w:szCs w:val="24"/>
        </w:rPr>
        <w:t>Preach'd</w:t>
      </w:r>
      <w:proofErr w:type="spellEnd"/>
      <w:r w:rsidRPr="006636EE">
        <w:rPr>
          <w:rFonts w:eastAsia="Times New Roman" w:cs="Times New Roman"/>
          <w:szCs w:val="24"/>
        </w:rPr>
        <w:t xml:space="preserve"> at St. Andrew's Holborn, United Kingdom. </w:t>
      </w:r>
      <w:hyperlink r:id="rId32">
        <w:r w:rsidR="3BA955C0" w:rsidRPr="006636EE">
          <w:rPr>
            <w:rStyle w:val="Hyperlink"/>
            <w:rFonts w:eastAsia="Times New Roman" w:cs="Times New Roman"/>
            <w:szCs w:val="24"/>
          </w:rPr>
          <w:t>https://quod.lib.umich.edu/e/evans/N02782.0001.001/1:2?rgn=div1;view=fulltext</w:t>
        </w:r>
      </w:hyperlink>
      <w:r w:rsidR="3BA955C0" w:rsidRPr="006636EE">
        <w:rPr>
          <w:rFonts w:eastAsia="Times New Roman" w:cs="Times New Roman"/>
          <w:szCs w:val="24"/>
        </w:rPr>
        <w:t xml:space="preserve"> </w:t>
      </w:r>
    </w:p>
    <w:p w14:paraId="7FE6567C" w14:textId="155BC950" w:rsidR="00933EC4" w:rsidRPr="006636EE" w:rsidRDefault="74549C71"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McIntyre, J. (2021, November 12). What is the Australian merchant navy flag, the red ensign? And why to anti-government groups use it? </w:t>
      </w:r>
      <w:r w:rsidRPr="006636EE">
        <w:rPr>
          <w:rFonts w:eastAsia="Times New Roman" w:cs="Times New Roman"/>
          <w:i/>
          <w:iCs/>
          <w:szCs w:val="24"/>
        </w:rPr>
        <w:t>The Conversation.</w:t>
      </w:r>
      <w:r w:rsidRPr="006636EE">
        <w:rPr>
          <w:rFonts w:eastAsia="Times New Roman" w:cs="Times New Roman"/>
          <w:szCs w:val="24"/>
        </w:rPr>
        <w:t xml:space="preserve"> </w:t>
      </w:r>
      <w:hyperlink r:id="rId33">
        <w:r w:rsidR="005C4789" w:rsidRPr="006636EE">
          <w:rPr>
            <w:rStyle w:val="Hyperlink"/>
            <w:rFonts w:eastAsia="Times New Roman" w:cs="Times New Roman"/>
            <w:szCs w:val="24"/>
          </w:rPr>
          <w:t>https://theconversation.com/what-is-the-australian-merchant-navy-flag-the-red-ensign-and-why-do-anti-government-groups-use-it-170270</w:t>
        </w:r>
      </w:hyperlink>
      <w:r w:rsidR="005C4789" w:rsidRPr="006636EE">
        <w:rPr>
          <w:rFonts w:eastAsia="Times New Roman" w:cs="Times New Roman"/>
          <w:szCs w:val="24"/>
        </w:rPr>
        <w:t xml:space="preserve"> </w:t>
      </w:r>
    </w:p>
    <w:p w14:paraId="78A5DA96" w14:textId="06CFB846" w:rsidR="00933EC4" w:rsidRDefault="79D2AC88" w:rsidP="00A54D55">
      <w:pPr>
        <w:autoSpaceDE w:val="0"/>
        <w:autoSpaceDN w:val="0"/>
        <w:adjustRightInd w:val="0"/>
        <w:ind w:left="720" w:hanging="720"/>
      </w:pPr>
      <w:r w:rsidRPr="006636EE">
        <w:rPr>
          <w:rFonts w:eastAsia="Times New Roman" w:cs="Times New Roman"/>
          <w:szCs w:val="24"/>
        </w:rPr>
        <w:lastRenderedPageBreak/>
        <w:t>McLeod, C. (2021</w:t>
      </w:r>
      <w:r w:rsidR="00E227D0">
        <w:rPr>
          <w:rFonts w:eastAsia="Times New Roman" w:cs="Times New Roman"/>
          <w:szCs w:val="24"/>
        </w:rPr>
        <w:t>, November 7</w:t>
      </w:r>
      <w:r w:rsidRPr="006636EE">
        <w:rPr>
          <w:rFonts w:eastAsia="Times New Roman" w:cs="Times New Roman"/>
          <w:szCs w:val="24"/>
        </w:rPr>
        <w:t>). Hundreds turn out to anti-vaccine mandate protest in western Sydney</w:t>
      </w:r>
      <w:r w:rsidR="00C3498D" w:rsidRPr="006636EE">
        <w:rPr>
          <w:rFonts w:eastAsia="Times New Roman" w:cs="Times New Roman"/>
          <w:szCs w:val="24"/>
        </w:rPr>
        <w:t xml:space="preserve">. </w:t>
      </w:r>
      <w:r w:rsidR="00C3498D" w:rsidRPr="006636EE">
        <w:rPr>
          <w:rFonts w:eastAsia="Times New Roman" w:cs="Times New Roman"/>
          <w:i/>
          <w:iCs/>
          <w:szCs w:val="24"/>
        </w:rPr>
        <w:t>News.com.au</w:t>
      </w:r>
      <w:r w:rsidRPr="006636EE">
        <w:rPr>
          <w:rFonts w:eastAsia="Times New Roman" w:cs="Times New Roman"/>
          <w:szCs w:val="24"/>
        </w:rPr>
        <w:t xml:space="preserve">. </w:t>
      </w:r>
      <w:hyperlink r:id="rId34">
        <w:r w:rsidRPr="006636EE">
          <w:rPr>
            <w:rStyle w:val="Hyperlink"/>
            <w:rFonts w:eastAsia="Times New Roman" w:cs="Times New Roman"/>
            <w:szCs w:val="24"/>
          </w:rPr>
          <w:t>https://www.news.com.au/national/nsw-act/news/hundreds-turn-out-to-antivaccine-mandate-protest-in-western-sydney/news-story/4ad61478a77808871fac62d3c85a9d60</w:t>
        </w:r>
      </w:hyperlink>
    </w:p>
    <w:p w14:paraId="3B1430A8" w14:textId="71F43E59" w:rsidR="00B1580A" w:rsidRPr="003B4A96" w:rsidRDefault="00B1580A" w:rsidP="008D2594">
      <w:pPr>
        <w:autoSpaceDE w:val="0"/>
        <w:autoSpaceDN w:val="0"/>
        <w:adjustRightInd w:val="0"/>
        <w:ind w:left="720" w:hanging="720"/>
        <w:rPr>
          <w:b/>
          <w:bCs/>
        </w:rPr>
      </w:pPr>
      <w:r>
        <w:t>McLeod, S. (2024</w:t>
      </w:r>
      <w:r w:rsidR="00C1399E">
        <w:t xml:space="preserve">, </w:t>
      </w:r>
      <w:r w:rsidR="00C1399E" w:rsidRPr="008D2594">
        <w:t>December 17</w:t>
      </w:r>
      <w:r w:rsidRPr="008D2594">
        <w:t>).</w:t>
      </w:r>
      <w:r w:rsidR="00C1399E" w:rsidRPr="008D2594">
        <w:t xml:space="preserve"> </w:t>
      </w:r>
      <w:r w:rsidR="00C1399E" w:rsidRPr="003B4A96">
        <w:t>What is bracketing in qualitative research?</w:t>
      </w:r>
      <w:r w:rsidR="009E2489" w:rsidRPr="003B4A96">
        <w:t xml:space="preserve"> </w:t>
      </w:r>
      <w:r w:rsidR="009E2489" w:rsidRPr="003B4A96">
        <w:rPr>
          <w:i/>
          <w:iCs/>
        </w:rPr>
        <w:t>Simply Psychology</w:t>
      </w:r>
      <w:r w:rsidR="009E2489" w:rsidRPr="003B4A96">
        <w:t xml:space="preserve">. </w:t>
      </w:r>
      <w:r w:rsidR="008D2594" w:rsidRPr="003B4A96">
        <w:t>https://www.simplypsychology.org/bracketing-in-qualitative-research.html#:~:text=Bracketing%2C%20also%20known%20as%20epoch%C3%A9%20or%20phenomenological%20reduction%2C,about%20a%20phenomenon%20to%20study%20it%20more%20objectively.</w:t>
      </w:r>
    </w:p>
    <w:p w14:paraId="1B79B4C3" w14:textId="77777777" w:rsidR="006000E7" w:rsidRDefault="006000E7" w:rsidP="00A54D55">
      <w:pPr>
        <w:autoSpaceDE w:val="0"/>
        <w:autoSpaceDN w:val="0"/>
        <w:adjustRightInd w:val="0"/>
        <w:ind w:left="720" w:hanging="720"/>
        <w:rPr>
          <w:lang w:val="en-AU"/>
        </w:rPr>
      </w:pPr>
      <w:r w:rsidRPr="006000E7">
        <w:rPr>
          <w:lang w:val="en-AU"/>
        </w:rPr>
        <w:t xml:space="preserve">Motion, J. (2005). Participative public relations: Power to the people or legitimacy for government discourse? </w:t>
      </w:r>
      <w:r w:rsidRPr="006000E7">
        <w:rPr>
          <w:i/>
          <w:iCs/>
          <w:lang w:val="en-AU"/>
        </w:rPr>
        <w:t>Public Relations Review</w:t>
      </w:r>
      <w:r w:rsidRPr="006000E7">
        <w:rPr>
          <w:lang w:val="en-AU"/>
        </w:rPr>
        <w:t>,</w:t>
      </w:r>
      <w:r w:rsidRPr="006000E7">
        <w:rPr>
          <w:i/>
          <w:iCs/>
          <w:lang w:val="en-AU"/>
        </w:rPr>
        <w:t xml:space="preserve"> 31</w:t>
      </w:r>
      <w:r w:rsidRPr="006000E7">
        <w:rPr>
          <w:lang w:val="en-AU"/>
        </w:rPr>
        <w:t xml:space="preserve">(4), 505-512. https://doi.org/http://dx.doi.org/10.1016/j.pubrev.2005.08.009 </w:t>
      </w:r>
    </w:p>
    <w:p w14:paraId="7078A020" w14:textId="39876D52" w:rsidR="00510ABC" w:rsidRPr="006636EE" w:rsidRDefault="00510ABC" w:rsidP="00A54D55">
      <w:pPr>
        <w:autoSpaceDE w:val="0"/>
        <w:autoSpaceDN w:val="0"/>
        <w:adjustRightInd w:val="0"/>
        <w:ind w:left="720" w:hanging="720"/>
      </w:pPr>
      <w:r>
        <w:t xml:space="preserve">Munk, T. (2024). </w:t>
      </w:r>
      <w:r w:rsidRPr="003B4A96">
        <w:rPr>
          <w:i/>
          <w:iCs/>
        </w:rPr>
        <w:t>Far-right extremism on</w:t>
      </w:r>
      <w:r w:rsidRPr="00890F31">
        <w:rPr>
          <w:i/>
          <w:iCs/>
        </w:rPr>
        <w:t>line. Beyond the fringe</w:t>
      </w:r>
      <w:r>
        <w:t>. Routledge.</w:t>
      </w:r>
    </w:p>
    <w:p w14:paraId="75FD433B" w14:textId="77777777" w:rsidR="00904A44" w:rsidRDefault="00904A44" w:rsidP="00A54D55">
      <w:pPr>
        <w:autoSpaceDE w:val="0"/>
        <w:autoSpaceDN w:val="0"/>
        <w:adjustRightInd w:val="0"/>
        <w:ind w:left="720" w:hanging="720"/>
        <w:rPr>
          <w:lang w:val="en-AU"/>
        </w:rPr>
      </w:pPr>
      <w:r w:rsidRPr="00904A44">
        <w:rPr>
          <w:lang w:val="en-AU"/>
        </w:rPr>
        <w:t xml:space="preserve">Munshi-Kurian, A., Munshi, D., &amp; Kurian, P. (2019). Strategic interventions in sociology’s resource mobilization theory: Reimagining the# MeToo movement as critical public relations. </w:t>
      </w:r>
      <w:r w:rsidRPr="00904A44">
        <w:rPr>
          <w:i/>
          <w:iCs/>
          <w:lang w:val="en-AU"/>
        </w:rPr>
        <w:t>Public Relations Review</w:t>
      </w:r>
      <w:r w:rsidRPr="00904A44">
        <w:rPr>
          <w:lang w:val="en-AU"/>
        </w:rPr>
        <w:t>,</w:t>
      </w:r>
      <w:r w:rsidRPr="00904A44">
        <w:rPr>
          <w:i/>
          <w:iCs/>
          <w:lang w:val="en-AU"/>
        </w:rPr>
        <w:t xml:space="preserve"> 45</w:t>
      </w:r>
      <w:r w:rsidRPr="00904A44">
        <w:rPr>
          <w:lang w:val="en-AU"/>
        </w:rPr>
        <w:t xml:space="preserve">(5), 101788. </w:t>
      </w:r>
    </w:p>
    <w:p w14:paraId="24FED687" w14:textId="7C842E9D" w:rsidR="005E1335" w:rsidRDefault="005E1335" w:rsidP="00A54D55">
      <w:pPr>
        <w:autoSpaceDE w:val="0"/>
        <w:autoSpaceDN w:val="0"/>
        <w:adjustRightInd w:val="0"/>
        <w:ind w:left="720" w:hanging="720"/>
      </w:pPr>
      <w:r w:rsidRPr="006636EE">
        <w:t xml:space="preserve">Murray, R. (2019, </w:t>
      </w:r>
      <w:r w:rsidR="00E93637" w:rsidRPr="006636EE">
        <w:t xml:space="preserve">January 10). Greenpeace ad campaign targeting Shell Oil is an online spoof that everyone keeps falling for. </w:t>
      </w:r>
      <w:r w:rsidR="00E93637" w:rsidRPr="006636EE">
        <w:rPr>
          <w:i/>
          <w:iCs/>
        </w:rPr>
        <w:t>Daily News.</w:t>
      </w:r>
      <w:r w:rsidR="00E93637" w:rsidRPr="006636EE">
        <w:t xml:space="preserve"> </w:t>
      </w:r>
      <w:hyperlink r:id="rId35" w:history="1">
        <w:r w:rsidR="00405B99" w:rsidRPr="005243F7">
          <w:rPr>
            <w:rStyle w:val="Hyperlink"/>
          </w:rPr>
          <w:t>https://www.nydailynews.com/2012/07/18/greenpeace-ad-campaign-targeting-shell-oil-is-an-online-spoof-that-everyone-keeps-falling-for/</w:t>
        </w:r>
      </w:hyperlink>
    </w:p>
    <w:p w14:paraId="4F245CE6" w14:textId="575326C3" w:rsidR="00405B99" w:rsidRDefault="00405B99" w:rsidP="00A54D55">
      <w:pPr>
        <w:autoSpaceDE w:val="0"/>
        <w:autoSpaceDN w:val="0"/>
        <w:adjustRightInd w:val="0"/>
        <w:ind w:left="720" w:hanging="720"/>
      </w:pPr>
      <w:r>
        <w:t xml:space="preserve">Neuman, W. L. (2011). </w:t>
      </w:r>
      <w:r w:rsidRPr="00890F31">
        <w:rPr>
          <w:i/>
          <w:iCs/>
        </w:rPr>
        <w:t>Social research methods. Qualitative and quantitative approaches</w:t>
      </w:r>
      <w:r w:rsidR="003E69ED">
        <w:t xml:space="preserve"> (7</w:t>
      </w:r>
      <w:r w:rsidR="003E69ED" w:rsidRPr="00890F31">
        <w:rPr>
          <w:vertAlign w:val="superscript"/>
        </w:rPr>
        <w:t>th</w:t>
      </w:r>
      <w:r w:rsidR="003E69ED">
        <w:t xml:space="preserve"> ed). Pearson.</w:t>
      </w:r>
    </w:p>
    <w:p w14:paraId="5A0B6484" w14:textId="12F4B233" w:rsidR="00E77397" w:rsidRDefault="00FD01FD" w:rsidP="00A54D55">
      <w:pPr>
        <w:autoSpaceDE w:val="0"/>
        <w:autoSpaceDN w:val="0"/>
        <w:adjustRightInd w:val="0"/>
        <w:ind w:left="720" w:hanging="720"/>
        <w:rPr>
          <w:rFonts w:eastAsia="Times New Roman" w:cs="Times New Roman"/>
          <w:szCs w:val="24"/>
        </w:rPr>
      </w:pPr>
      <w:r>
        <w:lastRenderedPageBreak/>
        <w:t xml:space="preserve">Pullman, G. (2013). </w:t>
      </w:r>
      <w:r w:rsidR="00E77397" w:rsidRPr="00E77397">
        <w:rPr>
          <w:i/>
          <w:iCs/>
        </w:rPr>
        <w:t>Persuasion: History, Theory, Practice</w:t>
      </w:r>
      <w:r w:rsidR="00E77397">
        <w:t>.</w:t>
      </w:r>
      <w:r w:rsidR="00E77397" w:rsidRPr="00E77397">
        <w:t xml:space="preserve"> Hackett Publishing Company</w:t>
      </w:r>
      <w:r w:rsidR="00E77397">
        <w:t>.</w:t>
      </w:r>
    </w:p>
    <w:p w14:paraId="5E72697C" w14:textId="5E32B30A" w:rsidR="00D44092" w:rsidRPr="006636EE" w:rsidRDefault="72D8117D"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Quigley, M. (2018). The Scope and Bounds of Self-ownership. In M. Quigley (Ed.), </w:t>
      </w:r>
      <w:r w:rsidRPr="006636EE">
        <w:rPr>
          <w:rFonts w:eastAsia="Times New Roman" w:cs="Times New Roman"/>
          <w:i/>
          <w:iCs/>
          <w:szCs w:val="24"/>
        </w:rPr>
        <w:t>Self-Ownership, Property Rights, and the Human Body - A Legal and Philosophical Analysis</w:t>
      </w:r>
      <w:r w:rsidRPr="006636EE">
        <w:rPr>
          <w:rFonts w:eastAsia="Times New Roman" w:cs="Times New Roman"/>
          <w:szCs w:val="24"/>
        </w:rPr>
        <w:t xml:space="preserve"> (pp. 194-230). Cambridge University Press. </w:t>
      </w:r>
    </w:p>
    <w:p w14:paraId="728D110E" w14:textId="6B372E72" w:rsidR="00D44092" w:rsidRPr="006636EE" w:rsidRDefault="42DA9BFB" w:rsidP="00A54D55">
      <w:pPr>
        <w:autoSpaceDE w:val="0"/>
        <w:autoSpaceDN w:val="0"/>
        <w:adjustRightInd w:val="0"/>
        <w:ind w:left="720" w:hanging="720"/>
        <w:rPr>
          <w:rFonts w:eastAsia="Times New Roman" w:cs="Times New Roman"/>
          <w:szCs w:val="24"/>
        </w:rPr>
      </w:pPr>
      <w:r w:rsidRPr="006636EE">
        <w:rPr>
          <w:rFonts w:eastAsia="Times New Roman" w:cs="Times New Roman"/>
          <w:color w:val="040C28"/>
          <w:szCs w:val="24"/>
        </w:rPr>
        <w:t>Roe v.</w:t>
      </w:r>
      <w:r w:rsidRPr="006636EE">
        <w:rPr>
          <w:rFonts w:eastAsia="Times New Roman" w:cs="Times New Roman"/>
          <w:color w:val="1F1F1F"/>
          <w:szCs w:val="24"/>
        </w:rPr>
        <w:t xml:space="preserve"> </w:t>
      </w:r>
      <w:r w:rsidRPr="006636EE">
        <w:rPr>
          <w:rFonts w:eastAsia="Times New Roman" w:cs="Times New Roman"/>
          <w:color w:val="040C28"/>
          <w:szCs w:val="24"/>
        </w:rPr>
        <w:t>Wade, 410 U.S. 113 (1973)</w:t>
      </w:r>
      <w:r w:rsidRPr="006636EE">
        <w:rPr>
          <w:rFonts w:eastAsia="Times New Roman" w:cs="Times New Roman"/>
          <w:szCs w:val="24"/>
        </w:rPr>
        <w:t xml:space="preserve"> </w:t>
      </w:r>
    </w:p>
    <w:p w14:paraId="0BD7FC49" w14:textId="3A5EF315" w:rsidR="00F41629" w:rsidRPr="006636EE" w:rsidRDefault="00F41629" w:rsidP="00A54D55">
      <w:pPr>
        <w:autoSpaceDE w:val="0"/>
        <w:autoSpaceDN w:val="0"/>
        <w:adjustRightInd w:val="0"/>
        <w:ind w:left="720" w:hanging="720"/>
        <w:rPr>
          <w:rFonts w:eastAsia="Times New Roman" w:cs="Times New Roman"/>
          <w:szCs w:val="24"/>
        </w:rPr>
      </w:pPr>
      <w:r w:rsidRPr="006636EE">
        <w:rPr>
          <w:rFonts w:eastAsia="Times New Roman" w:cs="Times New Roman"/>
          <w:szCs w:val="24"/>
        </w:rPr>
        <w:t xml:space="preserve">Roy, M., &amp; </w:t>
      </w:r>
      <w:proofErr w:type="spellStart"/>
      <w:r w:rsidRPr="006636EE">
        <w:rPr>
          <w:rFonts w:eastAsia="Times New Roman" w:cs="Times New Roman"/>
          <w:szCs w:val="24"/>
        </w:rPr>
        <w:t>Gandsman</w:t>
      </w:r>
      <w:proofErr w:type="spellEnd"/>
      <w:r w:rsidRPr="006636EE">
        <w:rPr>
          <w:rFonts w:eastAsia="Times New Roman" w:cs="Times New Roman"/>
          <w:szCs w:val="24"/>
        </w:rPr>
        <w:t>, A. (2023). Polarizing figures of resistance during epidemics. A comparative frame analysis of the COVID-19 freedom convoy. </w:t>
      </w:r>
      <w:r w:rsidRPr="006636EE">
        <w:rPr>
          <w:rFonts w:eastAsia="Times New Roman" w:cs="Times New Roman"/>
          <w:i/>
          <w:iCs/>
          <w:szCs w:val="24"/>
        </w:rPr>
        <w:t>Critical Public Health</w:t>
      </w:r>
      <w:r w:rsidRPr="006636EE">
        <w:rPr>
          <w:rFonts w:eastAsia="Times New Roman" w:cs="Times New Roman"/>
          <w:szCs w:val="24"/>
        </w:rPr>
        <w:t>, </w:t>
      </w:r>
      <w:r w:rsidRPr="006636EE">
        <w:rPr>
          <w:rFonts w:eastAsia="Times New Roman" w:cs="Times New Roman"/>
          <w:i/>
          <w:iCs/>
          <w:szCs w:val="24"/>
        </w:rPr>
        <w:t>33</w:t>
      </w:r>
      <w:r w:rsidRPr="006636EE">
        <w:rPr>
          <w:rFonts w:eastAsia="Times New Roman" w:cs="Times New Roman"/>
          <w:szCs w:val="24"/>
        </w:rPr>
        <w:t xml:space="preserve">(5), 788–802. </w:t>
      </w:r>
      <w:hyperlink r:id="rId36">
        <w:r w:rsidRPr="006636EE">
          <w:rPr>
            <w:rStyle w:val="Hyperlink"/>
            <w:rFonts w:eastAsia="Times New Roman" w:cs="Times New Roman"/>
            <w:szCs w:val="24"/>
          </w:rPr>
          <w:t>https://doi.org/10.1080/09581596.2023.2284633</w:t>
        </w:r>
      </w:hyperlink>
      <w:r w:rsidRPr="006636EE">
        <w:rPr>
          <w:rFonts w:eastAsia="Times New Roman" w:cs="Times New Roman"/>
          <w:szCs w:val="24"/>
        </w:rPr>
        <w:t xml:space="preserve"> </w:t>
      </w:r>
    </w:p>
    <w:p w14:paraId="253DE3D0" w14:textId="46349966" w:rsidR="00AC0AC0" w:rsidRDefault="17267524" w:rsidP="00A54D55">
      <w:pPr>
        <w:spacing w:after="120"/>
        <w:ind w:left="720" w:hanging="720"/>
        <w:rPr>
          <w:rFonts w:eastAsia="Times New Roman" w:cs="Times New Roman"/>
          <w:color w:val="000000" w:themeColor="text1"/>
          <w:szCs w:val="24"/>
        </w:rPr>
      </w:pPr>
      <w:proofErr w:type="spellStart"/>
      <w:r w:rsidRPr="006636EE">
        <w:rPr>
          <w:rFonts w:eastAsia="Times New Roman" w:cs="Times New Roman"/>
          <w:color w:val="000000" w:themeColor="text1"/>
          <w:szCs w:val="24"/>
        </w:rPr>
        <w:t>Rucht</w:t>
      </w:r>
      <w:proofErr w:type="spellEnd"/>
      <w:r w:rsidRPr="006636EE">
        <w:rPr>
          <w:rFonts w:eastAsia="Times New Roman" w:cs="Times New Roman"/>
          <w:color w:val="000000" w:themeColor="text1"/>
          <w:szCs w:val="24"/>
        </w:rPr>
        <w:t xml:space="preserve">, D., &amp; Teune, S. (2017). </w:t>
      </w:r>
      <w:proofErr w:type="spellStart"/>
      <w:r w:rsidRPr="006636EE">
        <w:rPr>
          <w:rFonts w:eastAsia="Times New Roman" w:cs="Times New Roman"/>
          <w:color w:val="000000" w:themeColor="text1"/>
          <w:szCs w:val="24"/>
        </w:rPr>
        <w:t>Einleitung</w:t>
      </w:r>
      <w:proofErr w:type="spellEnd"/>
      <w:r w:rsidRPr="006636EE">
        <w:rPr>
          <w:rFonts w:eastAsia="Times New Roman" w:cs="Times New Roman"/>
          <w:color w:val="000000" w:themeColor="text1"/>
          <w:szCs w:val="24"/>
        </w:rPr>
        <w:t xml:space="preserve">: Das </w:t>
      </w:r>
      <w:proofErr w:type="spellStart"/>
      <w:r w:rsidRPr="006636EE">
        <w:rPr>
          <w:rFonts w:eastAsia="Times New Roman" w:cs="Times New Roman"/>
          <w:color w:val="000000" w:themeColor="text1"/>
          <w:szCs w:val="24"/>
        </w:rPr>
        <w:t>Protestgeschehen</w:t>
      </w:r>
      <w:proofErr w:type="spellEnd"/>
      <w:r w:rsidRPr="006636EE">
        <w:rPr>
          <w:rFonts w:eastAsia="Times New Roman" w:cs="Times New Roman"/>
          <w:color w:val="000000" w:themeColor="text1"/>
          <w:szCs w:val="24"/>
        </w:rPr>
        <w:t xml:space="preserve"> in der </w:t>
      </w:r>
      <w:proofErr w:type="spellStart"/>
      <w:r w:rsidRPr="006636EE">
        <w:rPr>
          <w:rFonts w:eastAsia="Times New Roman" w:cs="Times New Roman"/>
          <w:color w:val="000000" w:themeColor="text1"/>
          <w:szCs w:val="24"/>
        </w:rPr>
        <w:t>Bundesrepublik</w:t>
      </w:r>
      <w:proofErr w:type="spellEnd"/>
      <w:r w:rsidRPr="006636EE">
        <w:rPr>
          <w:rFonts w:eastAsia="Times New Roman" w:cs="Times New Roman"/>
          <w:color w:val="000000" w:themeColor="text1"/>
          <w:szCs w:val="24"/>
        </w:rPr>
        <w:t xml:space="preserve"> </w:t>
      </w:r>
      <w:proofErr w:type="spellStart"/>
      <w:r w:rsidRPr="006636EE">
        <w:rPr>
          <w:rFonts w:eastAsia="Times New Roman" w:cs="Times New Roman"/>
          <w:color w:val="000000" w:themeColor="text1"/>
          <w:szCs w:val="24"/>
        </w:rPr>
        <w:t>seit</w:t>
      </w:r>
      <w:proofErr w:type="spellEnd"/>
      <w:r w:rsidRPr="006636EE">
        <w:rPr>
          <w:rFonts w:eastAsia="Times New Roman" w:cs="Times New Roman"/>
          <w:color w:val="000000" w:themeColor="text1"/>
          <w:szCs w:val="24"/>
        </w:rPr>
        <w:t xml:space="preserve"> den1980er Jahren </w:t>
      </w:r>
      <w:proofErr w:type="spellStart"/>
      <w:r w:rsidRPr="006636EE">
        <w:rPr>
          <w:rFonts w:eastAsia="Times New Roman" w:cs="Times New Roman"/>
          <w:color w:val="000000" w:themeColor="text1"/>
          <w:szCs w:val="24"/>
        </w:rPr>
        <w:t>zwischen</w:t>
      </w:r>
      <w:proofErr w:type="spellEnd"/>
      <w:r w:rsidRPr="006636EE">
        <w:rPr>
          <w:rFonts w:eastAsia="Times New Roman" w:cs="Times New Roman"/>
          <w:color w:val="000000" w:themeColor="text1"/>
          <w:szCs w:val="24"/>
        </w:rPr>
        <w:t xml:space="preserve"> </w:t>
      </w:r>
      <w:proofErr w:type="spellStart"/>
      <w:r w:rsidRPr="006636EE">
        <w:rPr>
          <w:rFonts w:eastAsia="Times New Roman" w:cs="Times New Roman"/>
          <w:color w:val="000000" w:themeColor="text1"/>
          <w:szCs w:val="24"/>
        </w:rPr>
        <w:t>Kontinuität</w:t>
      </w:r>
      <w:proofErr w:type="spellEnd"/>
      <w:r w:rsidRPr="006636EE">
        <w:rPr>
          <w:rFonts w:eastAsia="Times New Roman" w:cs="Times New Roman"/>
          <w:color w:val="000000" w:themeColor="text1"/>
          <w:szCs w:val="24"/>
        </w:rPr>
        <w:t xml:space="preserve"> und Wandel. In P. </w:t>
      </w:r>
      <w:proofErr w:type="spellStart"/>
      <w:r w:rsidRPr="006636EE">
        <w:rPr>
          <w:rFonts w:eastAsia="Times New Roman" w:cs="Times New Roman"/>
          <w:color w:val="000000" w:themeColor="text1"/>
          <w:szCs w:val="24"/>
        </w:rPr>
        <w:t>Daphi</w:t>
      </w:r>
      <w:proofErr w:type="spellEnd"/>
      <w:r w:rsidRPr="006636EE">
        <w:rPr>
          <w:rFonts w:eastAsia="Times New Roman" w:cs="Times New Roman"/>
          <w:color w:val="000000" w:themeColor="text1"/>
          <w:szCs w:val="24"/>
        </w:rPr>
        <w:t xml:space="preserve">, N. </w:t>
      </w:r>
      <w:proofErr w:type="spellStart"/>
      <w:r w:rsidRPr="006636EE">
        <w:rPr>
          <w:rFonts w:eastAsia="Times New Roman" w:cs="Times New Roman"/>
          <w:color w:val="000000" w:themeColor="text1"/>
          <w:szCs w:val="24"/>
        </w:rPr>
        <w:t>Deitelhoff</w:t>
      </w:r>
      <w:proofErr w:type="spellEnd"/>
      <w:r w:rsidRPr="006636EE">
        <w:rPr>
          <w:rFonts w:eastAsia="Times New Roman" w:cs="Times New Roman"/>
          <w:color w:val="000000" w:themeColor="text1"/>
          <w:szCs w:val="24"/>
        </w:rPr>
        <w:t xml:space="preserve">, D. </w:t>
      </w:r>
      <w:proofErr w:type="spellStart"/>
      <w:r w:rsidRPr="006636EE">
        <w:rPr>
          <w:rFonts w:eastAsia="Times New Roman" w:cs="Times New Roman"/>
          <w:color w:val="000000" w:themeColor="text1"/>
          <w:szCs w:val="24"/>
        </w:rPr>
        <w:t>Rucht</w:t>
      </w:r>
      <w:proofErr w:type="spellEnd"/>
      <w:r w:rsidRPr="006636EE">
        <w:rPr>
          <w:rFonts w:eastAsia="Times New Roman" w:cs="Times New Roman"/>
          <w:color w:val="000000" w:themeColor="text1"/>
          <w:szCs w:val="24"/>
        </w:rPr>
        <w:t xml:space="preserve">, &amp; S. Teune (Eds.), </w:t>
      </w:r>
      <w:r w:rsidRPr="006636EE">
        <w:rPr>
          <w:rFonts w:eastAsia="Times New Roman" w:cs="Times New Roman"/>
          <w:i/>
          <w:iCs/>
          <w:color w:val="000000" w:themeColor="text1"/>
          <w:szCs w:val="24"/>
        </w:rPr>
        <w:t xml:space="preserve">Protest in </w:t>
      </w:r>
      <w:proofErr w:type="spellStart"/>
      <w:r w:rsidRPr="006636EE">
        <w:rPr>
          <w:rFonts w:eastAsia="Times New Roman" w:cs="Times New Roman"/>
          <w:i/>
          <w:iCs/>
          <w:color w:val="000000" w:themeColor="text1"/>
          <w:szCs w:val="24"/>
        </w:rPr>
        <w:t>Bewegung</w:t>
      </w:r>
      <w:proofErr w:type="spellEnd"/>
      <w:r w:rsidRPr="006636EE">
        <w:rPr>
          <w:rFonts w:eastAsia="Times New Roman" w:cs="Times New Roman"/>
          <w:i/>
          <w:iCs/>
          <w:color w:val="000000" w:themeColor="text1"/>
          <w:szCs w:val="24"/>
        </w:rPr>
        <w:t xml:space="preserve">? Zum Wandel von </w:t>
      </w:r>
      <w:proofErr w:type="spellStart"/>
      <w:r w:rsidRPr="006636EE">
        <w:rPr>
          <w:rFonts w:eastAsia="Times New Roman" w:cs="Times New Roman"/>
          <w:i/>
          <w:iCs/>
          <w:color w:val="000000" w:themeColor="text1"/>
          <w:szCs w:val="24"/>
        </w:rPr>
        <w:t>Bedingungen</w:t>
      </w:r>
      <w:proofErr w:type="spellEnd"/>
      <w:r w:rsidRPr="006636EE">
        <w:rPr>
          <w:rFonts w:eastAsia="Times New Roman" w:cs="Times New Roman"/>
          <w:i/>
          <w:iCs/>
          <w:color w:val="000000" w:themeColor="text1"/>
          <w:szCs w:val="24"/>
        </w:rPr>
        <w:t xml:space="preserve">, </w:t>
      </w:r>
      <w:proofErr w:type="spellStart"/>
      <w:r w:rsidRPr="006636EE">
        <w:rPr>
          <w:rFonts w:eastAsia="Times New Roman" w:cs="Times New Roman"/>
          <w:i/>
          <w:iCs/>
          <w:color w:val="000000" w:themeColor="text1"/>
          <w:szCs w:val="24"/>
        </w:rPr>
        <w:t>Formen</w:t>
      </w:r>
      <w:proofErr w:type="spellEnd"/>
      <w:r w:rsidRPr="006636EE">
        <w:rPr>
          <w:rFonts w:eastAsia="Times New Roman" w:cs="Times New Roman"/>
          <w:i/>
          <w:iCs/>
          <w:color w:val="000000" w:themeColor="text1"/>
          <w:szCs w:val="24"/>
        </w:rPr>
        <w:t xml:space="preserve"> und </w:t>
      </w:r>
      <w:proofErr w:type="spellStart"/>
      <w:r w:rsidRPr="006636EE">
        <w:rPr>
          <w:rFonts w:eastAsia="Times New Roman" w:cs="Times New Roman"/>
          <w:i/>
          <w:iCs/>
          <w:color w:val="000000" w:themeColor="text1"/>
          <w:szCs w:val="24"/>
        </w:rPr>
        <w:t>Effekten</w:t>
      </w:r>
      <w:proofErr w:type="spellEnd"/>
      <w:r w:rsidRPr="006636EE">
        <w:rPr>
          <w:rFonts w:eastAsia="Times New Roman" w:cs="Times New Roman"/>
          <w:i/>
          <w:iCs/>
          <w:color w:val="000000" w:themeColor="text1"/>
          <w:szCs w:val="24"/>
        </w:rPr>
        <w:t xml:space="preserve"> </w:t>
      </w:r>
      <w:proofErr w:type="spellStart"/>
      <w:r w:rsidRPr="006636EE">
        <w:rPr>
          <w:rFonts w:eastAsia="Times New Roman" w:cs="Times New Roman"/>
          <w:i/>
          <w:iCs/>
          <w:color w:val="000000" w:themeColor="text1"/>
          <w:szCs w:val="24"/>
        </w:rPr>
        <w:t>politischenProtests</w:t>
      </w:r>
      <w:proofErr w:type="spellEnd"/>
      <w:r w:rsidRPr="006636EE">
        <w:rPr>
          <w:rFonts w:eastAsia="Times New Roman" w:cs="Times New Roman"/>
          <w:color w:val="000000" w:themeColor="text1"/>
          <w:szCs w:val="24"/>
        </w:rPr>
        <w:t xml:space="preserve"> (1st ed., pp. 9–34). Nomos </w:t>
      </w:r>
      <w:proofErr w:type="spellStart"/>
      <w:r w:rsidRPr="006636EE">
        <w:rPr>
          <w:rFonts w:eastAsia="Times New Roman" w:cs="Times New Roman"/>
          <w:color w:val="000000" w:themeColor="text1"/>
          <w:szCs w:val="24"/>
        </w:rPr>
        <w:t>Verlagsgesellschaft</w:t>
      </w:r>
      <w:proofErr w:type="spellEnd"/>
      <w:r w:rsidRPr="006636EE">
        <w:rPr>
          <w:rFonts w:eastAsia="Times New Roman" w:cs="Times New Roman"/>
          <w:color w:val="000000" w:themeColor="text1"/>
          <w:szCs w:val="24"/>
        </w:rPr>
        <w:t xml:space="preserve"> </w:t>
      </w:r>
      <w:proofErr w:type="spellStart"/>
      <w:r w:rsidRPr="006636EE">
        <w:rPr>
          <w:rFonts w:eastAsia="Times New Roman" w:cs="Times New Roman"/>
          <w:color w:val="000000" w:themeColor="text1"/>
          <w:szCs w:val="24"/>
        </w:rPr>
        <w:t>mbH</w:t>
      </w:r>
      <w:proofErr w:type="spellEnd"/>
      <w:r w:rsidRPr="006636EE">
        <w:rPr>
          <w:rFonts w:eastAsia="Times New Roman" w:cs="Times New Roman"/>
          <w:color w:val="000000" w:themeColor="text1"/>
          <w:szCs w:val="24"/>
        </w:rPr>
        <w:t xml:space="preserve"> &amp; Co. KG. </w:t>
      </w:r>
    </w:p>
    <w:p w14:paraId="3998DAFD" w14:textId="604AC6DC" w:rsidR="00FD01FD" w:rsidRPr="006636EE" w:rsidRDefault="00FD01FD" w:rsidP="00A54D55">
      <w:pPr>
        <w:spacing w:after="120"/>
        <w:ind w:left="720" w:hanging="720"/>
        <w:rPr>
          <w:rFonts w:eastAsia="Times New Roman" w:cs="Times New Roman"/>
          <w:color w:val="000000" w:themeColor="text1"/>
          <w:szCs w:val="24"/>
        </w:rPr>
      </w:pPr>
      <w:r w:rsidRPr="006636EE">
        <w:rPr>
          <w:rFonts w:eastAsia="Times New Roman" w:cs="Times New Roman"/>
          <w:szCs w:val="24"/>
        </w:rPr>
        <w:t xml:space="preserve">The Guardian. (2017, July 5). </w:t>
      </w:r>
      <w:r w:rsidRPr="006636EE">
        <w:rPr>
          <w:rFonts w:eastAsia="Times New Roman" w:cs="Times New Roman"/>
          <w:i/>
          <w:iCs/>
          <w:szCs w:val="24"/>
        </w:rPr>
        <w:t>Greenpeace parodies Shell with “Arctic Ready” adverts – in pictures</w:t>
      </w:r>
      <w:r w:rsidRPr="006636EE">
        <w:rPr>
          <w:rFonts w:eastAsia="Times New Roman" w:cs="Times New Roman"/>
          <w:szCs w:val="24"/>
        </w:rPr>
        <w:t xml:space="preserve">. </w:t>
      </w:r>
      <w:hyperlink r:id="rId37">
        <w:r w:rsidRPr="006636EE">
          <w:rPr>
            <w:rStyle w:val="Hyperlink"/>
            <w:rFonts w:eastAsia="Times New Roman" w:cs="Times New Roman"/>
            <w:szCs w:val="24"/>
          </w:rPr>
          <w:t>https://www.theguardian.com/environment/gallery/2012/jul/19/greenpeace-shell-arctic-ready-in-pictures</w:t>
        </w:r>
      </w:hyperlink>
    </w:p>
    <w:p w14:paraId="159FB9D2" w14:textId="08805BC3" w:rsidR="00AC0AC0" w:rsidRPr="006636EE" w:rsidRDefault="17545AB0" w:rsidP="00A54D55">
      <w:pPr>
        <w:ind w:left="720" w:hanging="720"/>
        <w:rPr>
          <w:rFonts w:eastAsia="Times New Roman" w:cs="Times New Roman"/>
          <w:szCs w:val="24"/>
        </w:rPr>
      </w:pPr>
      <w:r w:rsidRPr="006636EE">
        <w:rPr>
          <w:rFonts w:eastAsia="Times New Roman" w:cs="Times New Roman"/>
          <w:szCs w:val="24"/>
        </w:rPr>
        <w:t>Thota, S. C. (2020). What is brandjacking? Origin, conceptualization and effects of perceived dimensions of truth, mockery and offensiveness. </w:t>
      </w:r>
      <w:r w:rsidRPr="006636EE">
        <w:rPr>
          <w:rFonts w:eastAsia="Times New Roman" w:cs="Times New Roman"/>
          <w:i/>
          <w:iCs/>
          <w:szCs w:val="24"/>
        </w:rPr>
        <w:t>International Journal of Advertising</w:t>
      </w:r>
      <w:r w:rsidRPr="006636EE">
        <w:rPr>
          <w:rFonts w:eastAsia="Times New Roman" w:cs="Times New Roman"/>
          <w:szCs w:val="24"/>
        </w:rPr>
        <w:t>, </w:t>
      </w:r>
      <w:r w:rsidRPr="006636EE">
        <w:rPr>
          <w:rFonts w:eastAsia="Times New Roman" w:cs="Times New Roman"/>
          <w:i/>
          <w:iCs/>
          <w:szCs w:val="24"/>
        </w:rPr>
        <w:t>40</w:t>
      </w:r>
      <w:r w:rsidRPr="006636EE">
        <w:rPr>
          <w:rFonts w:eastAsia="Times New Roman" w:cs="Times New Roman"/>
          <w:szCs w:val="24"/>
        </w:rPr>
        <w:t xml:space="preserve">(2), 292–310. </w:t>
      </w:r>
      <w:hyperlink r:id="rId38">
        <w:r w:rsidRPr="006636EE">
          <w:rPr>
            <w:rStyle w:val="Hyperlink"/>
            <w:rFonts w:eastAsia="Times New Roman" w:cs="Times New Roman"/>
            <w:szCs w:val="24"/>
          </w:rPr>
          <w:t>https://doi.org/10.1080/02650487.2020.1766232</w:t>
        </w:r>
      </w:hyperlink>
      <w:r w:rsidRPr="006636EE">
        <w:rPr>
          <w:rFonts w:eastAsia="Times New Roman" w:cs="Times New Roman"/>
          <w:szCs w:val="24"/>
        </w:rPr>
        <w:t xml:space="preserve">  </w:t>
      </w:r>
    </w:p>
    <w:p w14:paraId="563DBE64" w14:textId="0D4C00E0" w:rsidR="00DA7AF9" w:rsidRPr="006636EE" w:rsidRDefault="4C9E14CA" w:rsidP="00A54D55">
      <w:pPr>
        <w:ind w:left="720" w:hanging="720"/>
        <w:rPr>
          <w:rFonts w:eastAsia="Times New Roman" w:cs="Times New Roman"/>
          <w:i/>
          <w:iCs/>
          <w:szCs w:val="24"/>
        </w:rPr>
      </w:pPr>
      <w:r w:rsidRPr="006636EE">
        <w:rPr>
          <w:rFonts w:eastAsia="Times New Roman" w:cs="Times New Roman"/>
          <w:szCs w:val="24"/>
        </w:rPr>
        <w:t xml:space="preserve">United Nations (2020, December 17). </w:t>
      </w:r>
      <w:r w:rsidRPr="006636EE">
        <w:rPr>
          <w:rFonts w:eastAsia="Times New Roman" w:cs="Times New Roman"/>
          <w:i/>
          <w:iCs/>
          <w:szCs w:val="24"/>
        </w:rPr>
        <w:t xml:space="preserve">Human rights and access to COVID-19 Vaccines. </w:t>
      </w:r>
      <w:hyperlink r:id="rId39">
        <w:r w:rsidR="00192960" w:rsidRPr="006636EE">
          <w:rPr>
            <w:rStyle w:val="Hyperlink"/>
            <w:rFonts w:eastAsia="Times New Roman" w:cs="Times New Roman"/>
            <w:i/>
            <w:iCs/>
            <w:szCs w:val="24"/>
          </w:rPr>
          <w:t>https://www.ohchr.org/Documents/Events/COVID-19_AccessVaccines_Guidance.pdf</w:t>
        </w:r>
      </w:hyperlink>
      <w:r w:rsidR="00192960" w:rsidRPr="006636EE">
        <w:rPr>
          <w:rFonts w:eastAsia="Times New Roman" w:cs="Times New Roman"/>
          <w:i/>
          <w:iCs/>
          <w:szCs w:val="24"/>
        </w:rPr>
        <w:t xml:space="preserve"> </w:t>
      </w:r>
    </w:p>
    <w:p w14:paraId="003B54E3" w14:textId="04D1C353" w:rsidR="00DA7AF9" w:rsidRPr="006636EE" w:rsidRDefault="294339D0" w:rsidP="00A54D55">
      <w:pPr>
        <w:ind w:left="720" w:hanging="720"/>
        <w:rPr>
          <w:rFonts w:eastAsia="Times New Roman" w:cs="Times New Roman"/>
          <w:szCs w:val="24"/>
        </w:rPr>
      </w:pPr>
      <w:r w:rsidRPr="006636EE">
        <w:rPr>
          <w:rFonts w:eastAsia="Times New Roman" w:cs="Times New Roman"/>
          <w:szCs w:val="24"/>
        </w:rPr>
        <w:lastRenderedPageBreak/>
        <w:t xml:space="preserve">Van </w:t>
      </w:r>
      <w:r w:rsidR="6B69AB1F" w:rsidRPr="006636EE">
        <w:rPr>
          <w:rFonts w:eastAsia="Times New Roman" w:cs="Times New Roman"/>
          <w:szCs w:val="24"/>
        </w:rPr>
        <w:t>D</w:t>
      </w:r>
      <w:r w:rsidRPr="006636EE">
        <w:rPr>
          <w:rFonts w:eastAsia="Times New Roman" w:cs="Times New Roman"/>
          <w:szCs w:val="24"/>
        </w:rPr>
        <w:t xml:space="preserve">e Velde, C. (2022). The power of slogans: using protests writings in social movements research. </w:t>
      </w:r>
      <w:r w:rsidRPr="006636EE">
        <w:rPr>
          <w:rFonts w:eastAsia="Times New Roman" w:cs="Times New Roman"/>
          <w:i/>
          <w:iCs/>
          <w:szCs w:val="24"/>
        </w:rPr>
        <w:t>Social Movement Studies</w:t>
      </w:r>
      <w:r w:rsidR="6B69AB1F" w:rsidRPr="006636EE">
        <w:rPr>
          <w:rFonts w:eastAsia="Times New Roman" w:cs="Times New Roman"/>
          <w:i/>
          <w:iCs/>
          <w:szCs w:val="24"/>
        </w:rPr>
        <w:t>,</w:t>
      </w:r>
      <w:r w:rsidR="6B69AB1F" w:rsidRPr="006636EE">
        <w:rPr>
          <w:rFonts w:eastAsia="Times New Roman" w:cs="Times New Roman"/>
          <w:szCs w:val="24"/>
        </w:rPr>
        <w:t xml:space="preserve"> </w:t>
      </w:r>
      <w:r w:rsidR="6B69AB1F" w:rsidRPr="006636EE">
        <w:rPr>
          <w:rFonts w:eastAsia="Times New Roman" w:cs="Times New Roman"/>
          <w:i/>
          <w:iCs/>
          <w:szCs w:val="24"/>
        </w:rPr>
        <w:t>23</w:t>
      </w:r>
      <w:r w:rsidR="6B69AB1F" w:rsidRPr="006636EE">
        <w:rPr>
          <w:rFonts w:eastAsia="Times New Roman" w:cs="Times New Roman"/>
          <w:szCs w:val="24"/>
        </w:rPr>
        <w:t xml:space="preserve">(5), 569–588. </w:t>
      </w:r>
      <w:hyperlink r:id="rId40">
        <w:r w:rsidR="6B69AB1F" w:rsidRPr="006636EE">
          <w:rPr>
            <w:rStyle w:val="Hyperlink"/>
            <w:rFonts w:eastAsia="Times New Roman" w:cs="Times New Roman"/>
            <w:szCs w:val="24"/>
          </w:rPr>
          <w:t>https://doi.org/10.1080/14742837.2022.2084065</w:t>
        </w:r>
      </w:hyperlink>
      <w:r w:rsidR="5877D9D3" w:rsidRPr="006636EE">
        <w:rPr>
          <w:rFonts w:eastAsia="Times New Roman" w:cs="Times New Roman"/>
          <w:szCs w:val="24"/>
        </w:rPr>
        <w:t xml:space="preserve"> </w:t>
      </w:r>
    </w:p>
    <w:p w14:paraId="2A08455F" w14:textId="71BB2DA6" w:rsidR="008C2893" w:rsidRPr="006636EE" w:rsidRDefault="00126C7C" w:rsidP="00A54D55">
      <w:pPr>
        <w:pStyle w:val="EndNoteBibliography"/>
        <w:spacing w:line="480" w:lineRule="auto"/>
        <w:ind w:left="720" w:hanging="720"/>
        <w:rPr>
          <w:rFonts w:ascii="Times New Roman" w:hAnsi="Times New Roman" w:cs="Times New Roman"/>
          <w:noProof w:val="0"/>
          <w:szCs w:val="24"/>
          <w:lang w:val="en-GB"/>
        </w:rPr>
      </w:pPr>
      <w:r w:rsidRPr="006636EE">
        <w:rPr>
          <w:rFonts w:ascii="Times New Roman" w:hAnsi="Times New Roman" w:cs="Times New Roman"/>
          <w:noProof w:val="0"/>
          <w:szCs w:val="24"/>
          <w:lang w:val="en-GB"/>
        </w:rPr>
        <w:t xml:space="preserve">Williams, D. K., Archer, C. J., &amp; O’Mahony, L. (2022). Calm the farm or incite a riot? Animal activists and the news media: A public relations case study in agenda-setting and framing. </w:t>
      </w:r>
      <w:r w:rsidRPr="006636EE">
        <w:rPr>
          <w:rFonts w:ascii="Times New Roman" w:hAnsi="Times New Roman" w:cs="Times New Roman"/>
          <w:i/>
          <w:noProof w:val="0"/>
          <w:szCs w:val="24"/>
          <w:lang w:val="en-GB"/>
        </w:rPr>
        <w:t>Public Relations Inquiry</w:t>
      </w:r>
      <w:r w:rsidRPr="006636EE">
        <w:rPr>
          <w:rFonts w:ascii="Times New Roman" w:hAnsi="Times New Roman" w:cs="Times New Roman"/>
          <w:noProof w:val="0"/>
          <w:szCs w:val="24"/>
          <w:lang w:val="en-GB"/>
        </w:rPr>
        <w:t>,</w:t>
      </w:r>
      <w:r w:rsidRPr="006636EE">
        <w:rPr>
          <w:rFonts w:ascii="Times New Roman" w:hAnsi="Times New Roman" w:cs="Times New Roman"/>
          <w:i/>
          <w:noProof w:val="0"/>
          <w:szCs w:val="24"/>
          <w:lang w:val="en-GB"/>
        </w:rPr>
        <w:t xml:space="preserve"> 11</w:t>
      </w:r>
      <w:r w:rsidRPr="006636EE">
        <w:rPr>
          <w:rFonts w:ascii="Times New Roman" w:hAnsi="Times New Roman" w:cs="Times New Roman"/>
          <w:noProof w:val="0"/>
          <w:szCs w:val="24"/>
          <w:lang w:val="en-GB"/>
        </w:rPr>
        <w:t xml:space="preserve">(3), 403-425. </w:t>
      </w:r>
    </w:p>
    <w:p w14:paraId="49A48C1B" w14:textId="29A7DE42" w:rsidR="00DA7AF9" w:rsidRPr="006636EE" w:rsidRDefault="00DA7AF9" w:rsidP="00A54D55">
      <w:pPr>
        <w:ind w:left="720" w:hanging="720"/>
        <w:rPr>
          <w:rFonts w:eastAsia="Times New Roman" w:cs="Times New Roman"/>
          <w:szCs w:val="24"/>
        </w:rPr>
      </w:pPr>
      <w:proofErr w:type="spellStart"/>
      <w:r w:rsidRPr="006636EE">
        <w:rPr>
          <w:rFonts w:eastAsia="Times New Roman" w:cs="Times New Roman"/>
          <w:szCs w:val="24"/>
        </w:rPr>
        <w:t>Wipperfürth</w:t>
      </w:r>
      <w:proofErr w:type="spellEnd"/>
      <w:r w:rsidR="00ED3A54" w:rsidRPr="006636EE">
        <w:rPr>
          <w:rFonts w:eastAsia="Times New Roman" w:cs="Times New Roman"/>
          <w:szCs w:val="24"/>
        </w:rPr>
        <w:t xml:space="preserve">, </w:t>
      </w:r>
      <w:r w:rsidRPr="006636EE">
        <w:rPr>
          <w:rFonts w:eastAsia="Times New Roman" w:cs="Times New Roman"/>
          <w:szCs w:val="24"/>
        </w:rPr>
        <w:t>A</w:t>
      </w:r>
      <w:r w:rsidR="00ED3A54" w:rsidRPr="006636EE">
        <w:rPr>
          <w:rFonts w:eastAsia="Times New Roman" w:cs="Times New Roman"/>
          <w:szCs w:val="24"/>
        </w:rPr>
        <w:t>.</w:t>
      </w:r>
      <w:r w:rsidRPr="006636EE">
        <w:rPr>
          <w:rFonts w:eastAsia="Times New Roman" w:cs="Times New Roman"/>
          <w:szCs w:val="24"/>
        </w:rPr>
        <w:t xml:space="preserve"> (2006)</w:t>
      </w:r>
      <w:r w:rsidR="00350A08" w:rsidRPr="006636EE">
        <w:rPr>
          <w:rFonts w:eastAsia="Times New Roman" w:cs="Times New Roman"/>
          <w:szCs w:val="24"/>
        </w:rPr>
        <w:t>.</w:t>
      </w:r>
      <w:r w:rsidRPr="006636EE">
        <w:rPr>
          <w:rFonts w:eastAsia="Times New Roman" w:cs="Times New Roman"/>
          <w:szCs w:val="24"/>
        </w:rPr>
        <w:t xml:space="preserve"> </w:t>
      </w:r>
      <w:r w:rsidRPr="006636EE">
        <w:rPr>
          <w:rFonts w:eastAsia="Times New Roman" w:cs="Times New Roman"/>
          <w:i/>
          <w:iCs/>
          <w:szCs w:val="24"/>
        </w:rPr>
        <w:t>Brand Hijack: Marketing without Marketing</w:t>
      </w:r>
      <w:r w:rsidRPr="006636EE">
        <w:rPr>
          <w:rFonts w:eastAsia="Times New Roman" w:cs="Times New Roman"/>
          <w:szCs w:val="24"/>
        </w:rPr>
        <w:t>. Portfolio.</w:t>
      </w:r>
    </w:p>
    <w:p w14:paraId="4330701D" w14:textId="72E9EB33" w:rsidR="00665854" w:rsidRPr="006636EE" w:rsidRDefault="42734E5D" w:rsidP="00A54D55">
      <w:pPr>
        <w:ind w:left="720" w:hanging="720"/>
        <w:rPr>
          <w:rFonts w:eastAsia="Times New Roman" w:cs="Times New Roman"/>
          <w:szCs w:val="24"/>
        </w:rPr>
      </w:pPr>
      <w:r w:rsidRPr="006636EE">
        <w:rPr>
          <w:rFonts w:eastAsia="Times New Roman" w:cs="Times New Roman"/>
          <w:szCs w:val="24"/>
        </w:rPr>
        <w:t xml:space="preserve">Wolf, K., &amp; Theunissen, P. (2023). One voice or multi-issue movement? Exploring the role of bonding and bridging social capital within the COVID-19 antivax movement. </w:t>
      </w:r>
      <w:r w:rsidRPr="006636EE">
        <w:rPr>
          <w:rFonts w:eastAsia="Times New Roman" w:cs="Times New Roman"/>
          <w:i/>
          <w:iCs/>
          <w:szCs w:val="24"/>
        </w:rPr>
        <w:t>Public Relations Review, 49</w:t>
      </w:r>
      <w:r w:rsidRPr="006636EE">
        <w:rPr>
          <w:rFonts w:eastAsia="Times New Roman" w:cs="Times New Roman"/>
          <w:szCs w:val="24"/>
        </w:rPr>
        <w:t>(2)</w:t>
      </w:r>
      <w:r w:rsidR="197E715D" w:rsidRPr="006636EE">
        <w:rPr>
          <w:rFonts w:eastAsia="Times New Roman" w:cs="Times New Roman"/>
          <w:szCs w:val="24"/>
        </w:rPr>
        <w:t>, 102316.</w:t>
      </w:r>
      <w:r w:rsidR="5756A920" w:rsidRPr="006636EE">
        <w:rPr>
          <w:rFonts w:eastAsia="Times New Roman" w:cs="Times New Roman"/>
          <w:szCs w:val="24"/>
        </w:rPr>
        <w:t xml:space="preserve"> </w:t>
      </w:r>
      <w:hyperlink r:id="rId41">
        <w:r w:rsidR="5756A920" w:rsidRPr="006636EE">
          <w:rPr>
            <w:rStyle w:val="Hyperlink"/>
            <w:rFonts w:eastAsia="Times New Roman" w:cs="Times New Roman"/>
            <w:szCs w:val="24"/>
          </w:rPr>
          <w:t>https://doi.org/10.1016/j.pubrev.2023.102316</w:t>
        </w:r>
      </w:hyperlink>
      <w:r w:rsidR="6F8E3C74" w:rsidRPr="006636EE">
        <w:rPr>
          <w:rFonts w:eastAsia="Times New Roman" w:cs="Times New Roman"/>
          <w:szCs w:val="24"/>
        </w:rPr>
        <w:t xml:space="preserve"> </w:t>
      </w:r>
    </w:p>
    <w:p w14:paraId="7AF7C2FC" w14:textId="030BA277" w:rsidR="00895585" w:rsidRDefault="2A657888" w:rsidP="00A54D55">
      <w:pPr>
        <w:ind w:left="720" w:hanging="720"/>
        <w:rPr>
          <w:rFonts w:eastAsia="Times New Roman" w:cs="Times New Roman"/>
          <w:szCs w:val="24"/>
        </w:rPr>
      </w:pPr>
      <w:r w:rsidRPr="006636EE">
        <w:rPr>
          <w:rFonts w:eastAsia="Times New Roman" w:cs="Times New Roman"/>
          <w:szCs w:val="24"/>
        </w:rPr>
        <w:t xml:space="preserve">Woolard, F. (2022, July 1). </w:t>
      </w:r>
      <w:r w:rsidRPr="006636EE">
        <w:rPr>
          <w:rFonts w:eastAsia="Times New Roman" w:cs="Times New Roman"/>
          <w:i/>
          <w:iCs/>
          <w:szCs w:val="24"/>
        </w:rPr>
        <w:t xml:space="preserve">Roe v Wade: a philosopher on the true meaning of ‘my body, my choice’. </w:t>
      </w:r>
      <w:r w:rsidRPr="006636EE">
        <w:rPr>
          <w:rFonts w:eastAsia="Times New Roman" w:cs="Times New Roman"/>
          <w:szCs w:val="24"/>
        </w:rPr>
        <w:t xml:space="preserve">The Conversation. </w:t>
      </w:r>
      <w:hyperlink r:id="rId42">
        <w:r w:rsidR="00192960" w:rsidRPr="006636EE">
          <w:rPr>
            <w:rStyle w:val="Hyperlink"/>
            <w:rFonts w:eastAsia="Times New Roman" w:cs="Times New Roman"/>
            <w:szCs w:val="24"/>
          </w:rPr>
          <w:t>https://theconversation.com/roe-v-wade-a-philosopher-on-the-true-meaning-of-my-body-my-choice-186145</w:t>
        </w:r>
      </w:hyperlink>
      <w:r w:rsidR="00192960" w:rsidRPr="006636EE">
        <w:rPr>
          <w:rFonts w:eastAsia="Times New Roman" w:cs="Times New Roman"/>
          <w:szCs w:val="24"/>
        </w:rPr>
        <w:t xml:space="preserve">   </w:t>
      </w:r>
    </w:p>
    <w:p w14:paraId="70645418" w14:textId="77777777" w:rsidR="00895585" w:rsidRDefault="00895585">
      <w:pPr>
        <w:spacing w:before="0" w:beforeAutospacing="0" w:after="160" w:afterAutospacing="0" w:line="259" w:lineRule="auto"/>
        <w:ind w:firstLine="0"/>
        <w:rPr>
          <w:rFonts w:eastAsia="Times New Roman" w:cs="Times New Roman"/>
          <w:szCs w:val="24"/>
        </w:rPr>
      </w:pPr>
      <w:r>
        <w:rPr>
          <w:rFonts w:eastAsia="Times New Roman" w:cs="Times New Roman"/>
          <w:szCs w:val="24"/>
        </w:rPr>
        <w:br w:type="page"/>
      </w:r>
    </w:p>
    <w:p w14:paraId="09D3A59B" w14:textId="77777777" w:rsidR="00895585" w:rsidRPr="00643F32" w:rsidRDefault="00895585" w:rsidP="00895585">
      <w:pPr>
        <w:ind w:firstLine="0"/>
        <w:rPr>
          <w:rFonts w:cs="Times New Roman"/>
          <w:b/>
        </w:rPr>
      </w:pPr>
      <w:r w:rsidRPr="00643F32">
        <w:rPr>
          <w:rFonts w:cs="Times New Roman"/>
          <w:b/>
          <w:bCs/>
        </w:rPr>
        <w:lastRenderedPageBreak/>
        <w:t>Declaration of generative AI and AI-assisted technologies in the writing process</w:t>
      </w:r>
    </w:p>
    <w:p w14:paraId="1784D50C" w14:textId="01CC0248" w:rsidR="00895585" w:rsidRPr="00643F32" w:rsidRDefault="00895585" w:rsidP="00895585">
      <w:pPr>
        <w:ind w:firstLine="0"/>
        <w:rPr>
          <w:rFonts w:cs="Times New Roman"/>
          <w:bCs/>
        </w:rPr>
      </w:pPr>
      <w:r w:rsidRPr="00643F32">
        <w:rPr>
          <w:rFonts w:cs="Times New Roman"/>
          <w:bCs/>
        </w:rPr>
        <w:t xml:space="preserve">During the preparation of this work the authors used </w:t>
      </w:r>
      <w:r>
        <w:rPr>
          <w:rFonts w:cs="Times New Roman"/>
          <w:bCs/>
        </w:rPr>
        <w:t>ChatGPT Pro</w:t>
      </w:r>
      <w:r w:rsidRPr="00643F32">
        <w:rPr>
          <w:rFonts w:cs="Times New Roman"/>
          <w:bCs/>
        </w:rPr>
        <w:t xml:space="preserve"> </w:t>
      </w:r>
      <w:proofErr w:type="gramStart"/>
      <w:r w:rsidRPr="00643F32">
        <w:rPr>
          <w:rFonts w:cs="Times New Roman"/>
          <w:bCs/>
        </w:rPr>
        <w:t>in order to</w:t>
      </w:r>
      <w:proofErr w:type="gramEnd"/>
      <w:r w:rsidRPr="00643F32">
        <w:rPr>
          <w:rFonts w:cs="Times New Roman"/>
          <w:bCs/>
        </w:rPr>
        <w:t xml:space="preserve"> </w:t>
      </w:r>
      <w:r>
        <w:rPr>
          <w:rFonts w:cs="Times New Roman"/>
          <w:bCs/>
        </w:rPr>
        <w:t>assist with generating keywords, key highlights and the abstract</w:t>
      </w:r>
      <w:r w:rsidRPr="00643F32">
        <w:rPr>
          <w:rFonts w:cs="Times New Roman"/>
          <w:bCs/>
        </w:rPr>
        <w:t>. After using this tool, the authors reviewed and edited the content as needed and take full responsibility for the content of the publication.</w:t>
      </w:r>
    </w:p>
    <w:p w14:paraId="0AAF52E4" w14:textId="77777777" w:rsidR="2A657888" w:rsidRPr="006636EE" w:rsidRDefault="2A657888" w:rsidP="00A54D55">
      <w:pPr>
        <w:ind w:left="720" w:hanging="720"/>
        <w:rPr>
          <w:rFonts w:eastAsia="Times New Roman" w:cs="Times New Roman"/>
          <w:szCs w:val="24"/>
        </w:rPr>
      </w:pPr>
    </w:p>
    <w:p w14:paraId="0CF95CB8" w14:textId="7C0B31A0" w:rsidR="003A1062" w:rsidRPr="006636EE" w:rsidRDefault="003A1062" w:rsidP="00A54D55">
      <w:pPr>
        <w:rPr>
          <w:rFonts w:cs="Times New Roman"/>
          <w:szCs w:val="24"/>
        </w:rPr>
      </w:pPr>
    </w:p>
    <w:sectPr w:rsidR="003A1062" w:rsidRPr="006636EE">
      <w:headerReference w:type="default" r:id="rId43"/>
      <w:footerReference w:type="default" r:id="rId4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B34D7F" w14:textId="77777777" w:rsidR="0029772C" w:rsidRPr="00E53D81" w:rsidRDefault="0029772C" w:rsidP="002465BA">
      <w:pPr>
        <w:spacing w:after="0" w:line="240" w:lineRule="auto"/>
      </w:pPr>
      <w:r w:rsidRPr="00E53D81">
        <w:separator/>
      </w:r>
    </w:p>
  </w:endnote>
  <w:endnote w:type="continuationSeparator" w:id="0">
    <w:p w14:paraId="77C8BFCF" w14:textId="77777777" w:rsidR="0029772C" w:rsidRPr="00E53D81" w:rsidRDefault="0029772C" w:rsidP="002465BA">
      <w:pPr>
        <w:spacing w:after="0" w:line="240" w:lineRule="auto"/>
      </w:pPr>
      <w:r w:rsidRPr="00E53D81">
        <w:continuationSeparator/>
      </w:r>
    </w:p>
  </w:endnote>
  <w:endnote w:type="continuationNotice" w:id="1">
    <w:p w14:paraId="42FAE5E0" w14:textId="77777777" w:rsidR="0029772C" w:rsidRPr="00E53D81" w:rsidRDefault="0029772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61848509"/>
      <w:docPartObj>
        <w:docPartGallery w:val="Page Numbers (Bottom of Page)"/>
        <w:docPartUnique/>
      </w:docPartObj>
    </w:sdtPr>
    <w:sdtEndPr/>
    <w:sdtContent>
      <w:sdt>
        <w:sdtPr>
          <w:id w:val="-1769616900"/>
          <w:docPartObj>
            <w:docPartGallery w:val="Page Numbers (Top of Page)"/>
            <w:docPartUnique/>
          </w:docPartObj>
        </w:sdtPr>
        <w:sdtEndPr/>
        <w:sdtContent>
          <w:p w14:paraId="4F821F33" w14:textId="2069FA0D" w:rsidR="0057126C" w:rsidRDefault="0057126C">
            <w:pPr>
              <w:pStyle w:val="Footer"/>
              <w:jc w:val="right"/>
            </w:pPr>
            <w:r w:rsidRPr="0057126C">
              <w:rPr>
                <w:sz w:val="22"/>
                <w:szCs w:val="20"/>
              </w:rPr>
              <w:t xml:space="preserve">Page </w:t>
            </w:r>
            <w:r w:rsidRPr="0057126C">
              <w:rPr>
                <w:b/>
                <w:bCs/>
                <w:sz w:val="22"/>
              </w:rPr>
              <w:fldChar w:fldCharType="begin"/>
            </w:r>
            <w:r w:rsidRPr="0057126C">
              <w:rPr>
                <w:b/>
                <w:bCs/>
                <w:sz w:val="22"/>
                <w:szCs w:val="20"/>
              </w:rPr>
              <w:instrText xml:space="preserve"> PAGE </w:instrText>
            </w:r>
            <w:r w:rsidRPr="0057126C">
              <w:rPr>
                <w:b/>
                <w:bCs/>
                <w:sz w:val="22"/>
              </w:rPr>
              <w:fldChar w:fldCharType="separate"/>
            </w:r>
            <w:r w:rsidRPr="0057126C">
              <w:rPr>
                <w:b/>
                <w:bCs/>
                <w:noProof/>
                <w:sz w:val="22"/>
                <w:szCs w:val="20"/>
              </w:rPr>
              <w:t>2</w:t>
            </w:r>
            <w:r w:rsidRPr="0057126C">
              <w:rPr>
                <w:b/>
                <w:bCs/>
                <w:sz w:val="22"/>
              </w:rPr>
              <w:fldChar w:fldCharType="end"/>
            </w:r>
            <w:r w:rsidRPr="0057126C">
              <w:rPr>
                <w:sz w:val="22"/>
                <w:szCs w:val="20"/>
              </w:rPr>
              <w:t xml:space="preserve"> of </w:t>
            </w:r>
            <w:r w:rsidRPr="0057126C">
              <w:rPr>
                <w:b/>
                <w:bCs/>
                <w:sz w:val="22"/>
              </w:rPr>
              <w:fldChar w:fldCharType="begin"/>
            </w:r>
            <w:r w:rsidRPr="0057126C">
              <w:rPr>
                <w:b/>
                <w:bCs/>
                <w:sz w:val="22"/>
                <w:szCs w:val="20"/>
              </w:rPr>
              <w:instrText xml:space="preserve"> NUMPAGES  </w:instrText>
            </w:r>
            <w:r w:rsidRPr="0057126C">
              <w:rPr>
                <w:b/>
                <w:bCs/>
                <w:sz w:val="22"/>
              </w:rPr>
              <w:fldChar w:fldCharType="separate"/>
            </w:r>
            <w:r w:rsidRPr="0057126C">
              <w:rPr>
                <w:b/>
                <w:bCs/>
                <w:noProof/>
                <w:sz w:val="22"/>
                <w:szCs w:val="20"/>
              </w:rPr>
              <w:t>2</w:t>
            </w:r>
            <w:r w:rsidRPr="0057126C">
              <w:rPr>
                <w:b/>
                <w:bCs/>
                <w:sz w:val="22"/>
              </w:rPr>
              <w:fldChar w:fldCharType="end"/>
            </w:r>
          </w:p>
        </w:sdtContent>
      </w:sdt>
    </w:sdtContent>
  </w:sdt>
  <w:p w14:paraId="176347D1" w14:textId="77777777" w:rsidR="002465BA" w:rsidRPr="00E53D81" w:rsidRDefault="002465B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F87E169" w14:textId="77777777" w:rsidR="0029772C" w:rsidRPr="00E53D81" w:rsidRDefault="0029772C" w:rsidP="002465BA">
      <w:pPr>
        <w:spacing w:after="0" w:line="240" w:lineRule="auto"/>
      </w:pPr>
      <w:r w:rsidRPr="00E53D81">
        <w:separator/>
      </w:r>
    </w:p>
  </w:footnote>
  <w:footnote w:type="continuationSeparator" w:id="0">
    <w:p w14:paraId="20FE8792" w14:textId="77777777" w:rsidR="0029772C" w:rsidRPr="00E53D81" w:rsidRDefault="0029772C" w:rsidP="002465BA">
      <w:pPr>
        <w:spacing w:after="0" w:line="240" w:lineRule="auto"/>
      </w:pPr>
      <w:r w:rsidRPr="00E53D81">
        <w:continuationSeparator/>
      </w:r>
    </w:p>
  </w:footnote>
  <w:footnote w:type="continuationNotice" w:id="1">
    <w:p w14:paraId="2610FB43" w14:textId="77777777" w:rsidR="0029772C" w:rsidRPr="00E53D81" w:rsidRDefault="0029772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34C2C0" w14:textId="7302D4EA" w:rsidR="00551ED1" w:rsidRPr="0057126C" w:rsidRDefault="00551ED1" w:rsidP="0057126C">
    <w:pPr>
      <w:pStyle w:val="Header"/>
      <w:ind w:firstLine="0"/>
      <w:rPr>
        <w:sz w:val="22"/>
        <w:szCs w:val="20"/>
      </w:rPr>
    </w:pPr>
    <w:r w:rsidRPr="0057126C">
      <w:rPr>
        <w:sz w:val="22"/>
        <w:szCs w:val="20"/>
      </w:rPr>
      <w:t>“MY BODY, MY CHOICE”</w:t>
    </w:r>
    <w:r w:rsidR="0057126C" w:rsidRPr="0057126C">
      <w:rPr>
        <w:sz w:val="22"/>
        <w:szCs w:val="20"/>
      </w:rPr>
      <w:t xml:space="preserve">: </w:t>
    </w:r>
    <w:r w:rsidR="00E7024C">
      <w:rPr>
        <w:sz w:val="22"/>
        <w:szCs w:val="20"/>
      </w:rPr>
      <w:t>DISCURSIVE BRANDJACKING</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36C1A"/>
    <w:multiLevelType w:val="hybridMultilevel"/>
    <w:tmpl w:val="E610A292"/>
    <w:lvl w:ilvl="0" w:tplc="5A12F912">
      <w:start w:val="1"/>
      <w:numFmt w:val="lowerLetter"/>
      <w:lvlText w:val="%1)"/>
      <w:lvlJc w:val="left"/>
      <w:pPr>
        <w:tabs>
          <w:tab w:val="num" w:pos="720"/>
        </w:tabs>
        <w:ind w:left="720" w:hanging="360"/>
      </w:pPr>
    </w:lvl>
    <w:lvl w:ilvl="1" w:tplc="C8B0AF24" w:tentative="1">
      <w:start w:val="1"/>
      <w:numFmt w:val="lowerLetter"/>
      <w:lvlText w:val="%2)"/>
      <w:lvlJc w:val="left"/>
      <w:pPr>
        <w:tabs>
          <w:tab w:val="num" w:pos="1440"/>
        </w:tabs>
        <w:ind w:left="1440" w:hanging="360"/>
      </w:pPr>
    </w:lvl>
    <w:lvl w:ilvl="2" w:tplc="79702864" w:tentative="1">
      <w:start w:val="1"/>
      <w:numFmt w:val="lowerLetter"/>
      <w:lvlText w:val="%3)"/>
      <w:lvlJc w:val="left"/>
      <w:pPr>
        <w:tabs>
          <w:tab w:val="num" w:pos="2160"/>
        </w:tabs>
        <w:ind w:left="2160" w:hanging="360"/>
      </w:pPr>
    </w:lvl>
    <w:lvl w:ilvl="3" w:tplc="E3FA87C8" w:tentative="1">
      <w:start w:val="1"/>
      <w:numFmt w:val="lowerLetter"/>
      <w:lvlText w:val="%4)"/>
      <w:lvlJc w:val="left"/>
      <w:pPr>
        <w:tabs>
          <w:tab w:val="num" w:pos="2880"/>
        </w:tabs>
        <w:ind w:left="2880" w:hanging="360"/>
      </w:pPr>
    </w:lvl>
    <w:lvl w:ilvl="4" w:tplc="7EAC06EC" w:tentative="1">
      <w:start w:val="1"/>
      <w:numFmt w:val="lowerLetter"/>
      <w:lvlText w:val="%5)"/>
      <w:lvlJc w:val="left"/>
      <w:pPr>
        <w:tabs>
          <w:tab w:val="num" w:pos="3600"/>
        </w:tabs>
        <w:ind w:left="3600" w:hanging="360"/>
      </w:pPr>
    </w:lvl>
    <w:lvl w:ilvl="5" w:tplc="C7463E8C" w:tentative="1">
      <w:start w:val="1"/>
      <w:numFmt w:val="lowerLetter"/>
      <w:lvlText w:val="%6)"/>
      <w:lvlJc w:val="left"/>
      <w:pPr>
        <w:tabs>
          <w:tab w:val="num" w:pos="4320"/>
        </w:tabs>
        <w:ind w:left="4320" w:hanging="360"/>
      </w:pPr>
    </w:lvl>
    <w:lvl w:ilvl="6" w:tplc="E74A8BFC" w:tentative="1">
      <w:start w:val="1"/>
      <w:numFmt w:val="lowerLetter"/>
      <w:lvlText w:val="%7)"/>
      <w:lvlJc w:val="left"/>
      <w:pPr>
        <w:tabs>
          <w:tab w:val="num" w:pos="5040"/>
        </w:tabs>
        <w:ind w:left="5040" w:hanging="360"/>
      </w:pPr>
    </w:lvl>
    <w:lvl w:ilvl="7" w:tplc="D5F013A2" w:tentative="1">
      <w:start w:val="1"/>
      <w:numFmt w:val="lowerLetter"/>
      <w:lvlText w:val="%8)"/>
      <w:lvlJc w:val="left"/>
      <w:pPr>
        <w:tabs>
          <w:tab w:val="num" w:pos="5760"/>
        </w:tabs>
        <w:ind w:left="5760" w:hanging="360"/>
      </w:pPr>
    </w:lvl>
    <w:lvl w:ilvl="8" w:tplc="8A8CA5FA" w:tentative="1">
      <w:start w:val="1"/>
      <w:numFmt w:val="lowerLetter"/>
      <w:lvlText w:val="%9)"/>
      <w:lvlJc w:val="left"/>
      <w:pPr>
        <w:tabs>
          <w:tab w:val="num" w:pos="6480"/>
        </w:tabs>
        <w:ind w:left="6480" w:hanging="360"/>
      </w:pPr>
    </w:lvl>
  </w:abstractNum>
  <w:abstractNum w:abstractNumId="1" w15:restartNumberingAfterBreak="0">
    <w:nsid w:val="0CD86638"/>
    <w:multiLevelType w:val="hybridMultilevel"/>
    <w:tmpl w:val="F8A68772"/>
    <w:lvl w:ilvl="0" w:tplc="94447654">
      <w:numFmt w:val="bullet"/>
      <w:lvlText w:val="-"/>
      <w:lvlJc w:val="left"/>
      <w:pPr>
        <w:ind w:left="720" w:hanging="360"/>
      </w:pPr>
      <w:rPr>
        <w:rFonts w:ascii="Calibri Light" w:eastAsiaTheme="minorHAnsi" w:hAnsi="Calibri Light" w:cs="Calibri Light"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138C12AA"/>
    <w:multiLevelType w:val="hybridMultilevel"/>
    <w:tmpl w:val="726AC45E"/>
    <w:lvl w:ilvl="0" w:tplc="14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2B161E37"/>
    <w:multiLevelType w:val="hybridMultilevel"/>
    <w:tmpl w:val="A8BCE2C0"/>
    <w:lvl w:ilvl="0" w:tplc="6406BEA4">
      <w:start w:val="1"/>
      <w:numFmt w:val="lowerLetter"/>
      <w:lvlText w:val="%1)"/>
      <w:lvlJc w:val="left"/>
      <w:pPr>
        <w:tabs>
          <w:tab w:val="num" w:pos="720"/>
        </w:tabs>
        <w:ind w:left="720" w:hanging="360"/>
      </w:pPr>
    </w:lvl>
    <w:lvl w:ilvl="1" w:tplc="0C6255FA" w:tentative="1">
      <w:start w:val="1"/>
      <w:numFmt w:val="lowerLetter"/>
      <w:lvlText w:val="%2)"/>
      <w:lvlJc w:val="left"/>
      <w:pPr>
        <w:tabs>
          <w:tab w:val="num" w:pos="1440"/>
        </w:tabs>
        <w:ind w:left="1440" w:hanging="360"/>
      </w:pPr>
    </w:lvl>
    <w:lvl w:ilvl="2" w:tplc="B7F837F4" w:tentative="1">
      <w:start w:val="1"/>
      <w:numFmt w:val="lowerLetter"/>
      <w:lvlText w:val="%3)"/>
      <w:lvlJc w:val="left"/>
      <w:pPr>
        <w:tabs>
          <w:tab w:val="num" w:pos="2160"/>
        </w:tabs>
        <w:ind w:left="2160" w:hanging="360"/>
      </w:pPr>
    </w:lvl>
    <w:lvl w:ilvl="3" w:tplc="DC2895B6" w:tentative="1">
      <w:start w:val="1"/>
      <w:numFmt w:val="lowerLetter"/>
      <w:lvlText w:val="%4)"/>
      <w:lvlJc w:val="left"/>
      <w:pPr>
        <w:tabs>
          <w:tab w:val="num" w:pos="2880"/>
        </w:tabs>
        <w:ind w:left="2880" w:hanging="360"/>
      </w:pPr>
    </w:lvl>
    <w:lvl w:ilvl="4" w:tplc="FE2C93EA" w:tentative="1">
      <w:start w:val="1"/>
      <w:numFmt w:val="lowerLetter"/>
      <w:lvlText w:val="%5)"/>
      <w:lvlJc w:val="left"/>
      <w:pPr>
        <w:tabs>
          <w:tab w:val="num" w:pos="3600"/>
        </w:tabs>
        <w:ind w:left="3600" w:hanging="360"/>
      </w:pPr>
    </w:lvl>
    <w:lvl w:ilvl="5" w:tplc="DEDACCD6" w:tentative="1">
      <w:start w:val="1"/>
      <w:numFmt w:val="lowerLetter"/>
      <w:lvlText w:val="%6)"/>
      <w:lvlJc w:val="left"/>
      <w:pPr>
        <w:tabs>
          <w:tab w:val="num" w:pos="4320"/>
        </w:tabs>
        <w:ind w:left="4320" w:hanging="360"/>
      </w:pPr>
    </w:lvl>
    <w:lvl w:ilvl="6" w:tplc="DBCCC6E0" w:tentative="1">
      <w:start w:val="1"/>
      <w:numFmt w:val="lowerLetter"/>
      <w:lvlText w:val="%7)"/>
      <w:lvlJc w:val="left"/>
      <w:pPr>
        <w:tabs>
          <w:tab w:val="num" w:pos="5040"/>
        </w:tabs>
        <w:ind w:left="5040" w:hanging="360"/>
      </w:pPr>
    </w:lvl>
    <w:lvl w:ilvl="7" w:tplc="357EB582" w:tentative="1">
      <w:start w:val="1"/>
      <w:numFmt w:val="lowerLetter"/>
      <w:lvlText w:val="%8)"/>
      <w:lvlJc w:val="left"/>
      <w:pPr>
        <w:tabs>
          <w:tab w:val="num" w:pos="5760"/>
        </w:tabs>
        <w:ind w:left="5760" w:hanging="360"/>
      </w:pPr>
    </w:lvl>
    <w:lvl w:ilvl="8" w:tplc="DB66943A" w:tentative="1">
      <w:start w:val="1"/>
      <w:numFmt w:val="lowerLetter"/>
      <w:lvlText w:val="%9)"/>
      <w:lvlJc w:val="left"/>
      <w:pPr>
        <w:tabs>
          <w:tab w:val="num" w:pos="6480"/>
        </w:tabs>
        <w:ind w:left="6480" w:hanging="360"/>
      </w:pPr>
    </w:lvl>
  </w:abstractNum>
  <w:abstractNum w:abstractNumId="4" w15:restartNumberingAfterBreak="0">
    <w:nsid w:val="3215131A"/>
    <w:multiLevelType w:val="hybridMultilevel"/>
    <w:tmpl w:val="492446B4"/>
    <w:lvl w:ilvl="0" w:tplc="14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CF70655"/>
    <w:multiLevelType w:val="hybridMultilevel"/>
    <w:tmpl w:val="2FEE2216"/>
    <w:lvl w:ilvl="0" w:tplc="040EE2C6">
      <w:start w:val="1"/>
      <w:numFmt w:val="decimal"/>
      <w:lvlText w:val="%1."/>
      <w:lvlJc w:val="left"/>
      <w:pPr>
        <w:tabs>
          <w:tab w:val="num" w:pos="720"/>
        </w:tabs>
        <w:ind w:left="720" w:hanging="360"/>
      </w:pPr>
    </w:lvl>
    <w:lvl w:ilvl="1" w:tplc="4D725E02" w:tentative="1">
      <w:start w:val="1"/>
      <w:numFmt w:val="decimal"/>
      <w:lvlText w:val="%2."/>
      <w:lvlJc w:val="left"/>
      <w:pPr>
        <w:tabs>
          <w:tab w:val="num" w:pos="1440"/>
        </w:tabs>
        <w:ind w:left="1440" w:hanging="360"/>
      </w:pPr>
    </w:lvl>
    <w:lvl w:ilvl="2" w:tplc="EE6E7E50" w:tentative="1">
      <w:start w:val="1"/>
      <w:numFmt w:val="decimal"/>
      <w:lvlText w:val="%3."/>
      <w:lvlJc w:val="left"/>
      <w:pPr>
        <w:tabs>
          <w:tab w:val="num" w:pos="2160"/>
        </w:tabs>
        <w:ind w:left="2160" w:hanging="360"/>
      </w:pPr>
    </w:lvl>
    <w:lvl w:ilvl="3" w:tplc="64F8FD0C" w:tentative="1">
      <w:start w:val="1"/>
      <w:numFmt w:val="decimal"/>
      <w:lvlText w:val="%4."/>
      <w:lvlJc w:val="left"/>
      <w:pPr>
        <w:tabs>
          <w:tab w:val="num" w:pos="2880"/>
        </w:tabs>
        <w:ind w:left="2880" w:hanging="360"/>
      </w:pPr>
    </w:lvl>
    <w:lvl w:ilvl="4" w:tplc="48A416EA" w:tentative="1">
      <w:start w:val="1"/>
      <w:numFmt w:val="decimal"/>
      <w:lvlText w:val="%5."/>
      <w:lvlJc w:val="left"/>
      <w:pPr>
        <w:tabs>
          <w:tab w:val="num" w:pos="3600"/>
        </w:tabs>
        <w:ind w:left="3600" w:hanging="360"/>
      </w:pPr>
    </w:lvl>
    <w:lvl w:ilvl="5" w:tplc="84BC837E" w:tentative="1">
      <w:start w:val="1"/>
      <w:numFmt w:val="decimal"/>
      <w:lvlText w:val="%6."/>
      <w:lvlJc w:val="left"/>
      <w:pPr>
        <w:tabs>
          <w:tab w:val="num" w:pos="4320"/>
        </w:tabs>
        <w:ind w:left="4320" w:hanging="360"/>
      </w:pPr>
    </w:lvl>
    <w:lvl w:ilvl="6" w:tplc="0C48748C" w:tentative="1">
      <w:start w:val="1"/>
      <w:numFmt w:val="decimal"/>
      <w:lvlText w:val="%7."/>
      <w:lvlJc w:val="left"/>
      <w:pPr>
        <w:tabs>
          <w:tab w:val="num" w:pos="5040"/>
        </w:tabs>
        <w:ind w:left="5040" w:hanging="360"/>
      </w:pPr>
    </w:lvl>
    <w:lvl w:ilvl="7" w:tplc="9D2E6676" w:tentative="1">
      <w:start w:val="1"/>
      <w:numFmt w:val="decimal"/>
      <w:lvlText w:val="%8."/>
      <w:lvlJc w:val="left"/>
      <w:pPr>
        <w:tabs>
          <w:tab w:val="num" w:pos="5760"/>
        </w:tabs>
        <w:ind w:left="5760" w:hanging="360"/>
      </w:pPr>
    </w:lvl>
    <w:lvl w:ilvl="8" w:tplc="23E6A1BA" w:tentative="1">
      <w:start w:val="1"/>
      <w:numFmt w:val="decimal"/>
      <w:lvlText w:val="%9."/>
      <w:lvlJc w:val="left"/>
      <w:pPr>
        <w:tabs>
          <w:tab w:val="num" w:pos="6480"/>
        </w:tabs>
        <w:ind w:left="6480" w:hanging="360"/>
      </w:pPr>
    </w:lvl>
  </w:abstractNum>
  <w:abstractNum w:abstractNumId="6" w15:restartNumberingAfterBreak="0">
    <w:nsid w:val="3E116004"/>
    <w:multiLevelType w:val="hybridMultilevel"/>
    <w:tmpl w:val="63645258"/>
    <w:lvl w:ilvl="0" w:tplc="82E054EA">
      <w:start w:val="1"/>
      <w:numFmt w:val="decimal"/>
      <w:lvlText w:val="%1."/>
      <w:lvlJc w:val="left"/>
      <w:pPr>
        <w:ind w:left="720" w:hanging="360"/>
      </w:pPr>
    </w:lvl>
    <w:lvl w:ilvl="1" w:tplc="EAAC69D2">
      <w:start w:val="1"/>
      <w:numFmt w:val="decimal"/>
      <w:lvlText w:val="%2."/>
      <w:lvlJc w:val="left"/>
      <w:pPr>
        <w:ind w:left="720" w:hanging="360"/>
      </w:pPr>
    </w:lvl>
    <w:lvl w:ilvl="2" w:tplc="F454F5B8">
      <w:start w:val="1"/>
      <w:numFmt w:val="decimal"/>
      <w:lvlText w:val="%3."/>
      <w:lvlJc w:val="left"/>
      <w:pPr>
        <w:ind w:left="720" w:hanging="360"/>
      </w:pPr>
    </w:lvl>
    <w:lvl w:ilvl="3" w:tplc="55BEF4B8">
      <w:start w:val="1"/>
      <w:numFmt w:val="decimal"/>
      <w:lvlText w:val="%4."/>
      <w:lvlJc w:val="left"/>
      <w:pPr>
        <w:ind w:left="720" w:hanging="360"/>
      </w:pPr>
    </w:lvl>
    <w:lvl w:ilvl="4" w:tplc="FDEE37B2">
      <w:start w:val="1"/>
      <w:numFmt w:val="decimal"/>
      <w:lvlText w:val="%5."/>
      <w:lvlJc w:val="left"/>
      <w:pPr>
        <w:ind w:left="720" w:hanging="360"/>
      </w:pPr>
    </w:lvl>
    <w:lvl w:ilvl="5" w:tplc="16866DA0">
      <w:start w:val="1"/>
      <w:numFmt w:val="decimal"/>
      <w:lvlText w:val="%6."/>
      <w:lvlJc w:val="left"/>
      <w:pPr>
        <w:ind w:left="720" w:hanging="360"/>
      </w:pPr>
    </w:lvl>
    <w:lvl w:ilvl="6" w:tplc="36C6CB2C">
      <w:start w:val="1"/>
      <w:numFmt w:val="decimal"/>
      <w:lvlText w:val="%7."/>
      <w:lvlJc w:val="left"/>
      <w:pPr>
        <w:ind w:left="720" w:hanging="360"/>
      </w:pPr>
    </w:lvl>
    <w:lvl w:ilvl="7" w:tplc="1494C02C">
      <w:start w:val="1"/>
      <w:numFmt w:val="decimal"/>
      <w:lvlText w:val="%8."/>
      <w:lvlJc w:val="left"/>
      <w:pPr>
        <w:ind w:left="720" w:hanging="360"/>
      </w:pPr>
    </w:lvl>
    <w:lvl w:ilvl="8" w:tplc="0B144F92">
      <w:start w:val="1"/>
      <w:numFmt w:val="decimal"/>
      <w:lvlText w:val="%9."/>
      <w:lvlJc w:val="left"/>
      <w:pPr>
        <w:ind w:left="720" w:hanging="360"/>
      </w:pPr>
    </w:lvl>
  </w:abstractNum>
  <w:abstractNum w:abstractNumId="7" w15:restartNumberingAfterBreak="0">
    <w:nsid w:val="48940CC1"/>
    <w:multiLevelType w:val="multilevel"/>
    <w:tmpl w:val="05A633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557478F5"/>
    <w:multiLevelType w:val="hybridMultilevel"/>
    <w:tmpl w:val="007C0AC4"/>
    <w:lvl w:ilvl="0" w:tplc="14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6BBD0C6C"/>
    <w:multiLevelType w:val="multilevel"/>
    <w:tmpl w:val="74BEF7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7D1E3012"/>
    <w:multiLevelType w:val="hybridMultilevel"/>
    <w:tmpl w:val="A9E2CCDC"/>
    <w:lvl w:ilvl="0" w:tplc="CECE4E20">
      <w:start w:val="1"/>
      <w:numFmt w:val="lowerLetter"/>
      <w:lvlText w:val="%1)"/>
      <w:lvlJc w:val="left"/>
      <w:pPr>
        <w:tabs>
          <w:tab w:val="num" w:pos="720"/>
        </w:tabs>
        <w:ind w:left="720" w:hanging="360"/>
      </w:pPr>
    </w:lvl>
    <w:lvl w:ilvl="1" w:tplc="AD46CBF6" w:tentative="1">
      <w:start w:val="1"/>
      <w:numFmt w:val="lowerLetter"/>
      <w:lvlText w:val="%2)"/>
      <w:lvlJc w:val="left"/>
      <w:pPr>
        <w:tabs>
          <w:tab w:val="num" w:pos="1440"/>
        </w:tabs>
        <w:ind w:left="1440" w:hanging="360"/>
      </w:pPr>
    </w:lvl>
    <w:lvl w:ilvl="2" w:tplc="220A3D24" w:tentative="1">
      <w:start w:val="1"/>
      <w:numFmt w:val="lowerLetter"/>
      <w:lvlText w:val="%3)"/>
      <w:lvlJc w:val="left"/>
      <w:pPr>
        <w:tabs>
          <w:tab w:val="num" w:pos="2160"/>
        </w:tabs>
        <w:ind w:left="2160" w:hanging="360"/>
      </w:pPr>
    </w:lvl>
    <w:lvl w:ilvl="3" w:tplc="F09AC70C" w:tentative="1">
      <w:start w:val="1"/>
      <w:numFmt w:val="lowerLetter"/>
      <w:lvlText w:val="%4)"/>
      <w:lvlJc w:val="left"/>
      <w:pPr>
        <w:tabs>
          <w:tab w:val="num" w:pos="2880"/>
        </w:tabs>
        <w:ind w:left="2880" w:hanging="360"/>
      </w:pPr>
    </w:lvl>
    <w:lvl w:ilvl="4" w:tplc="904C4F5C" w:tentative="1">
      <w:start w:val="1"/>
      <w:numFmt w:val="lowerLetter"/>
      <w:lvlText w:val="%5)"/>
      <w:lvlJc w:val="left"/>
      <w:pPr>
        <w:tabs>
          <w:tab w:val="num" w:pos="3600"/>
        </w:tabs>
        <w:ind w:left="3600" w:hanging="360"/>
      </w:pPr>
    </w:lvl>
    <w:lvl w:ilvl="5" w:tplc="FA5893E8" w:tentative="1">
      <w:start w:val="1"/>
      <w:numFmt w:val="lowerLetter"/>
      <w:lvlText w:val="%6)"/>
      <w:lvlJc w:val="left"/>
      <w:pPr>
        <w:tabs>
          <w:tab w:val="num" w:pos="4320"/>
        </w:tabs>
        <w:ind w:left="4320" w:hanging="360"/>
      </w:pPr>
    </w:lvl>
    <w:lvl w:ilvl="6" w:tplc="98C426D4" w:tentative="1">
      <w:start w:val="1"/>
      <w:numFmt w:val="lowerLetter"/>
      <w:lvlText w:val="%7)"/>
      <w:lvlJc w:val="left"/>
      <w:pPr>
        <w:tabs>
          <w:tab w:val="num" w:pos="5040"/>
        </w:tabs>
        <w:ind w:left="5040" w:hanging="360"/>
      </w:pPr>
    </w:lvl>
    <w:lvl w:ilvl="7" w:tplc="173A5936" w:tentative="1">
      <w:start w:val="1"/>
      <w:numFmt w:val="lowerLetter"/>
      <w:lvlText w:val="%8)"/>
      <w:lvlJc w:val="left"/>
      <w:pPr>
        <w:tabs>
          <w:tab w:val="num" w:pos="5760"/>
        </w:tabs>
        <w:ind w:left="5760" w:hanging="360"/>
      </w:pPr>
    </w:lvl>
    <w:lvl w:ilvl="8" w:tplc="09C65D72" w:tentative="1">
      <w:start w:val="1"/>
      <w:numFmt w:val="lowerLetter"/>
      <w:lvlText w:val="%9)"/>
      <w:lvlJc w:val="left"/>
      <w:pPr>
        <w:tabs>
          <w:tab w:val="num" w:pos="6480"/>
        </w:tabs>
        <w:ind w:left="6480" w:hanging="360"/>
      </w:pPr>
    </w:lvl>
  </w:abstractNum>
  <w:abstractNum w:abstractNumId="11" w15:restartNumberingAfterBreak="0">
    <w:nsid w:val="7D766934"/>
    <w:multiLevelType w:val="hybridMultilevel"/>
    <w:tmpl w:val="598A5F1E"/>
    <w:lvl w:ilvl="0" w:tplc="1409000D">
      <w:start w:val="1"/>
      <w:numFmt w:val="bullet"/>
      <w:lvlText w:val=""/>
      <w:lvlJc w:val="left"/>
      <w:pPr>
        <w:ind w:left="360" w:hanging="360"/>
      </w:pPr>
      <w:rPr>
        <w:rFonts w:ascii="Wingdings" w:hAnsi="Wingdings"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1284380520">
    <w:abstractNumId w:val="1"/>
  </w:num>
  <w:num w:numId="2" w16cid:durableId="1046567739">
    <w:abstractNumId w:val="10"/>
  </w:num>
  <w:num w:numId="3" w16cid:durableId="1166822301">
    <w:abstractNumId w:val="0"/>
  </w:num>
  <w:num w:numId="4" w16cid:durableId="2039042715">
    <w:abstractNumId w:val="7"/>
  </w:num>
  <w:num w:numId="5" w16cid:durableId="137961805">
    <w:abstractNumId w:val="9"/>
  </w:num>
  <w:num w:numId="6" w16cid:durableId="212428150">
    <w:abstractNumId w:val="3"/>
  </w:num>
  <w:num w:numId="7" w16cid:durableId="1684277681">
    <w:abstractNumId w:val="5"/>
  </w:num>
  <w:num w:numId="8" w16cid:durableId="225072024">
    <w:abstractNumId w:val="6"/>
  </w:num>
  <w:num w:numId="9" w16cid:durableId="14236331">
    <w:abstractNumId w:val="11"/>
  </w:num>
  <w:num w:numId="10" w16cid:durableId="1784231652">
    <w:abstractNumId w:val="2"/>
  </w:num>
  <w:num w:numId="11" w16cid:durableId="1287153249">
    <w:abstractNumId w:val="8"/>
  </w:num>
  <w:num w:numId="12" w16cid:durableId="200712606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trackRevisions/>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APA 7th&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p02v99vidpz0re0pfa50ercp95r52202pfs&quot;&gt;PR Texts &amp;amp; Literature-Converted&lt;record-ids&gt;&lt;item&gt;18712&lt;/item&gt;&lt;/record-ids&gt;&lt;/item&gt;&lt;/Libraries&gt;"/>
  </w:docVars>
  <w:rsids>
    <w:rsidRoot w:val="007E50D1"/>
    <w:rsid w:val="000008A1"/>
    <w:rsid w:val="000012BE"/>
    <w:rsid w:val="00002A26"/>
    <w:rsid w:val="00003087"/>
    <w:rsid w:val="00004279"/>
    <w:rsid w:val="000050F7"/>
    <w:rsid w:val="000057E9"/>
    <w:rsid w:val="00005C91"/>
    <w:rsid w:val="00006094"/>
    <w:rsid w:val="00006BAE"/>
    <w:rsid w:val="000078FB"/>
    <w:rsid w:val="00011EC9"/>
    <w:rsid w:val="0001270A"/>
    <w:rsid w:val="0001314F"/>
    <w:rsid w:val="000132BF"/>
    <w:rsid w:val="000135C9"/>
    <w:rsid w:val="000153F9"/>
    <w:rsid w:val="00022131"/>
    <w:rsid w:val="00022A79"/>
    <w:rsid w:val="00022DE5"/>
    <w:rsid w:val="000231C8"/>
    <w:rsid w:val="0002371A"/>
    <w:rsid w:val="00023F0C"/>
    <w:rsid w:val="000242EF"/>
    <w:rsid w:val="0002715D"/>
    <w:rsid w:val="000309AE"/>
    <w:rsid w:val="00034D88"/>
    <w:rsid w:val="000363A4"/>
    <w:rsid w:val="000371DC"/>
    <w:rsid w:val="00037C23"/>
    <w:rsid w:val="000425DF"/>
    <w:rsid w:val="00043142"/>
    <w:rsid w:val="0004316A"/>
    <w:rsid w:val="00043DF0"/>
    <w:rsid w:val="000458D9"/>
    <w:rsid w:val="00045BC5"/>
    <w:rsid w:val="00050298"/>
    <w:rsid w:val="00050774"/>
    <w:rsid w:val="00050F33"/>
    <w:rsid w:val="0005122A"/>
    <w:rsid w:val="000522FD"/>
    <w:rsid w:val="00052461"/>
    <w:rsid w:val="00052FA2"/>
    <w:rsid w:val="00053146"/>
    <w:rsid w:val="00053B50"/>
    <w:rsid w:val="000544C8"/>
    <w:rsid w:val="000564EB"/>
    <w:rsid w:val="000569CB"/>
    <w:rsid w:val="000606B3"/>
    <w:rsid w:val="0006344C"/>
    <w:rsid w:val="000635D2"/>
    <w:rsid w:val="0006564F"/>
    <w:rsid w:val="00066343"/>
    <w:rsid w:val="000663BA"/>
    <w:rsid w:val="00070C76"/>
    <w:rsid w:val="00071BB7"/>
    <w:rsid w:val="000726B5"/>
    <w:rsid w:val="0007414E"/>
    <w:rsid w:val="00074FD8"/>
    <w:rsid w:val="00076345"/>
    <w:rsid w:val="0007718E"/>
    <w:rsid w:val="000772F4"/>
    <w:rsid w:val="00077ABF"/>
    <w:rsid w:val="00080491"/>
    <w:rsid w:val="00081034"/>
    <w:rsid w:val="00081EFA"/>
    <w:rsid w:val="00083174"/>
    <w:rsid w:val="000839DC"/>
    <w:rsid w:val="00084015"/>
    <w:rsid w:val="0008578A"/>
    <w:rsid w:val="00086F9A"/>
    <w:rsid w:val="00087F3E"/>
    <w:rsid w:val="00090936"/>
    <w:rsid w:val="0009183D"/>
    <w:rsid w:val="00092221"/>
    <w:rsid w:val="00092E2D"/>
    <w:rsid w:val="00093B93"/>
    <w:rsid w:val="0009519F"/>
    <w:rsid w:val="000A1061"/>
    <w:rsid w:val="000A1223"/>
    <w:rsid w:val="000A1881"/>
    <w:rsid w:val="000A1F14"/>
    <w:rsid w:val="000A2906"/>
    <w:rsid w:val="000A3481"/>
    <w:rsid w:val="000A4160"/>
    <w:rsid w:val="000A4D7B"/>
    <w:rsid w:val="000A742C"/>
    <w:rsid w:val="000B2C75"/>
    <w:rsid w:val="000B38AF"/>
    <w:rsid w:val="000B4B08"/>
    <w:rsid w:val="000B4CD2"/>
    <w:rsid w:val="000B516B"/>
    <w:rsid w:val="000B589A"/>
    <w:rsid w:val="000B6DEE"/>
    <w:rsid w:val="000B7048"/>
    <w:rsid w:val="000C13FE"/>
    <w:rsid w:val="000C26FD"/>
    <w:rsid w:val="000C28F9"/>
    <w:rsid w:val="000C2A74"/>
    <w:rsid w:val="000C6077"/>
    <w:rsid w:val="000C683A"/>
    <w:rsid w:val="000C7700"/>
    <w:rsid w:val="000D2301"/>
    <w:rsid w:val="000D3672"/>
    <w:rsid w:val="000D3688"/>
    <w:rsid w:val="000D3E01"/>
    <w:rsid w:val="000D4B87"/>
    <w:rsid w:val="000D5767"/>
    <w:rsid w:val="000D589C"/>
    <w:rsid w:val="000D625C"/>
    <w:rsid w:val="000D6FF1"/>
    <w:rsid w:val="000E2FC0"/>
    <w:rsid w:val="000E48E5"/>
    <w:rsid w:val="000E601F"/>
    <w:rsid w:val="000E75C1"/>
    <w:rsid w:val="000E7FF1"/>
    <w:rsid w:val="000F0DBA"/>
    <w:rsid w:val="000F183F"/>
    <w:rsid w:val="000F1AB9"/>
    <w:rsid w:val="000F291F"/>
    <w:rsid w:val="000F48C0"/>
    <w:rsid w:val="000F6180"/>
    <w:rsid w:val="000F7774"/>
    <w:rsid w:val="000F79EE"/>
    <w:rsid w:val="00100FAA"/>
    <w:rsid w:val="0010189A"/>
    <w:rsid w:val="00102A63"/>
    <w:rsid w:val="00102D62"/>
    <w:rsid w:val="00103E1D"/>
    <w:rsid w:val="00104617"/>
    <w:rsid w:val="00105597"/>
    <w:rsid w:val="00105DCE"/>
    <w:rsid w:val="00110ADD"/>
    <w:rsid w:val="00110BC3"/>
    <w:rsid w:val="00111CEB"/>
    <w:rsid w:val="00113740"/>
    <w:rsid w:val="00115022"/>
    <w:rsid w:val="001161A4"/>
    <w:rsid w:val="001164F5"/>
    <w:rsid w:val="00116B37"/>
    <w:rsid w:val="0012001A"/>
    <w:rsid w:val="00122A59"/>
    <w:rsid w:val="00122D0F"/>
    <w:rsid w:val="0012513D"/>
    <w:rsid w:val="001252EC"/>
    <w:rsid w:val="0012666B"/>
    <w:rsid w:val="00126C0A"/>
    <w:rsid w:val="00126C7C"/>
    <w:rsid w:val="00126E61"/>
    <w:rsid w:val="00127E1B"/>
    <w:rsid w:val="0012B69D"/>
    <w:rsid w:val="00132C34"/>
    <w:rsid w:val="0013383C"/>
    <w:rsid w:val="00133FE3"/>
    <w:rsid w:val="00135891"/>
    <w:rsid w:val="0013606A"/>
    <w:rsid w:val="0013787B"/>
    <w:rsid w:val="00140B0E"/>
    <w:rsid w:val="00141F08"/>
    <w:rsid w:val="001421CF"/>
    <w:rsid w:val="001426D1"/>
    <w:rsid w:val="00143830"/>
    <w:rsid w:val="00144BA5"/>
    <w:rsid w:val="00146320"/>
    <w:rsid w:val="0015085A"/>
    <w:rsid w:val="001508A8"/>
    <w:rsid w:val="00154BAD"/>
    <w:rsid w:val="00154F54"/>
    <w:rsid w:val="001555FA"/>
    <w:rsid w:val="001566C2"/>
    <w:rsid w:val="001567C2"/>
    <w:rsid w:val="00157446"/>
    <w:rsid w:val="00160284"/>
    <w:rsid w:val="001619F4"/>
    <w:rsid w:val="001640C7"/>
    <w:rsid w:val="0016680D"/>
    <w:rsid w:val="0016790A"/>
    <w:rsid w:val="00167B4C"/>
    <w:rsid w:val="00167FDA"/>
    <w:rsid w:val="00170B13"/>
    <w:rsid w:val="00173FCB"/>
    <w:rsid w:val="00175283"/>
    <w:rsid w:val="00177F1C"/>
    <w:rsid w:val="0018165E"/>
    <w:rsid w:val="00184104"/>
    <w:rsid w:val="00186A8F"/>
    <w:rsid w:val="00190044"/>
    <w:rsid w:val="001904BB"/>
    <w:rsid w:val="00192227"/>
    <w:rsid w:val="00192485"/>
    <w:rsid w:val="00192960"/>
    <w:rsid w:val="001944B1"/>
    <w:rsid w:val="001952F6"/>
    <w:rsid w:val="001A15F1"/>
    <w:rsid w:val="001A3AAF"/>
    <w:rsid w:val="001A5F40"/>
    <w:rsid w:val="001A73D9"/>
    <w:rsid w:val="001B1229"/>
    <w:rsid w:val="001B33B9"/>
    <w:rsid w:val="001B3574"/>
    <w:rsid w:val="001B580A"/>
    <w:rsid w:val="001B5CB6"/>
    <w:rsid w:val="001B756E"/>
    <w:rsid w:val="001C0A08"/>
    <w:rsid w:val="001C1607"/>
    <w:rsid w:val="001C1698"/>
    <w:rsid w:val="001C1728"/>
    <w:rsid w:val="001C2C11"/>
    <w:rsid w:val="001C2F67"/>
    <w:rsid w:val="001C3C5A"/>
    <w:rsid w:val="001C48BD"/>
    <w:rsid w:val="001C50DC"/>
    <w:rsid w:val="001C5B7D"/>
    <w:rsid w:val="001C5EEA"/>
    <w:rsid w:val="001C79C4"/>
    <w:rsid w:val="001D0543"/>
    <w:rsid w:val="001D07B4"/>
    <w:rsid w:val="001D0C47"/>
    <w:rsid w:val="001D2690"/>
    <w:rsid w:val="001D6E6E"/>
    <w:rsid w:val="001D7663"/>
    <w:rsid w:val="001D7E44"/>
    <w:rsid w:val="001E1016"/>
    <w:rsid w:val="001E1566"/>
    <w:rsid w:val="001E5881"/>
    <w:rsid w:val="001E6598"/>
    <w:rsid w:val="001E6728"/>
    <w:rsid w:val="001F1483"/>
    <w:rsid w:val="001F4C17"/>
    <w:rsid w:val="001F4D1C"/>
    <w:rsid w:val="001F555A"/>
    <w:rsid w:val="001F683B"/>
    <w:rsid w:val="001F6A8C"/>
    <w:rsid w:val="001F6C2C"/>
    <w:rsid w:val="00200199"/>
    <w:rsid w:val="0020027E"/>
    <w:rsid w:val="00201565"/>
    <w:rsid w:val="00201C09"/>
    <w:rsid w:val="002025C3"/>
    <w:rsid w:val="002028CF"/>
    <w:rsid w:val="00202D8C"/>
    <w:rsid w:val="00203B3C"/>
    <w:rsid w:val="00206917"/>
    <w:rsid w:val="00206A02"/>
    <w:rsid w:val="0020775C"/>
    <w:rsid w:val="002101EF"/>
    <w:rsid w:val="002109A5"/>
    <w:rsid w:val="00214638"/>
    <w:rsid w:val="002147F5"/>
    <w:rsid w:val="00214FCC"/>
    <w:rsid w:val="00215BA2"/>
    <w:rsid w:val="00215E43"/>
    <w:rsid w:val="00216A8B"/>
    <w:rsid w:val="002173CA"/>
    <w:rsid w:val="00217748"/>
    <w:rsid w:val="002208FE"/>
    <w:rsid w:val="00221C03"/>
    <w:rsid w:val="00222D13"/>
    <w:rsid w:val="00222EEB"/>
    <w:rsid w:val="00225ACB"/>
    <w:rsid w:val="00226F58"/>
    <w:rsid w:val="00226FD4"/>
    <w:rsid w:val="002300A3"/>
    <w:rsid w:val="002331DF"/>
    <w:rsid w:val="002332F8"/>
    <w:rsid w:val="00233B55"/>
    <w:rsid w:val="00234408"/>
    <w:rsid w:val="002346FF"/>
    <w:rsid w:val="0023502A"/>
    <w:rsid w:val="00235144"/>
    <w:rsid w:val="00235D1B"/>
    <w:rsid w:val="00236EFF"/>
    <w:rsid w:val="00237859"/>
    <w:rsid w:val="00240DBB"/>
    <w:rsid w:val="00240FA1"/>
    <w:rsid w:val="00241175"/>
    <w:rsid w:val="00241A0A"/>
    <w:rsid w:val="00242930"/>
    <w:rsid w:val="00243001"/>
    <w:rsid w:val="00244844"/>
    <w:rsid w:val="002465BA"/>
    <w:rsid w:val="00246A4E"/>
    <w:rsid w:val="0024780E"/>
    <w:rsid w:val="00247870"/>
    <w:rsid w:val="00250457"/>
    <w:rsid w:val="0025751F"/>
    <w:rsid w:val="002576B7"/>
    <w:rsid w:val="00260EE9"/>
    <w:rsid w:val="00261231"/>
    <w:rsid w:val="00261BF3"/>
    <w:rsid w:val="00262116"/>
    <w:rsid w:val="00262716"/>
    <w:rsid w:val="00263A32"/>
    <w:rsid w:val="00265736"/>
    <w:rsid w:val="00265A44"/>
    <w:rsid w:val="00266A8F"/>
    <w:rsid w:val="00270CDD"/>
    <w:rsid w:val="00271364"/>
    <w:rsid w:val="00271BEA"/>
    <w:rsid w:val="00272EA9"/>
    <w:rsid w:val="002740FA"/>
    <w:rsid w:val="002747FF"/>
    <w:rsid w:val="00275B2C"/>
    <w:rsid w:val="00277550"/>
    <w:rsid w:val="002776EB"/>
    <w:rsid w:val="002803F3"/>
    <w:rsid w:val="00281720"/>
    <w:rsid w:val="002825D4"/>
    <w:rsid w:val="00283009"/>
    <w:rsid w:val="002835FD"/>
    <w:rsid w:val="0028371D"/>
    <w:rsid w:val="00284457"/>
    <w:rsid w:val="00286040"/>
    <w:rsid w:val="00286329"/>
    <w:rsid w:val="00286B60"/>
    <w:rsid w:val="002900DA"/>
    <w:rsid w:val="002916F6"/>
    <w:rsid w:val="00291965"/>
    <w:rsid w:val="002921C8"/>
    <w:rsid w:val="002923D0"/>
    <w:rsid w:val="00292B5B"/>
    <w:rsid w:val="00292F83"/>
    <w:rsid w:val="00293678"/>
    <w:rsid w:val="0029400D"/>
    <w:rsid w:val="00294060"/>
    <w:rsid w:val="0029599C"/>
    <w:rsid w:val="0029754B"/>
    <w:rsid w:val="0029772C"/>
    <w:rsid w:val="002A3685"/>
    <w:rsid w:val="002A46D7"/>
    <w:rsid w:val="002A4FFC"/>
    <w:rsid w:val="002A5259"/>
    <w:rsid w:val="002A5F3C"/>
    <w:rsid w:val="002A7AC5"/>
    <w:rsid w:val="002B00EF"/>
    <w:rsid w:val="002B1E99"/>
    <w:rsid w:val="002B264B"/>
    <w:rsid w:val="002B3C10"/>
    <w:rsid w:val="002B4F46"/>
    <w:rsid w:val="002B52E4"/>
    <w:rsid w:val="002B5ADA"/>
    <w:rsid w:val="002B6FBD"/>
    <w:rsid w:val="002C322A"/>
    <w:rsid w:val="002C4388"/>
    <w:rsid w:val="002C4495"/>
    <w:rsid w:val="002C57BB"/>
    <w:rsid w:val="002C7399"/>
    <w:rsid w:val="002D2CB6"/>
    <w:rsid w:val="002D2DE9"/>
    <w:rsid w:val="002D490E"/>
    <w:rsid w:val="002D5100"/>
    <w:rsid w:val="002D5E1D"/>
    <w:rsid w:val="002E0D58"/>
    <w:rsid w:val="002E1708"/>
    <w:rsid w:val="002E363F"/>
    <w:rsid w:val="002E4EBA"/>
    <w:rsid w:val="002F0604"/>
    <w:rsid w:val="002F165E"/>
    <w:rsid w:val="002F186F"/>
    <w:rsid w:val="002F5048"/>
    <w:rsid w:val="002F553B"/>
    <w:rsid w:val="002F59C9"/>
    <w:rsid w:val="002F6C57"/>
    <w:rsid w:val="002F6DB5"/>
    <w:rsid w:val="0030029F"/>
    <w:rsid w:val="00302FE0"/>
    <w:rsid w:val="00305C2B"/>
    <w:rsid w:val="003069DE"/>
    <w:rsid w:val="003071D8"/>
    <w:rsid w:val="00307AE2"/>
    <w:rsid w:val="00311146"/>
    <w:rsid w:val="0031120C"/>
    <w:rsid w:val="0031186C"/>
    <w:rsid w:val="00313891"/>
    <w:rsid w:val="003151E0"/>
    <w:rsid w:val="003227EB"/>
    <w:rsid w:val="00325EF7"/>
    <w:rsid w:val="00327D16"/>
    <w:rsid w:val="00330AD6"/>
    <w:rsid w:val="00330F4A"/>
    <w:rsid w:val="0033279A"/>
    <w:rsid w:val="00332C2E"/>
    <w:rsid w:val="003334E0"/>
    <w:rsid w:val="00336055"/>
    <w:rsid w:val="003377FE"/>
    <w:rsid w:val="00340286"/>
    <w:rsid w:val="00340DA1"/>
    <w:rsid w:val="00340E27"/>
    <w:rsid w:val="003416A0"/>
    <w:rsid w:val="003426EC"/>
    <w:rsid w:val="003441B5"/>
    <w:rsid w:val="00344709"/>
    <w:rsid w:val="00344AE3"/>
    <w:rsid w:val="00344F44"/>
    <w:rsid w:val="0034588E"/>
    <w:rsid w:val="003506FE"/>
    <w:rsid w:val="00350A08"/>
    <w:rsid w:val="00350A2A"/>
    <w:rsid w:val="00351650"/>
    <w:rsid w:val="00351812"/>
    <w:rsid w:val="00353B08"/>
    <w:rsid w:val="00354949"/>
    <w:rsid w:val="00354D5E"/>
    <w:rsid w:val="00357F9F"/>
    <w:rsid w:val="00360117"/>
    <w:rsid w:val="00360469"/>
    <w:rsid w:val="00361C0D"/>
    <w:rsid w:val="003662BC"/>
    <w:rsid w:val="003663B4"/>
    <w:rsid w:val="00371902"/>
    <w:rsid w:val="00371D9F"/>
    <w:rsid w:val="00372BDD"/>
    <w:rsid w:val="003739C3"/>
    <w:rsid w:val="00374747"/>
    <w:rsid w:val="00376892"/>
    <w:rsid w:val="003808FC"/>
    <w:rsid w:val="00380B45"/>
    <w:rsid w:val="00381C24"/>
    <w:rsid w:val="00383E6B"/>
    <w:rsid w:val="0038513F"/>
    <w:rsid w:val="003852A5"/>
    <w:rsid w:val="0038562C"/>
    <w:rsid w:val="00385B8B"/>
    <w:rsid w:val="00387C61"/>
    <w:rsid w:val="00387F4F"/>
    <w:rsid w:val="00390773"/>
    <w:rsid w:val="003949E8"/>
    <w:rsid w:val="00395856"/>
    <w:rsid w:val="0039735B"/>
    <w:rsid w:val="0039759A"/>
    <w:rsid w:val="003A05DD"/>
    <w:rsid w:val="003A1062"/>
    <w:rsid w:val="003A3614"/>
    <w:rsid w:val="003A3CE5"/>
    <w:rsid w:val="003A432A"/>
    <w:rsid w:val="003A6415"/>
    <w:rsid w:val="003A7D4C"/>
    <w:rsid w:val="003B0204"/>
    <w:rsid w:val="003B3755"/>
    <w:rsid w:val="003B4A96"/>
    <w:rsid w:val="003B4BBA"/>
    <w:rsid w:val="003B5D08"/>
    <w:rsid w:val="003B61B3"/>
    <w:rsid w:val="003B6A1A"/>
    <w:rsid w:val="003C0012"/>
    <w:rsid w:val="003C0F84"/>
    <w:rsid w:val="003C13AE"/>
    <w:rsid w:val="003C159B"/>
    <w:rsid w:val="003C16AE"/>
    <w:rsid w:val="003C3E3D"/>
    <w:rsid w:val="003C3F18"/>
    <w:rsid w:val="003C4BF9"/>
    <w:rsid w:val="003C51DC"/>
    <w:rsid w:val="003C5F98"/>
    <w:rsid w:val="003C64C5"/>
    <w:rsid w:val="003C6E1F"/>
    <w:rsid w:val="003C718C"/>
    <w:rsid w:val="003D4108"/>
    <w:rsid w:val="003D5B6D"/>
    <w:rsid w:val="003D7826"/>
    <w:rsid w:val="003E33E8"/>
    <w:rsid w:val="003E3B6B"/>
    <w:rsid w:val="003E3CF5"/>
    <w:rsid w:val="003E69ED"/>
    <w:rsid w:val="003F348D"/>
    <w:rsid w:val="003F3A22"/>
    <w:rsid w:val="003F4040"/>
    <w:rsid w:val="003F5767"/>
    <w:rsid w:val="003F664A"/>
    <w:rsid w:val="00400F92"/>
    <w:rsid w:val="004011F1"/>
    <w:rsid w:val="00402A89"/>
    <w:rsid w:val="0040348F"/>
    <w:rsid w:val="00403B60"/>
    <w:rsid w:val="0040484A"/>
    <w:rsid w:val="00405B99"/>
    <w:rsid w:val="004061DC"/>
    <w:rsid w:val="00407C3A"/>
    <w:rsid w:val="00410177"/>
    <w:rsid w:val="00410B4C"/>
    <w:rsid w:val="00410D55"/>
    <w:rsid w:val="0041109C"/>
    <w:rsid w:val="0041149A"/>
    <w:rsid w:val="00411B18"/>
    <w:rsid w:val="00412E14"/>
    <w:rsid w:val="004130ED"/>
    <w:rsid w:val="00414397"/>
    <w:rsid w:val="00414F75"/>
    <w:rsid w:val="0041526A"/>
    <w:rsid w:val="0041776E"/>
    <w:rsid w:val="00417852"/>
    <w:rsid w:val="00420412"/>
    <w:rsid w:val="00421577"/>
    <w:rsid w:val="004215FF"/>
    <w:rsid w:val="00423011"/>
    <w:rsid w:val="00424583"/>
    <w:rsid w:val="004269CD"/>
    <w:rsid w:val="00427916"/>
    <w:rsid w:val="0043088E"/>
    <w:rsid w:val="00431CF5"/>
    <w:rsid w:val="00431D2C"/>
    <w:rsid w:val="00433029"/>
    <w:rsid w:val="00433459"/>
    <w:rsid w:val="00435C5F"/>
    <w:rsid w:val="00440CCF"/>
    <w:rsid w:val="00441296"/>
    <w:rsid w:val="00444F3D"/>
    <w:rsid w:val="00445866"/>
    <w:rsid w:val="004459B4"/>
    <w:rsid w:val="004462D1"/>
    <w:rsid w:val="004517B2"/>
    <w:rsid w:val="0045266F"/>
    <w:rsid w:val="004528BA"/>
    <w:rsid w:val="00456B3C"/>
    <w:rsid w:val="004571FF"/>
    <w:rsid w:val="0046104A"/>
    <w:rsid w:val="00463312"/>
    <w:rsid w:val="004633B4"/>
    <w:rsid w:val="004648E6"/>
    <w:rsid w:val="00465816"/>
    <w:rsid w:val="00466323"/>
    <w:rsid w:val="0046637E"/>
    <w:rsid w:val="00470865"/>
    <w:rsid w:val="00471EB3"/>
    <w:rsid w:val="00474277"/>
    <w:rsid w:val="00474C2C"/>
    <w:rsid w:val="0047526A"/>
    <w:rsid w:val="0047565B"/>
    <w:rsid w:val="00475794"/>
    <w:rsid w:val="00476953"/>
    <w:rsid w:val="00476D89"/>
    <w:rsid w:val="00477C53"/>
    <w:rsid w:val="00477F54"/>
    <w:rsid w:val="00480AA8"/>
    <w:rsid w:val="00480BA0"/>
    <w:rsid w:val="00480E90"/>
    <w:rsid w:val="00482151"/>
    <w:rsid w:val="00482807"/>
    <w:rsid w:val="00484309"/>
    <w:rsid w:val="004861E6"/>
    <w:rsid w:val="00487344"/>
    <w:rsid w:val="00487A2E"/>
    <w:rsid w:val="00487A69"/>
    <w:rsid w:val="0049014C"/>
    <w:rsid w:val="00491B48"/>
    <w:rsid w:val="00492F91"/>
    <w:rsid w:val="0049401E"/>
    <w:rsid w:val="00494A2F"/>
    <w:rsid w:val="00494F35"/>
    <w:rsid w:val="0049592D"/>
    <w:rsid w:val="00495ECE"/>
    <w:rsid w:val="00496AC7"/>
    <w:rsid w:val="00496BA7"/>
    <w:rsid w:val="00497A10"/>
    <w:rsid w:val="00497CBA"/>
    <w:rsid w:val="004A254F"/>
    <w:rsid w:val="004A2DA0"/>
    <w:rsid w:val="004A3065"/>
    <w:rsid w:val="004A34FE"/>
    <w:rsid w:val="004A3AC1"/>
    <w:rsid w:val="004A3BC2"/>
    <w:rsid w:val="004A42B7"/>
    <w:rsid w:val="004A4ED2"/>
    <w:rsid w:val="004A4F7F"/>
    <w:rsid w:val="004A69E2"/>
    <w:rsid w:val="004A7A48"/>
    <w:rsid w:val="004B1DCF"/>
    <w:rsid w:val="004B2849"/>
    <w:rsid w:val="004B3B3B"/>
    <w:rsid w:val="004B43AB"/>
    <w:rsid w:val="004B463F"/>
    <w:rsid w:val="004B5045"/>
    <w:rsid w:val="004B6E39"/>
    <w:rsid w:val="004C0CED"/>
    <w:rsid w:val="004C1176"/>
    <w:rsid w:val="004C309F"/>
    <w:rsid w:val="004D0CCC"/>
    <w:rsid w:val="004D0CF5"/>
    <w:rsid w:val="004D45DA"/>
    <w:rsid w:val="004D4BE6"/>
    <w:rsid w:val="004D53A3"/>
    <w:rsid w:val="004D6200"/>
    <w:rsid w:val="004D740C"/>
    <w:rsid w:val="004E3C7D"/>
    <w:rsid w:val="004E5996"/>
    <w:rsid w:val="004F00C6"/>
    <w:rsid w:val="004F1835"/>
    <w:rsid w:val="004F2CCE"/>
    <w:rsid w:val="004F2ED7"/>
    <w:rsid w:val="004F3012"/>
    <w:rsid w:val="004F4393"/>
    <w:rsid w:val="004F4536"/>
    <w:rsid w:val="004F4B75"/>
    <w:rsid w:val="004F5D16"/>
    <w:rsid w:val="004F7F1F"/>
    <w:rsid w:val="00501118"/>
    <w:rsid w:val="005014E8"/>
    <w:rsid w:val="0050174F"/>
    <w:rsid w:val="00503BCE"/>
    <w:rsid w:val="0050687A"/>
    <w:rsid w:val="00506D33"/>
    <w:rsid w:val="00510ABC"/>
    <w:rsid w:val="005135C1"/>
    <w:rsid w:val="005143EE"/>
    <w:rsid w:val="00515833"/>
    <w:rsid w:val="00515E0D"/>
    <w:rsid w:val="00521DD8"/>
    <w:rsid w:val="0052319B"/>
    <w:rsid w:val="00523D38"/>
    <w:rsid w:val="00525BBB"/>
    <w:rsid w:val="0052776A"/>
    <w:rsid w:val="00527EBE"/>
    <w:rsid w:val="00530108"/>
    <w:rsid w:val="00531AE6"/>
    <w:rsid w:val="00532AFB"/>
    <w:rsid w:val="00533CD4"/>
    <w:rsid w:val="005351F8"/>
    <w:rsid w:val="005353DC"/>
    <w:rsid w:val="00540788"/>
    <w:rsid w:val="00541107"/>
    <w:rsid w:val="0054118A"/>
    <w:rsid w:val="00543294"/>
    <w:rsid w:val="00543554"/>
    <w:rsid w:val="005449D3"/>
    <w:rsid w:val="0054525A"/>
    <w:rsid w:val="005459EE"/>
    <w:rsid w:val="0054681E"/>
    <w:rsid w:val="00546C16"/>
    <w:rsid w:val="00546C64"/>
    <w:rsid w:val="00547147"/>
    <w:rsid w:val="005504B0"/>
    <w:rsid w:val="00551ED1"/>
    <w:rsid w:val="00551F76"/>
    <w:rsid w:val="00553FBA"/>
    <w:rsid w:val="00556B7E"/>
    <w:rsid w:val="00556E22"/>
    <w:rsid w:val="00560509"/>
    <w:rsid w:val="00560A39"/>
    <w:rsid w:val="00561136"/>
    <w:rsid w:val="00562304"/>
    <w:rsid w:val="005626BC"/>
    <w:rsid w:val="005627FA"/>
    <w:rsid w:val="005633FC"/>
    <w:rsid w:val="005638FE"/>
    <w:rsid w:val="00563A46"/>
    <w:rsid w:val="0056402A"/>
    <w:rsid w:val="00564592"/>
    <w:rsid w:val="00565F47"/>
    <w:rsid w:val="00567C6C"/>
    <w:rsid w:val="00570995"/>
    <w:rsid w:val="0057126C"/>
    <w:rsid w:val="00571343"/>
    <w:rsid w:val="005714F7"/>
    <w:rsid w:val="00571F58"/>
    <w:rsid w:val="00571FD3"/>
    <w:rsid w:val="00573285"/>
    <w:rsid w:val="00573D21"/>
    <w:rsid w:val="00576182"/>
    <w:rsid w:val="005772CB"/>
    <w:rsid w:val="00577672"/>
    <w:rsid w:val="0057783A"/>
    <w:rsid w:val="00581657"/>
    <w:rsid w:val="00583500"/>
    <w:rsid w:val="0058355B"/>
    <w:rsid w:val="005837BF"/>
    <w:rsid w:val="00583E3B"/>
    <w:rsid w:val="005840D5"/>
    <w:rsid w:val="0058428A"/>
    <w:rsid w:val="005870FE"/>
    <w:rsid w:val="00587A01"/>
    <w:rsid w:val="00593938"/>
    <w:rsid w:val="00593EB9"/>
    <w:rsid w:val="005955AE"/>
    <w:rsid w:val="005A16D6"/>
    <w:rsid w:val="005A195E"/>
    <w:rsid w:val="005A334D"/>
    <w:rsid w:val="005A3543"/>
    <w:rsid w:val="005A3A2C"/>
    <w:rsid w:val="005A57BA"/>
    <w:rsid w:val="005A6E54"/>
    <w:rsid w:val="005B0428"/>
    <w:rsid w:val="005B069B"/>
    <w:rsid w:val="005B0E07"/>
    <w:rsid w:val="005B2E7B"/>
    <w:rsid w:val="005B3150"/>
    <w:rsid w:val="005B31BD"/>
    <w:rsid w:val="005B4D78"/>
    <w:rsid w:val="005B5CFD"/>
    <w:rsid w:val="005B698C"/>
    <w:rsid w:val="005B6C70"/>
    <w:rsid w:val="005C0274"/>
    <w:rsid w:val="005C036D"/>
    <w:rsid w:val="005C0FED"/>
    <w:rsid w:val="005C3959"/>
    <w:rsid w:val="005C4789"/>
    <w:rsid w:val="005C501A"/>
    <w:rsid w:val="005D0E54"/>
    <w:rsid w:val="005D13CF"/>
    <w:rsid w:val="005D3D00"/>
    <w:rsid w:val="005D44C6"/>
    <w:rsid w:val="005D4A9D"/>
    <w:rsid w:val="005D5BC2"/>
    <w:rsid w:val="005D6F21"/>
    <w:rsid w:val="005E00E5"/>
    <w:rsid w:val="005E111D"/>
    <w:rsid w:val="005E1335"/>
    <w:rsid w:val="005E22C4"/>
    <w:rsid w:val="005E2329"/>
    <w:rsid w:val="005E2B22"/>
    <w:rsid w:val="005E2E71"/>
    <w:rsid w:val="005E48A7"/>
    <w:rsid w:val="005E6981"/>
    <w:rsid w:val="005E7D42"/>
    <w:rsid w:val="005F1669"/>
    <w:rsid w:val="005F1B29"/>
    <w:rsid w:val="005F25C8"/>
    <w:rsid w:val="005F2AE9"/>
    <w:rsid w:val="005F3D91"/>
    <w:rsid w:val="005F54EF"/>
    <w:rsid w:val="005F574F"/>
    <w:rsid w:val="005F5BF9"/>
    <w:rsid w:val="005F742E"/>
    <w:rsid w:val="006000E7"/>
    <w:rsid w:val="00600766"/>
    <w:rsid w:val="00603CD2"/>
    <w:rsid w:val="00604233"/>
    <w:rsid w:val="0060452D"/>
    <w:rsid w:val="0060641A"/>
    <w:rsid w:val="00606679"/>
    <w:rsid w:val="00607005"/>
    <w:rsid w:val="00607E0B"/>
    <w:rsid w:val="00612CE8"/>
    <w:rsid w:val="00614A73"/>
    <w:rsid w:val="00614C2D"/>
    <w:rsid w:val="0061533D"/>
    <w:rsid w:val="00617D1A"/>
    <w:rsid w:val="00621EC1"/>
    <w:rsid w:val="00622FF2"/>
    <w:rsid w:val="006236F4"/>
    <w:rsid w:val="00624154"/>
    <w:rsid w:val="006250BF"/>
    <w:rsid w:val="00625A11"/>
    <w:rsid w:val="00626912"/>
    <w:rsid w:val="0062784C"/>
    <w:rsid w:val="00627D4E"/>
    <w:rsid w:val="006304DA"/>
    <w:rsid w:val="00631C27"/>
    <w:rsid w:val="00632768"/>
    <w:rsid w:val="006340E0"/>
    <w:rsid w:val="00634546"/>
    <w:rsid w:val="006347BD"/>
    <w:rsid w:val="00635521"/>
    <w:rsid w:val="00635788"/>
    <w:rsid w:val="00636187"/>
    <w:rsid w:val="00636FD0"/>
    <w:rsid w:val="00641FB4"/>
    <w:rsid w:val="00642B83"/>
    <w:rsid w:val="006451C6"/>
    <w:rsid w:val="006455B3"/>
    <w:rsid w:val="0064560D"/>
    <w:rsid w:val="006467C2"/>
    <w:rsid w:val="00646FCE"/>
    <w:rsid w:val="00647584"/>
    <w:rsid w:val="006478D2"/>
    <w:rsid w:val="00650667"/>
    <w:rsid w:val="00650EB2"/>
    <w:rsid w:val="006513AE"/>
    <w:rsid w:val="00652B07"/>
    <w:rsid w:val="00652B63"/>
    <w:rsid w:val="0065462A"/>
    <w:rsid w:val="00654667"/>
    <w:rsid w:val="006549EA"/>
    <w:rsid w:val="00654A4E"/>
    <w:rsid w:val="00655072"/>
    <w:rsid w:val="00655E41"/>
    <w:rsid w:val="0065622D"/>
    <w:rsid w:val="00660649"/>
    <w:rsid w:val="006607E1"/>
    <w:rsid w:val="006636EE"/>
    <w:rsid w:val="00665854"/>
    <w:rsid w:val="00665EE7"/>
    <w:rsid w:val="0066674B"/>
    <w:rsid w:val="00670074"/>
    <w:rsid w:val="00670CA7"/>
    <w:rsid w:val="00671AF5"/>
    <w:rsid w:val="00677104"/>
    <w:rsid w:val="0067747C"/>
    <w:rsid w:val="00680C49"/>
    <w:rsid w:val="0068148E"/>
    <w:rsid w:val="006815C1"/>
    <w:rsid w:val="00681A43"/>
    <w:rsid w:val="00681A97"/>
    <w:rsid w:val="00681B6D"/>
    <w:rsid w:val="00682272"/>
    <w:rsid w:val="00682800"/>
    <w:rsid w:val="006828F6"/>
    <w:rsid w:val="0068368A"/>
    <w:rsid w:val="00683C88"/>
    <w:rsid w:val="00686457"/>
    <w:rsid w:val="0068685A"/>
    <w:rsid w:val="00687D72"/>
    <w:rsid w:val="00691DDC"/>
    <w:rsid w:val="00692D32"/>
    <w:rsid w:val="00693608"/>
    <w:rsid w:val="0069395F"/>
    <w:rsid w:val="00695FF0"/>
    <w:rsid w:val="00696436"/>
    <w:rsid w:val="00697521"/>
    <w:rsid w:val="006A09C3"/>
    <w:rsid w:val="006A2F2A"/>
    <w:rsid w:val="006A4F21"/>
    <w:rsid w:val="006A4F92"/>
    <w:rsid w:val="006A7BBA"/>
    <w:rsid w:val="006B2422"/>
    <w:rsid w:val="006B6D6F"/>
    <w:rsid w:val="006C0429"/>
    <w:rsid w:val="006C0F79"/>
    <w:rsid w:val="006C1343"/>
    <w:rsid w:val="006C35EC"/>
    <w:rsid w:val="006C3C69"/>
    <w:rsid w:val="006C457D"/>
    <w:rsid w:val="006C49A9"/>
    <w:rsid w:val="006C4C73"/>
    <w:rsid w:val="006C6DC3"/>
    <w:rsid w:val="006D017A"/>
    <w:rsid w:val="006D0E5A"/>
    <w:rsid w:val="006D132E"/>
    <w:rsid w:val="006D23ED"/>
    <w:rsid w:val="006D5255"/>
    <w:rsid w:val="006D6EFE"/>
    <w:rsid w:val="006E0F3C"/>
    <w:rsid w:val="006E1061"/>
    <w:rsid w:val="006E1512"/>
    <w:rsid w:val="006E20CA"/>
    <w:rsid w:val="006E25B9"/>
    <w:rsid w:val="006E2A0A"/>
    <w:rsid w:val="006E349C"/>
    <w:rsid w:val="006E3C41"/>
    <w:rsid w:val="006E5475"/>
    <w:rsid w:val="006E5B2C"/>
    <w:rsid w:val="006F067C"/>
    <w:rsid w:val="006F1A81"/>
    <w:rsid w:val="006F2B9D"/>
    <w:rsid w:val="006F3EB4"/>
    <w:rsid w:val="006F52E7"/>
    <w:rsid w:val="006F7A3E"/>
    <w:rsid w:val="00701036"/>
    <w:rsid w:val="007020BE"/>
    <w:rsid w:val="00702A67"/>
    <w:rsid w:val="00703176"/>
    <w:rsid w:val="007032DA"/>
    <w:rsid w:val="00703376"/>
    <w:rsid w:val="00710592"/>
    <w:rsid w:val="007123E8"/>
    <w:rsid w:val="007130DA"/>
    <w:rsid w:val="00714C0E"/>
    <w:rsid w:val="00716CCA"/>
    <w:rsid w:val="00717949"/>
    <w:rsid w:val="00720C68"/>
    <w:rsid w:val="00723057"/>
    <w:rsid w:val="00723538"/>
    <w:rsid w:val="00724B9B"/>
    <w:rsid w:val="007251C8"/>
    <w:rsid w:val="007271F2"/>
    <w:rsid w:val="00734989"/>
    <w:rsid w:val="0073656B"/>
    <w:rsid w:val="00740D37"/>
    <w:rsid w:val="00741A0C"/>
    <w:rsid w:val="00741BF1"/>
    <w:rsid w:val="007425CB"/>
    <w:rsid w:val="0074369B"/>
    <w:rsid w:val="00743C4D"/>
    <w:rsid w:val="007442B3"/>
    <w:rsid w:val="0074524B"/>
    <w:rsid w:val="00745593"/>
    <w:rsid w:val="00751AB4"/>
    <w:rsid w:val="00754B82"/>
    <w:rsid w:val="0075673A"/>
    <w:rsid w:val="00756E78"/>
    <w:rsid w:val="00757EEA"/>
    <w:rsid w:val="00757F0E"/>
    <w:rsid w:val="0076201D"/>
    <w:rsid w:val="007640A9"/>
    <w:rsid w:val="007644DC"/>
    <w:rsid w:val="00764569"/>
    <w:rsid w:val="00764E99"/>
    <w:rsid w:val="00765958"/>
    <w:rsid w:val="00767AA3"/>
    <w:rsid w:val="00771219"/>
    <w:rsid w:val="007715C4"/>
    <w:rsid w:val="00771652"/>
    <w:rsid w:val="00772886"/>
    <w:rsid w:val="00773656"/>
    <w:rsid w:val="00774483"/>
    <w:rsid w:val="00776543"/>
    <w:rsid w:val="00776F8F"/>
    <w:rsid w:val="00777E41"/>
    <w:rsid w:val="00780229"/>
    <w:rsid w:val="007853B3"/>
    <w:rsid w:val="00785966"/>
    <w:rsid w:val="00785AF0"/>
    <w:rsid w:val="00787767"/>
    <w:rsid w:val="00787EC9"/>
    <w:rsid w:val="00791775"/>
    <w:rsid w:val="0079323E"/>
    <w:rsid w:val="00793D07"/>
    <w:rsid w:val="0079547F"/>
    <w:rsid w:val="007961CE"/>
    <w:rsid w:val="00796928"/>
    <w:rsid w:val="00796B78"/>
    <w:rsid w:val="00796EDA"/>
    <w:rsid w:val="007973F8"/>
    <w:rsid w:val="007A0CB5"/>
    <w:rsid w:val="007A1623"/>
    <w:rsid w:val="007A276D"/>
    <w:rsid w:val="007A38C0"/>
    <w:rsid w:val="007A4598"/>
    <w:rsid w:val="007A6068"/>
    <w:rsid w:val="007A664B"/>
    <w:rsid w:val="007A77C2"/>
    <w:rsid w:val="007B0961"/>
    <w:rsid w:val="007B19E2"/>
    <w:rsid w:val="007B35E2"/>
    <w:rsid w:val="007B38A7"/>
    <w:rsid w:val="007B4815"/>
    <w:rsid w:val="007B5006"/>
    <w:rsid w:val="007B5084"/>
    <w:rsid w:val="007C00D6"/>
    <w:rsid w:val="007C29FB"/>
    <w:rsid w:val="007C3056"/>
    <w:rsid w:val="007C4D37"/>
    <w:rsid w:val="007C554D"/>
    <w:rsid w:val="007C6F41"/>
    <w:rsid w:val="007D0FEE"/>
    <w:rsid w:val="007D1C32"/>
    <w:rsid w:val="007D382E"/>
    <w:rsid w:val="007D48CC"/>
    <w:rsid w:val="007D5D30"/>
    <w:rsid w:val="007D67F8"/>
    <w:rsid w:val="007D6A92"/>
    <w:rsid w:val="007D7FEC"/>
    <w:rsid w:val="007E08BE"/>
    <w:rsid w:val="007E1837"/>
    <w:rsid w:val="007E1C6D"/>
    <w:rsid w:val="007E2685"/>
    <w:rsid w:val="007E50D1"/>
    <w:rsid w:val="007E6DDA"/>
    <w:rsid w:val="007E7030"/>
    <w:rsid w:val="007F0B65"/>
    <w:rsid w:val="007F36D4"/>
    <w:rsid w:val="007F4188"/>
    <w:rsid w:val="007F5441"/>
    <w:rsid w:val="007F6332"/>
    <w:rsid w:val="008028E1"/>
    <w:rsid w:val="00802D1F"/>
    <w:rsid w:val="00802D8B"/>
    <w:rsid w:val="00803177"/>
    <w:rsid w:val="00803F11"/>
    <w:rsid w:val="008042C7"/>
    <w:rsid w:val="00804BEB"/>
    <w:rsid w:val="00805EEC"/>
    <w:rsid w:val="008062AB"/>
    <w:rsid w:val="00806CE7"/>
    <w:rsid w:val="008195CE"/>
    <w:rsid w:val="00820BAC"/>
    <w:rsid w:val="008214B6"/>
    <w:rsid w:val="00822AF6"/>
    <w:rsid w:val="00823240"/>
    <w:rsid w:val="00827198"/>
    <w:rsid w:val="0083087A"/>
    <w:rsid w:val="00831E43"/>
    <w:rsid w:val="00832DA8"/>
    <w:rsid w:val="00833543"/>
    <w:rsid w:val="00834D6D"/>
    <w:rsid w:val="00834D78"/>
    <w:rsid w:val="00836658"/>
    <w:rsid w:val="00836B27"/>
    <w:rsid w:val="00836C2C"/>
    <w:rsid w:val="00836F3E"/>
    <w:rsid w:val="0083722A"/>
    <w:rsid w:val="00837FDD"/>
    <w:rsid w:val="00840639"/>
    <w:rsid w:val="00842010"/>
    <w:rsid w:val="00842267"/>
    <w:rsid w:val="0084329F"/>
    <w:rsid w:val="00844541"/>
    <w:rsid w:val="00845243"/>
    <w:rsid w:val="0084594A"/>
    <w:rsid w:val="00847949"/>
    <w:rsid w:val="0085024C"/>
    <w:rsid w:val="00851E3A"/>
    <w:rsid w:val="008522A0"/>
    <w:rsid w:val="00855BDB"/>
    <w:rsid w:val="00856318"/>
    <w:rsid w:val="00856354"/>
    <w:rsid w:val="008567EC"/>
    <w:rsid w:val="0085681D"/>
    <w:rsid w:val="00860188"/>
    <w:rsid w:val="00865074"/>
    <w:rsid w:val="00866BBE"/>
    <w:rsid w:val="0086737D"/>
    <w:rsid w:val="008673A0"/>
    <w:rsid w:val="00867BD6"/>
    <w:rsid w:val="008706C9"/>
    <w:rsid w:val="00870F7D"/>
    <w:rsid w:val="00871175"/>
    <w:rsid w:val="0087160D"/>
    <w:rsid w:val="0087285B"/>
    <w:rsid w:val="0087285E"/>
    <w:rsid w:val="00875138"/>
    <w:rsid w:val="008751F3"/>
    <w:rsid w:val="00875B02"/>
    <w:rsid w:val="00876133"/>
    <w:rsid w:val="0087784A"/>
    <w:rsid w:val="00877A8C"/>
    <w:rsid w:val="00880353"/>
    <w:rsid w:val="00880E2A"/>
    <w:rsid w:val="008832F3"/>
    <w:rsid w:val="00883EBB"/>
    <w:rsid w:val="00884F30"/>
    <w:rsid w:val="008851D1"/>
    <w:rsid w:val="008859D1"/>
    <w:rsid w:val="00885D18"/>
    <w:rsid w:val="008877B1"/>
    <w:rsid w:val="00887ABF"/>
    <w:rsid w:val="00890C3C"/>
    <w:rsid w:val="00890F31"/>
    <w:rsid w:val="00891FB3"/>
    <w:rsid w:val="00895585"/>
    <w:rsid w:val="00895AD5"/>
    <w:rsid w:val="0089798A"/>
    <w:rsid w:val="008A3F87"/>
    <w:rsid w:val="008A47B7"/>
    <w:rsid w:val="008A7788"/>
    <w:rsid w:val="008B0301"/>
    <w:rsid w:val="008B068B"/>
    <w:rsid w:val="008B0743"/>
    <w:rsid w:val="008B07BA"/>
    <w:rsid w:val="008B07FA"/>
    <w:rsid w:val="008B0A59"/>
    <w:rsid w:val="008B1DB8"/>
    <w:rsid w:val="008B2DA4"/>
    <w:rsid w:val="008B36B4"/>
    <w:rsid w:val="008B5B8B"/>
    <w:rsid w:val="008B6DAC"/>
    <w:rsid w:val="008C04B4"/>
    <w:rsid w:val="008C097D"/>
    <w:rsid w:val="008C144B"/>
    <w:rsid w:val="008C2893"/>
    <w:rsid w:val="008C3C2A"/>
    <w:rsid w:val="008C5EA3"/>
    <w:rsid w:val="008D004E"/>
    <w:rsid w:val="008D08D0"/>
    <w:rsid w:val="008D1611"/>
    <w:rsid w:val="008D2594"/>
    <w:rsid w:val="008D2F9B"/>
    <w:rsid w:val="008D34A4"/>
    <w:rsid w:val="008D3539"/>
    <w:rsid w:val="008D3923"/>
    <w:rsid w:val="008D4502"/>
    <w:rsid w:val="008D5DB9"/>
    <w:rsid w:val="008D65E1"/>
    <w:rsid w:val="008D7B1F"/>
    <w:rsid w:val="008E0EA1"/>
    <w:rsid w:val="008E15E9"/>
    <w:rsid w:val="008E2A9D"/>
    <w:rsid w:val="008E4137"/>
    <w:rsid w:val="008E5AD6"/>
    <w:rsid w:val="008E6789"/>
    <w:rsid w:val="008E6BA0"/>
    <w:rsid w:val="008E764A"/>
    <w:rsid w:val="008F0B4F"/>
    <w:rsid w:val="008F2F47"/>
    <w:rsid w:val="008F3BCA"/>
    <w:rsid w:val="008F4FB7"/>
    <w:rsid w:val="008F6FD6"/>
    <w:rsid w:val="00904A44"/>
    <w:rsid w:val="00906D6C"/>
    <w:rsid w:val="009071D0"/>
    <w:rsid w:val="009108D4"/>
    <w:rsid w:val="00911598"/>
    <w:rsid w:val="0091283E"/>
    <w:rsid w:val="00913AD8"/>
    <w:rsid w:val="0091636A"/>
    <w:rsid w:val="009165A0"/>
    <w:rsid w:val="00916E1B"/>
    <w:rsid w:val="00921E46"/>
    <w:rsid w:val="009230A6"/>
    <w:rsid w:val="0092368A"/>
    <w:rsid w:val="00923C7F"/>
    <w:rsid w:val="00924263"/>
    <w:rsid w:val="00924B22"/>
    <w:rsid w:val="009265C0"/>
    <w:rsid w:val="00926D93"/>
    <w:rsid w:val="009325C6"/>
    <w:rsid w:val="00933016"/>
    <w:rsid w:val="00933274"/>
    <w:rsid w:val="0093370C"/>
    <w:rsid w:val="00933EC4"/>
    <w:rsid w:val="0093701F"/>
    <w:rsid w:val="00941A8B"/>
    <w:rsid w:val="009428DF"/>
    <w:rsid w:val="00943392"/>
    <w:rsid w:val="00943C9B"/>
    <w:rsid w:val="0094566B"/>
    <w:rsid w:val="00945B5D"/>
    <w:rsid w:val="009467D4"/>
    <w:rsid w:val="0094693A"/>
    <w:rsid w:val="00946F05"/>
    <w:rsid w:val="0095030A"/>
    <w:rsid w:val="009507AA"/>
    <w:rsid w:val="009517BE"/>
    <w:rsid w:val="009563BF"/>
    <w:rsid w:val="00956B40"/>
    <w:rsid w:val="00956BC4"/>
    <w:rsid w:val="0096164F"/>
    <w:rsid w:val="00962720"/>
    <w:rsid w:val="00964567"/>
    <w:rsid w:val="00965C2F"/>
    <w:rsid w:val="00966D4F"/>
    <w:rsid w:val="00970CB2"/>
    <w:rsid w:val="00971779"/>
    <w:rsid w:val="009721A7"/>
    <w:rsid w:val="009721C9"/>
    <w:rsid w:val="009740A0"/>
    <w:rsid w:val="009759EA"/>
    <w:rsid w:val="00977E9B"/>
    <w:rsid w:val="0098057F"/>
    <w:rsid w:val="009820EB"/>
    <w:rsid w:val="009831C2"/>
    <w:rsid w:val="00983DDC"/>
    <w:rsid w:val="009847E5"/>
    <w:rsid w:val="009856A3"/>
    <w:rsid w:val="00986A5F"/>
    <w:rsid w:val="00986F0E"/>
    <w:rsid w:val="0098705D"/>
    <w:rsid w:val="00987503"/>
    <w:rsid w:val="00987C3B"/>
    <w:rsid w:val="00990A60"/>
    <w:rsid w:val="009912F5"/>
    <w:rsid w:val="00991BC3"/>
    <w:rsid w:val="00991DD4"/>
    <w:rsid w:val="00991FF7"/>
    <w:rsid w:val="00995EC8"/>
    <w:rsid w:val="0099751E"/>
    <w:rsid w:val="009A07E9"/>
    <w:rsid w:val="009A3299"/>
    <w:rsid w:val="009A36B0"/>
    <w:rsid w:val="009A3923"/>
    <w:rsid w:val="009A4073"/>
    <w:rsid w:val="009A536C"/>
    <w:rsid w:val="009A74CA"/>
    <w:rsid w:val="009A7E9E"/>
    <w:rsid w:val="009B29DB"/>
    <w:rsid w:val="009B29EE"/>
    <w:rsid w:val="009B393A"/>
    <w:rsid w:val="009B3AE0"/>
    <w:rsid w:val="009B4D7B"/>
    <w:rsid w:val="009B4F77"/>
    <w:rsid w:val="009B57D1"/>
    <w:rsid w:val="009B7B6B"/>
    <w:rsid w:val="009B7F2A"/>
    <w:rsid w:val="009C257D"/>
    <w:rsid w:val="009C3028"/>
    <w:rsid w:val="009C5069"/>
    <w:rsid w:val="009C5665"/>
    <w:rsid w:val="009C628D"/>
    <w:rsid w:val="009D0308"/>
    <w:rsid w:val="009D1755"/>
    <w:rsid w:val="009D2013"/>
    <w:rsid w:val="009D40C9"/>
    <w:rsid w:val="009D4CFE"/>
    <w:rsid w:val="009D608C"/>
    <w:rsid w:val="009D6A16"/>
    <w:rsid w:val="009D7B6C"/>
    <w:rsid w:val="009E0AC8"/>
    <w:rsid w:val="009E1E7C"/>
    <w:rsid w:val="009E236D"/>
    <w:rsid w:val="009E2489"/>
    <w:rsid w:val="009E417E"/>
    <w:rsid w:val="009E43C0"/>
    <w:rsid w:val="009E6093"/>
    <w:rsid w:val="009E7568"/>
    <w:rsid w:val="009E7D75"/>
    <w:rsid w:val="009F17C3"/>
    <w:rsid w:val="009F17FC"/>
    <w:rsid w:val="009F2479"/>
    <w:rsid w:val="009F252E"/>
    <w:rsid w:val="009F2D32"/>
    <w:rsid w:val="009F5C8A"/>
    <w:rsid w:val="009F7218"/>
    <w:rsid w:val="00A04B4D"/>
    <w:rsid w:val="00A05164"/>
    <w:rsid w:val="00A0523A"/>
    <w:rsid w:val="00A0547F"/>
    <w:rsid w:val="00A10448"/>
    <w:rsid w:val="00A1056C"/>
    <w:rsid w:val="00A10C64"/>
    <w:rsid w:val="00A141EF"/>
    <w:rsid w:val="00A14254"/>
    <w:rsid w:val="00A14D4D"/>
    <w:rsid w:val="00A1653E"/>
    <w:rsid w:val="00A1689A"/>
    <w:rsid w:val="00A1B1DC"/>
    <w:rsid w:val="00A20F03"/>
    <w:rsid w:val="00A226E7"/>
    <w:rsid w:val="00A22D48"/>
    <w:rsid w:val="00A24709"/>
    <w:rsid w:val="00A27D4A"/>
    <w:rsid w:val="00A32034"/>
    <w:rsid w:val="00A32C1B"/>
    <w:rsid w:val="00A3371B"/>
    <w:rsid w:val="00A33D12"/>
    <w:rsid w:val="00A3457D"/>
    <w:rsid w:val="00A358F5"/>
    <w:rsid w:val="00A35C50"/>
    <w:rsid w:val="00A36ED8"/>
    <w:rsid w:val="00A37373"/>
    <w:rsid w:val="00A401DD"/>
    <w:rsid w:val="00A4289D"/>
    <w:rsid w:val="00A42D96"/>
    <w:rsid w:val="00A433E9"/>
    <w:rsid w:val="00A46B47"/>
    <w:rsid w:val="00A470C6"/>
    <w:rsid w:val="00A4792B"/>
    <w:rsid w:val="00A514F9"/>
    <w:rsid w:val="00A53A02"/>
    <w:rsid w:val="00A53BAE"/>
    <w:rsid w:val="00A5486A"/>
    <w:rsid w:val="00A54D55"/>
    <w:rsid w:val="00A55942"/>
    <w:rsid w:val="00A573F2"/>
    <w:rsid w:val="00A60205"/>
    <w:rsid w:val="00A60750"/>
    <w:rsid w:val="00A610AA"/>
    <w:rsid w:val="00A6175B"/>
    <w:rsid w:val="00A61FE9"/>
    <w:rsid w:val="00A632BA"/>
    <w:rsid w:val="00A633D1"/>
    <w:rsid w:val="00A63A88"/>
    <w:rsid w:val="00A641E7"/>
    <w:rsid w:val="00A64CD3"/>
    <w:rsid w:val="00A64D9E"/>
    <w:rsid w:val="00A650B6"/>
    <w:rsid w:val="00A65312"/>
    <w:rsid w:val="00A668CA"/>
    <w:rsid w:val="00A66A61"/>
    <w:rsid w:val="00A713BE"/>
    <w:rsid w:val="00A71A6D"/>
    <w:rsid w:val="00A722B5"/>
    <w:rsid w:val="00A730C2"/>
    <w:rsid w:val="00A73EDF"/>
    <w:rsid w:val="00A74D7F"/>
    <w:rsid w:val="00A750CC"/>
    <w:rsid w:val="00A7615A"/>
    <w:rsid w:val="00A76FAB"/>
    <w:rsid w:val="00A77180"/>
    <w:rsid w:val="00A80A51"/>
    <w:rsid w:val="00A80F3B"/>
    <w:rsid w:val="00A83604"/>
    <w:rsid w:val="00A85D64"/>
    <w:rsid w:val="00A90BC1"/>
    <w:rsid w:val="00A91744"/>
    <w:rsid w:val="00A92036"/>
    <w:rsid w:val="00A93BDF"/>
    <w:rsid w:val="00A93C9D"/>
    <w:rsid w:val="00A93CD5"/>
    <w:rsid w:val="00A946D4"/>
    <w:rsid w:val="00A95954"/>
    <w:rsid w:val="00AA0C97"/>
    <w:rsid w:val="00AA26FE"/>
    <w:rsid w:val="00AA294A"/>
    <w:rsid w:val="00AA2EDA"/>
    <w:rsid w:val="00AA3352"/>
    <w:rsid w:val="00AA46F4"/>
    <w:rsid w:val="00AA56C5"/>
    <w:rsid w:val="00AA5F71"/>
    <w:rsid w:val="00AA69AA"/>
    <w:rsid w:val="00AA796B"/>
    <w:rsid w:val="00AB1587"/>
    <w:rsid w:val="00AB40E2"/>
    <w:rsid w:val="00AB432B"/>
    <w:rsid w:val="00AB715E"/>
    <w:rsid w:val="00AC01DC"/>
    <w:rsid w:val="00AC0AC0"/>
    <w:rsid w:val="00AC1022"/>
    <w:rsid w:val="00AC2376"/>
    <w:rsid w:val="00AC257F"/>
    <w:rsid w:val="00AC38C6"/>
    <w:rsid w:val="00AC5233"/>
    <w:rsid w:val="00AC6943"/>
    <w:rsid w:val="00AD2188"/>
    <w:rsid w:val="00AD2735"/>
    <w:rsid w:val="00AD2911"/>
    <w:rsid w:val="00AD2B28"/>
    <w:rsid w:val="00AD30B6"/>
    <w:rsid w:val="00AD3358"/>
    <w:rsid w:val="00AD3F2E"/>
    <w:rsid w:val="00AD60D5"/>
    <w:rsid w:val="00AD62C4"/>
    <w:rsid w:val="00AD7A56"/>
    <w:rsid w:val="00AE06AF"/>
    <w:rsid w:val="00AE1123"/>
    <w:rsid w:val="00AE1630"/>
    <w:rsid w:val="00AE2273"/>
    <w:rsid w:val="00AE2EF2"/>
    <w:rsid w:val="00AE3573"/>
    <w:rsid w:val="00AE3980"/>
    <w:rsid w:val="00AE439D"/>
    <w:rsid w:val="00AE5FA1"/>
    <w:rsid w:val="00AE60C2"/>
    <w:rsid w:val="00AF5E4E"/>
    <w:rsid w:val="00AF77A4"/>
    <w:rsid w:val="00B012C3"/>
    <w:rsid w:val="00B01505"/>
    <w:rsid w:val="00B01D8C"/>
    <w:rsid w:val="00B02B82"/>
    <w:rsid w:val="00B06900"/>
    <w:rsid w:val="00B121B2"/>
    <w:rsid w:val="00B12654"/>
    <w:rsid w:val="00B12F86"/>
    <w:rsid w:val="00B1486D"/>
    <w:rsid w:val="00B14955"/>
    <w:rsid w:val="00B1580A"/>
    <w:rsid w:val="00B22709"/>
    <w:rsid w:val="00B234EB"/>
    <w:rsid w:val="00B23E5C"/>
    <w:rsid w:val="00B25617"/>
    <w:rsid w:val="00B2623D"/>
    <w:rsid w:val="00B26EDF"/>
    <w:rsid w:val="00B27112"/>
    <w:rsid w:val="00B271B1"/>
    <w:rsid w:val="00B30234"/>
    <w:rsid w:val="00B31481"/>
    <w:rsid w:val="00B31945"/>
    <w:rsid w:val="00B3458E"/>
    <w:rsid w:val="00B34BBB"/>
    <w:rsid w:val="00B353D5"/>
    <w:rsid w:val="00B35587"/>
    <w:rsid w:val="00B3596F"/>
    <w:rsid w:val="00B369FB"/>
    <w:rsid w:val="00B37051"/>
    <w:rsid w:val="00B40071"/>
    <w:rsid w:val="00B40412"/>
    <w:rsid w:val="00B40AFD"/>
    <w:rsid w:val="00B42545"/>
    <w:rsid w:val="00B42E91"/>
    <w:rsid w:val="00B43AA4"/>
    <w:rsid w:val="00B46118"/>
    <w:rsid w:val="00B50370"/>
    <w:rsid w:val="00B51595"/>
    <w:rsid w:val="00B5277C"/>
    <w:rsid w:val="00B5364A"/>
    <w:rsid w:val="00B55DCC"/>
    <w:rsid w:val="00B55F28"/>
    <w:rsid w:val="00B5761A"/>
    <w:rsid w:val="00B57CA2"/>
    <w:rsid w:val="00B611B8"/>
    <w:rsid w:val="00B618AF"/>
    <w:rsid w:val="00B61DCF"/>
    <w:rsid w:val="00B62F1D"/>
    <w:rsid w:val="00B645F0"/>
    <w:rsid w:val="00B659A1"/>
    <w:rsid w:val="00B664B5"/>
    <w:rsid w:val="00B66623"/>
    <w:rsid w:val="00B67587"/>
    <w:rsid w:val="00B71174"/>
    <w:rsid w:val="00B714D8"/>
    <w:rsid w:val="00B72D6D"/>
    <w:rsid w:val="00B749B7"/>
    <w:rsid w:val="00B74A64"/>
    <w:rsid w:val="00B750D8"/>
    <w:rsid w:val="00B75CBD"/>
    <w:rsid w:val="00B80882"/>
    <w:rsid w:val="00B819E0"/>
    <w:rsid w:val="00B828B9"/>
    <w:rsid w:val="00B84460"/>
    <w:rsid w:val="00B8472E"/>
    <w:rsid w:val="00B84B8E"/>
    <w:rsid w:val="00B84D74"/>
    <w:rsid w:val="00B85540"/>
    <w:rsid w:val="00B85C00"/>
    <w:rsid w:val="00B862FC"/>
    <w:rsid w:val="00B87619"/>
    <w:rsid w:val="00B8789F"/>
    <w:rsid w:val="00B9078D"/>
    <w:rsid w:val="00B91823"/>
    <w:rsid w:val="00B92366"/>
    <w:rsid w:val="00B9302A"/>
    <w:rsid w:val="00B942BD"/>
    <w:rsid w:val="00B96844"/>
    <w:rsid w:val="00BA0BF0"/>
    <w:rsid w:val="00BA1F68"/>
    <w:rsid w:val="00BA2A81"/>
    <w:rsid w:val="00BA2B19"/>
    <w:rsid w:val="00BA3043"/>
    <w:rsid w:val="00BA3AC8"/>
    <w:rsid w:val="00BA3F32"/>
    <w:rsid w:val="00BA50A3"/>
    <w:rsid w:val="00BA5443"/>
    <w:rsid w:val="00BA54D9"/>
    <w:rsid w:val="00BA60BA"/>
    <w:rsid w:val="00BA6DAA"/>
    <w:rsid w:val="00BB08E6"/>
    <w:rsid w:val="00BB1611"/>
    <w:rsid w:val="00BB21AC"/>
    <w:rsid w:val="00BB2396"/>
    <w:rsid w:val="00BB66BC"/>
    <w:rsid w:val="00BB6C29"/>
    <w:rsid w:val="00BC0ECB"/>
    <w:rsid w:val="00BC199F"/>
    <w:rsid w:val="00BC1ECC"/>
    <w:rsid w:val="00BC5A0D"/>
    <w:rsid w:val="00BC6DF9"/>
    <w:rsid w:val="00BD1110"/>
    <w:rsid w:val="00BD23CE"/>
    <w:rsid w:val="00BD43D8"/>
    <w:rsid w:val="00BD68D5"/>
    <w:rsid w:val="00BD7910"/>
    <w:rsid w:val="00BD7F84"/>
    <w:rsid w:val="00BE0850"/>
    <w:rsid w:val="00BE1CB6"/>
    <w:rsid w:val="00BE2B4E"/>
    <w:rsid w:val="00BE3E05"/>
    <w:rsid w:val="00BE4544"/>
    <w:rsid w:val="00BE5151"/>
    <w:rsid w:val="00BE59B4"/>
    <w:rsid w:val="00BE70EC"/>
    <w:rsid w:val="00BF0B58"/>
    <w:rsid w:val="00BF12E4"/>
    <w:rsid w:val="00BF1B7F"/>
    <w:rsid w:val="00BF1BFA"/>
    <w:rsid w:val="00BF1C67"/>
    <w:rsid w:val="00BF1D06"/>
    <w:rsid w:val="00BF2FD1"/>
    <w:rsid w:val="00BF4468"/>
    <w:rsid w:val="00BF45A2"/>
    <w:rsid w:val="00BF577D"/>
    <w:rsid w:val="00BF5D5E"/>
    <w:rsid w:val="00BF62D8"/>
    <w:rsid w:val="00C0086D"/>
    <w:rsid w:val="00C00986"/>
    <w:rsid w:val="00C03A84"/>
    <w:rsid w:val="00C03B87"/>
    <w:rsid w:val="00C04E86"/>
    <w:rsid w:val="00C05B44"/>
    <w:rsid w:val="00C063EE"/>
    <w:rsid w:val="00C07990"/>
    <w:rsid w:val="00C11690"/>
    <w:rsid w:val="00C1244C"/>
    <w:rsid w:val="00C1399E"/>
    <w:rsid w:val="00C158D6"/>
    <w:rsid w:val="00C163B1"/>
    <w:rsid w:val="00C1643D"/>
    <w:rsid w:val="00C1746D"/>
    <w:rsid w:val="00C17911"/>
    <w:rsid w:val="00C17BC9"/>
    <w:rsid w:val="00C17F63"/>
    <w:rsid w:val="00C20959"/>
    <w:rsid w:val="00C22E00"/>
    <w:rsid w:val="00C2461E"/>
    <w:rsid w:val="00C25F32"/>
    <w:rsid w:val="00C3061C"/>
    <w:rsid w:val="00C32670"/>
    <w:rsid w:val="00C32A0E"/>
    <w:rsid w:val="00C33275"/>
    <w:rsid w:val="00C3498D"/>
    <w:rsid w:val="00C349A8"/>
    <w:rsid w:val="00C35853"/>
    <w:rsid w:val="00C37093"/>
    <w:rsid w:val="00C37904"/>
    <w:rsid w:val="00C40629"/>
    <w:rsid w:val="00C40972"/>
    <w:rsid w:val="00C40EDC"/>
    <w:rsid w:val="00C41D2E"/>
    <w:rsid w:val="00C42DF7"/>
    <w:rsid w:val="00C433B4"/>
    <w:rsid w:val="00C43FD1"/>
    <w:rsid w:val="00C44900"/>
    <w:rsid w:val="00C44B46"/>
    <w:rsid w:val="00C45827"/>
    <w:rsid w:val="00C46468"/>
    <w:rsid w:val="00C46F78"/>
    <w:rsid w:val="00C50289"/>
    <w:rsid w:val="00C5051C"/>
    <w:rsid w:val="00C516DF"/>
    <w:rsid w:val="00C52654"/>
    <w:rsid w:val="00C52FDB"/>
    <w:rsid w:val="00C537FE"/>
    <w:rsid w:val="00C557A0"/>
    <w:rsid w:val="00C5632A"/>
    <w:rsid w:val="00C578D7"/>
    <w:rsid w:val="00C57B23"/>
    <w:rsid w:val="00C61E28"/>
    <w:rsid w:val="00C621DD"/>
    <w:rsid w:val="00C622AA"/>
    <w:rsid w:val="00C634C6"/>
    <w:rsid w:val="00C640B7"/>
    <w:rsid w:val="00C65179"/>
    <w:rsid w:val="00C6597C"/>
    <w:rsid w:val="00C65B59"/>
    <w:rsid w:val="00C66658"/>
    <w:rsid w:val="00C66DFD"/>
    <w:rsid w:val="00C712B7"/>
    <w:rsid w:val="00C71A45"/>
    <w:rsid w:val="00C741E9"/>
    <w:rsid w:val="00C754F2"/>
    <w:rsid w:val="00C80BCF"/>
    <w:rsid w:val="00C847FA"/>
    <w:rsid w:val="00C84EF5"/>
    <w:rsid w:val="00C85644"/>
    <w:rsid w:val="00C86FDC"/>
    <w:rsid w:val="00C8731F"/>
    <w:rsid w:val="00C87571"/>
    <w:rsid w:val="00C94E4D"/>
    <w:rsid w:val="00C95CBB"/>
    <w:rsid w:val="00C9685F"/>
    <w:rsid w:val="00C97B92"/>
    <w:rsid w:val="00CA059C"/>
    <w:rsid w:val="00CA09E5"/>
    <w:rsid w:val="00CA1C8F"/>
    <w:rsid w:val="00CA5027"/>
    <w:rsid w:val="00CA5D53"/>
    <w:rsid w:val="00CA6C10"/>
    <w:rsid w:val="00CA779C"/>
    <w:rsid w:val="00CA7A45"/>
    <w:rsid w:val="00CB2841"/>
    <w:rsid w:val="00CB37D7"/>
    <w:rsid w:val="00CB3ECC"/>
    <w:rsid w:val="00CB596F"/>
    <w:rsid w:val="00CB625A"/>
    <w:rsid w:val="00CB7FE3"/>
    <w:rsid w:val="00CC2ABC"/>
    <w:rsid w:val="00CC4842"/>
    <w:rsid w:val="00CC4C75"/>
    <w:rsid w:val="00CC5FE5"/>
    <w:rsid w:val="00CC7129"/>
    <w:rsid w:val="00CD0408"/>
    <w:rsid w:val="00CD0DAC"/>
    <w:rsid w:val="00CD2509"/>
    <w:rsid w:val="00CD3312"/>
    <w:rsid w:val="00CD40D7"/>
    <w:rsid w:val="00CD4660"/>
    <w:rsid w:val="00CD5041"/>
    <w:rsid w:val="00CD5941"/>
    <w:rsid w:val="00CD5ECA"/>
    <w:rsid w:val="00CD63DB"/>
    <w:rsid w:val="00CD7A2E"/>
    <w:rsid w:val="00CE1B1E"/>
    <w:rsid w:val="00CE22C3"/>
    <w:rsid w:val="00CE2C6F"/>
    <w:rsid w:val="00CE30A7"/>
    <w:rsid w:val="00CE39D7"/>
    <w:rsid w:val="00CE3E60"/>
    <w:rsid w:val="00CE7548"/>
    <w:rsid w:val="00CE7BBF"/>
    <w:rsid w:val="00CF052E"/>
    <w:rsid w:val="00CF2F12"/>
    <w:rsid w:val="00CF378A"/>
    <w:rsid w:val="00CF3CBE"/>
    <w:rsid w:val="00CF6199"/>
    <w:rsid w:val="00CF6B7D"/>
    <w:rsid w:val="00D00470"/>
    <w:rsid w:val="00D0064A"/>
    <w:rsid w:val="00D006FB"/>
    <w:rsid w:val="00D01239"/>
    <w:rsid w:val="00D01F61"/>
    <w:rsid w:val="00D03A86"/>
    <w:rsid w:val="00D0445C"/>
    <w:rsid w:val="00D070F8"/>
    <w:rsid w:val="00D071A5"/>
    <w:rsid w:val="00D07486"/>
    <w:rsid w:val="00D0758E"/>
    <w:rsid w:val="00D07695"/>
    <w:rsid w:val="00D07A59"/>
    <w:rsid w:val="00D07C2C"/>
    <w:rsid w:val="00D10AE5"/>
    <w:rsid w:val="00D12933"/>
    <w:rsid w:val="00D1336C"/>
    <w:rsid w:val="00D13417"/>
    <w:rsid w:val="00D147C5"/>
    <w:rsid w:val="00D162AE"/>
    <w:rsid w:val="00D16570"/>
    <w:rsid w:val="00D2295C"/>
    <w:rsid w:val="00D22FA8"/>
    <w:rsid w:val="00D26274"/>
    <w:rsid w:val="00D26AD9"/>
    <w:rsid w:val="00D27355"/>
    <w:rsid w:val="00D27C8D"/>
    <w:rsid w:val="00D31E7F"/>
    <w:rsid w:val="00D3281A"/>
    <w:rsid w:val="00D338F9"/>
    <w:rsid w:val="00D3426B"/>
    <w:rsid w:val="00D35DF1"/>
    <w:rsid w:val="00D36155"/>
    <w:rsid w:val="00D403AD"/>
    <w:rsid w:val="00D413EA"/>
    <w:rsid w:val="00D41461"/>
    <w:rsid w:val="00D419DE"/>
    <w:rsid w:val="00D41CF8"/>
    <w:rsid w:val="00D41E51"/>
    <w:rsid w:val="00D42CE0"/>
    <w:rsid w:val="00D44092"/>
    <w:rsid w:val="00D449F4"/>
    <w:rsid w:val="00D47648"/>
    <w:rsid w:val="00D4798E"/>
    <w:rsid w:val="00D5074B"/>
    <w:rsid w:val="00D51345"/>
    <w:rsid w:val="00D5300F"/>
    <w:rsid w:val="00D54E91"/>
    <w:rsid w:val="00D561CE"/>
    <w:rsid w:val="00D63CC1"/>
    <w:rsid w:val="00D640B2"/>
    <w:rsid w:val="00D65170"/>
    <w:rsid w:val="00D65D73"/>
    <w:rsid w:val="00D67735"/>
    <w:rsid w:val="00D71C03"/>
    <w:rsid w:val="00D71C08"/>
    <w:rsid w:val="00D7353E"/>
    <w:rsid w:val="00D74122"/>
    <w:rsid w:val="00D74A53"/>
    <w:rsid w:val="00D74CE2"/>
    <w:rsid w:val="00D75504"/>
    <w:rsid w:val="00D767BD"/>
    <w:rsid w:val="00D76C88"/>
    <w:rsid w:val="00D7710C"/>
    <w:rsid w:val="00D80BD5"/>
    <w:rsid w:val="00D83E26"/>
    <w:rsid w:val="00D8500B"/>
    <w:rsid w:val="00D86753"/>
    <w:rsid w:val="00D870CC"/>
    <w:rsid w:val="00D92498"/>
    <w:rsid w:val="00D92ABB"/>
    <w:rsid w:val="00D92F7B"/>
    <w:rsid w:val="00D93C10"/>
    <w:rsid w:val="00D958EA"/>
    <w:rsid w:val="00D95ACF"/>
    <w:rsid w:val="00D9602D"/>
    <w:rsid w:val="00D96264"/>
    <w:rsid w:val="00D96EA0"/>
    <w:rsid w:val="00D97C96"/>
    <w:rsid w:val="00DA0B51"/>
    <w:rsid w:val="00DA3DD6"/>
    <w:rsid w:val="00DA4065"/>
    <w:rsid w:val="00DA5284"/>
    <w:rsid w:val="00DA5CAD"/>
    <w:rsid w:val="00DA5DA1"/>
    <w:rsid w:val="00DA6565"/>
    <w:rsid w:val="00DA6F93"/>
    <w:rsid w:val="00DA7AF9"/>
    <w:rsid w:val="00DA7EA8"/>
    <w:rsid w:val="00DB14D3"/>
    <w:rsid w:val="00DB2B88"/>
    <w:rsid w:val="00DB3631"/>
    <w:rsid w:val="00DB7739"/>
    <w:rsid w:val="00DC0ECB"/>
    <w:rsid w:val="00DC18E3"/>
    <w:rsid w:val="00DC3217"/>
    <w:rsid w:val="00DC3C25"/>
    <w:rsid w:val="00DC3F2A"/>
    <w:rsid w:val="00DC71DC"/>
    <w:rsid w:val="00DD447D"/>
    <w:rsid w:val="00DD4692"/>
    <w:rsid w:val="00DD71CE"/>
    <w:rsid w:val="00DE157D"/>
    <w:rsid w:val="00DE3E2C"/>
    <w:rsid w:val="00DE4BAB"/>
    <w:rsid w:val="00DE5734"/>
    <w:rsid w:val="00DF1373"/>
    <w:rsid w:val="00DF350D"/>
    <w:rsid w:val="00DF3E5D"/>
    <w:rsid w:val="00DF3FFF"/>
    <w:rsid w:val="00DF4298"/>
    <w:rsid w:val="00DF6304"/>
    <w:rsid w:val="00DF7A79"/>
    <w:rsid w:val="00E0006C"/>
    <w:rsid w:val="00E00F4E"/>
    <w:rsid w:val="00E0354D"/>
    <w:rsid w:val="00E03B1E"/>
    <w:rsid w:val="00E04775"/>
    <w:rsid w:val="00E04F72"/>
    <w:rsid w:val="00E04FD7"/>
    <w:rsid w:val="00E05103"/>
    <w:rsid w:val="00E05A94"/>
    <w:rsid w:val="00E06B5C"/>
    <w:rsid w:val="00E071C1"/>
    <w:rsid w:val="00E10B0A"/>
    <w:rsid w:val="00E1107E"/>
    <w:rsid w:val="00E1162C"/>
    <w:rsid w:val="00E11E31"/>
    <w:rsid w:val="00E12D9A"/>
    <w:rsid w:val="00E1590B"/>
    <w:rsid w:val="00E15C8F"/>
    <w:rsid w:val="00E214A6"/>
    <w:rsid w:val="00E2248C"/>
    <w:rsid w:val="00E227D0"/>
    <w:rsid w:val="00E23229"/>
    <w:rsid w:val="00E23FD0"/>
    <w:rsid w:val="00E26F98"/>
    <w:rsid w:val="00E270B7"/>
    <w:rsid w:val="00E27202"/>
    <w:rsid w:val="00E27258"/>
    <w:rsid w:val="00E27E69"/>
    <w:rsid w:val="00E309BD"/>
    <w:rsid w:val="00E31515"/>
    <w:rsid w:val="00E31DAD"/>
    <w:rsid w:val="00E36CFD"/>
    <w:rsid w:val="00E406FE"/>
    <w:rsid w:val="00E42D5E"/>
    <w:rsid w:val="00E46913"/>
    <w:rsid w:val="00E50B50"/>
    <w:rsid w:val="00E51F4E"/>
    <w:rsid w:val="00E53D81"/>
    <w:rsid w:val="00E54C86"/>
    <w:rsid w:val="00E550D2"/>
    <w:rsid w:val="00E55859"/>
    <w:rsid w:val="00E55F97"/>
    <w:rsid w:val="00E5661C"/>
    <w:rsid w:val="00E56CEC"/>
    <w:rsid w:val="00E57813"/>
    <w:rsid w:val="00E608B1"/>
    <w:rsid w:val="00E60D0A"/>
    <w:rsid w:val="00E6132C"/>
    <w:rsid w:val="00E62318"/>
    <w:rsid w:val="00E62D85"/>
    <w:rsid w:val="00E6363E"/>
    <w:rsid w:val="00E63839"/>
    <w:rsid w:val="00E64DF7"/>
    <w:rsid w:val="00E663AA"/>
    <w:rsid w:val="00E6E1B4"/>
    <w:rsid w:val="00E7017A"/>
    <w:rsid w:val="00E7024C"/>
    <w:rsid w:val="00E736D1"/>
    <w:rsid w:val="00E742EA"/>
    <w:rsid w:val="00E74B45"/>
    <w:rsid w:val="00E75091"/>
    <w:rsid w:val="00E750C9"/>
    <w:rsid w:val="00E75427"/>
    <w:rsid w:val="00E76028"/>
    <w:rsid w:val="00E76A0F"/>
    <w:rsid w:val="00E77397"/>
    <w:rsid w:val="00E8033F"/>
    <w:rsid w:val="00E80802"/>
    <w:rsid w:val="00E80E6F"/>
    <w:rsid w:val="00E80E9D"/>
    <w:rsid w:val="00E81124"/>
    <w:rsid w:val="00E83152"/>
    <w:rsid w:val="00E83B5F"/>
    <w:rsid w:val="00E83BC2"/>
    <w:rsid w:val="00E84D43"/>
    <w:rsid w:val="00E855AB"/>
    <w:rsid w:val="00E85962"/>
    <w:rsid w:val="00E8629E"/>
    <w:rsid w:val="00E870D7"/>
    <w:rsid w:val="00E90A0E"/>
    <w:rsid w:val="00E90D3F"/>
    <w:rsid w:val="00E91C73"/>
    <w:rsid w:val="00E91D03"/>
    <w:rsid w:val="00E926BC"/>
    <w:rsid w:val="00E92F63"/>
    <w:rsid w:val="00E93637"/>
    <w:rsid w:val="00E9412B"/>
    <w:rsid w:val="00E95481"/>
    <w:rsid w:val="00E97707"/>
    <w:rsid w:val="00EA3125"/>
    <w:rsid w:val="00EA4A1C"/>
    <w:rsid w:val="00EA57E0"/>
    <w:rsid w:val="00EA59E1"/>
    <w:rsid w:val="00EB03E9"/>
    <w:rsid w:val="00EB15B4"/>
    <w:rsid w:val="00EB2077"/>
    <w:rsid w:val="00EB3787"/>
    <w:rsid w:val="00EB4B55"/>
    <w:rsid w:val="00EB508F"/>
    <w:rsid w:val="00EB515C"/>
    <w:rsid w:val="00EB67E2"/>
    <w:rsid w:val="00EB6D81"/>
    <w:rsid w:val="00EB7049"/>
    <w:rsid w:val="00EC0141"/>
    <w:rsid w:val="00EC0761"/>
    <w:rsid w:val="00EC0CB7"/>
    <w:rsid w:val="00EC22A0"/>
    <w:rsid w:val="00EC2593"/>
    <w:rsid w:val="00EC36CD"/>
    <w:rsid w:val="00EC39AF"/>
    <w:rsid w:val="00EC59F9"/>
    <w:rsid w:val="00EC5D26"/>
    <w:rsid w:val="00EC69B5"/>
    <w:rsid w:val="00ED3A54"/>
    <w:rsid w:val="00ED4B93"/>
    <w:rsid w:val="00ED4D86"/>
    <w:rsid w:val="00EE186B"/>
    <w:rsid w:val="00EE224F"/>
    <w:rsid w:val="00EE3928"/>
    <w:rsid w:val="00EE4D09"/>
    <w:rsid w:val="00EE516D"/>
    <w:rsid w:val="00EE52EE"/>
    <w:rsid w:val="00EE6EF6"/>
    <w:rsid w:val="00EF7DD4"/>
    <w:rsid w:val="00F01C62"/>
    <w:rsid w:val="00F01F08"/>
    <w:rsid w:val="00F021C3"/>
    <w:rsid w:val="00F035FD"/>
    <w:rsid w:val="00F03D02"/>
    <w:rsid w:val="00F06D9C"/>
    <w:rsid w:val="00F1155B"/>
    <w:rsid w:val="00F123DE"/>
    <w:rsid w:val="00F139AF"/>
    <w:rsid w:val="00F13EAA"/>
    <w:rsid w:val="00F16261"/>
    <w:rsid w:val="00F17249"/>
    <w:rsid w:val="00F17C7E"/>
    <w:rsid w:val="00F20BF7"/>
    <w:rsid w:val="00F20ED6"/>
    <w:rsid w:val="00F219B4"/>
    <w:rsid w:val="00F23E92"/>
    <w:rsid w:val="00F265AB"/>
    <w:rsid w:val="00F26607"/>
    <w:rsid w:val="00F26650"/>
    <w:rsid w:val="00F2678A"/>
    <w:rsid w:val="00F26D16"/>
    <w:rsid w:val="00F27449"/>
    <w:rsid w:val="00F274A2"/>
    <w:rsid w:val="00F31ABD"/>
    <w:rsid w:val="00F31CEA"/>
    <w:rsid w:val="00F31EEB"/>
    <w:rsid w:val="00F32A6B"/>
    <w:rsid w:val="00F3334F"/>
    <w:rsid w:val="00F33FFF"/>
    <w:rsid w:val="00F3694F"/>
    <w:rsid w:val="00F36A1E"/>
    <w:rsid w:val="00F41629"/>
    <w:rsid w:val="00F41C24"/>
    <w:rsid w:val="00F42AAE"/>
    <w:rsid w:val="00F436A6"/>
    <w:rsid w:val="00F43993"/>
    <w:rsid w:val="00F44F15"/>
    <w:rsid w:val="00F45340"/>
    <w:rsid w:val="00F457D7"/>
    <w:rsid w:val="00F54021"/>
    <w:rsid w:val="00F551FD"/>
    <w:rsid w:val="00F55F7E"/>
    <w:rsid w:val="00F56015"/>
    <w:rsid w:val="00F5679F"/>
    <w:rsid w:val="00F607F3"/>
    <w:rsid w:val="00F607FE"/>
    <w:rsid w:val="00F60922"/>
    <w:rsid w:val="00F60B81"/>
    <w:rsid w:val="00F64BFD"/>
    <w:rsid w:val="00F654C7"/>
    <w:rsid w:val="00F66E88"/>
    <w:rsid w:val="00F6754A"/>
    <w:rsid w:val="00F70727"/>
    <w:rsid w:val="00F732D9"/>
    <w:rsid w:val="00F73D50"/>
    <w:rsid w:val="00F73D88"/>
    <w:rsid w:val="00F73DF6"/>
    <w:rsid w:val="00F74553"/>
    <w:rsid w:val="00F75BC3"/>
    <w:rsid w:val="00F7773D"/>
    <w:rsid w:val="00F81E35"/>
    <w:rsid w:val="00F86D28"/>
    <w:rsid w:val="00F8715A"/>
    <w:rsid w:val="00F875A8"/>
    <w:rsid w:val="00F87DA3"/>
    <w:rsid w:val="00F92171"/>
    <w:rsid w:val="00F9273B"/>
    <w:rsid w:val="00F959F7"/>
    <w:rsid w:val="00FA13E0"/>
    <w:rsid w:val="00FA14F3"/>
    <w:rsid w:val="00FA2931"/>
    <w:rsid w:val="00FA2B78"/>
    <w:rsid w:val="00FA34A3"/>
    <w:rsid w:val="00FA548F"/>
    <w:rsid w:val="00FA5C12"/>
    <w:rsid w:val="00FA5F3C"/>
    <w:rsid w:val="00FA60B5"/>
    <w:rsid w:val="00FA640A"/>
    <w:rsid w:val="00FB0014"/>
    <w:rsid w:val="00FB0E57"/>
    <w:rsid w:val="00FB1F21"/>
    <w:rsid w:val="00FB2078"/>
    <w:rsid w:val="00FB2768"/>
    <w:rsid w:val="00FB5CB1"/>
    <w:rsid w:val="00FB5E89"/>
    <w:rsid w:val="00FC1D8C"/>
    <w:rsid w:val="00FC206A"/>
    <w:rsid w:val="00FC337F"/>
    <w:rsid w:val="00FC3638"/>
    <w:rsid w:val="00FC4B87"/>
    <w:rsid w:val="00FC4C02"/>
    <w:rsid w:val="00FC5DC5"/>
    <w:rsid w:val="00FC6B98"/>
    <w:rsid w:val="00FC7E31"/>
    <w:rsid w:val="00FD011E"/>
    <w:rsid w:val="00FD01FD"/>
    <w:rsid w:val="00FD0481"/>
    <w:rsid w:val="00FD38F8"/>
    <w:rsid w:val="00FD6068"/>
    <w:rsid w:val="00FD6674"/>
    <w:rsid w:val="00FD7692"/>
    <w:rsid w:val="00FD7E1D"/>
    <w:rsid w:val="00FE0F84"/>
    <w:rsid w:val="00FE47C6"/>
    <w:rsid w:val="00FE68B2"/>
    <w:rsid w:val="00FE755B"/>
    <w:rsid w:val="00FF07BD"/>
    <w:rsid w:val="00FF0A85"/>
    <w:rsid w:val="00FF0CCF"/>
    <w:rsid w:val="00FF0DF9"/>
    <w:rsid w:val="00FF29D2"/>
    <w:rsid w:val="00FF3231"/>
    <w:rsid w:val="00FF33DF"/>
    <w:rsid w:val="00FF3564"/>
    <w:rsid w:val="01019F88"/>
    <w:rsid w:val="010B1A99"/>
    <w:rsid w:val="0121C441"/>
    <w:rsid w:val="01457EBD"/>
    <w:rsid w:val="0147F94A"/>
    <w:rsid w:val="016A5D96"/>
    <w:rsid w:val="0193DDBD"/>
    <w:rsid w:val="019E65E2"/>
    <w:rsid w:val="01A522CC"/>
    <w:rsid w:val="01B3C6A9"/>
    <w:rsid w:val="01B832F8"/>
    <w:rsid w:val="01BADBC6"/>
    <w:rsid w:val="01BC54FC"/>
    <w:rsid w:val="01D88B9A"/>
    <w:rsid w:val="01F5085B"/>
    <w:rsid w:val="0215892E"/>
    <w:rsid w:val="02242273"/>
    <w:rsid w:val="0243C79C"/>
    <w:rsid w:val="02605E87"/>
    <w:rsid w:val="026BD033"/>
    <w:rsid w:val="0273C822"/>
    <w:rsid w:val="02758257"/>
    <w:rsid w:val="02817101"/>
    <w:rsid w:val="0284E0EC"/>
    <w:rsid w:val="02A61CF0"/>
    <w:rsid w:val="02C85C30"/>
    <w:rsid w:val="02F2CF78"/>
    <w:rsid w:val="0308A553"/>
    <w:rsid w:val="032C26D8"/>
    <w:rsid w:val="038399E4"/>
    <w:rsid w:val="038886DD"/>
    <w:rsid w:val="03CFCD0A"/>
    <w:rsid w:val="03D3B782"/>
    <w:rsid w:val="03D914B0"/>
    <w:rsid w:val="03DC384A"/>
    <w:rsid w:val="03E1C593"/>
    <w:rsid w:val="03E1CCDD"/>
    <w:rsid w:val="03E233BB"/>
    <w:rsid w:val="03EED54F"/>
    <w:rsid w:val="03FB6245"/>
    <w:rsid w:val="040F72D9"/>
    <w:rsid w:val="041CEEA0"/>
    <w:rsid w:val="042F9DBD"/>
    <w:rsid w:val="04410CC8"/>
    <w:rsid w:val="0445D6F2"/>
    <w:rsid w:val="04566D90"/>
    <w:rsid w:val="045E5A53"/>
    <w:rsid w:val="04640704"/>
    <w:rsid w:val="0468001B"/>
    <w:rsid w:val="046CFEF4"/>
    <w:rsid w:val="0474698A"/>
    <w:rsid w:val="048AF907"/>
    <w:rsid w:val="04A162D0"/>
    <w:rsid w:val="04A24E0B"/>
    <w:rsid w:val="04A4225B"/>
    <w:rsid w:val="04BE3C8A"/>
    <w:rsid w:val="04D6056C"/>
    <w:rsid w:val="04E90894"/>
    <w:rsid w:val="04F1EE14"/>
    <w:rsid w:val="0511E524"/>
    <w:rsid w:val="05596D5A"/>
    <w:rsid w:val="056E0ECA"/>
    <w:rsid w:val="05734D0F"/>
    <w:rsid w:val="058382F1"/>
    <w:rsid w:val="059933DB"/>
    <w:rsid w:val="05B445DC"/>
    <w:rsid w:val="05C14E7E"/>
    <w:rsid w:val="05DBF27E"/>
    <w:rsid w:val="05DCBDB1"/>
    <w:rsid w:val="05E77786"/>
    <w:rsid w:val="061A2E49"/>
    <w:rsid w:val="062AAE93"/>
    <w:rsid w:val="06E9F841"/>
    <w:rsid w:val="071A2DB5"/>
    <w:rsid w:val="071AB657"/>
    <w:rsid w:val="075DF14A"/>
    <w:rsid w:val="0774B670"/>
    <w:rsid w:val="0783C1ED"/>
    <w:rsid w:val="079740EF"/>
    <w:rsid w:val="07AC1D5B"/>
    <w:rsid w:val="07B5E1EC"/>
    <w:rsid w:val="07B63344"/>
    <w:rsid w:val="07B9E196"/>
    <w:rsid w:val="07CF6ED0"/>
    <w:rsid w:val="07D3069C"/>
    <w:rsid w:val="07DA3D0B"/>
    <w:rsid w:val="07FF3763"/>
    <w:rsid w:val="0807DD1C"/>
    <w:rsid w:val="0809AA70"/>
    <w:rsid w:val="0817786D"/>
    <w:rsid w:val="08488309"/>
    <w:rsid w:val="085F4B0E"/>
    <w:rsid w:val="08E2F0C2"/>
    <w:rsid w:val="094BF582"/>
    <w:rsid w:val="096A3756"/>
    <w:rsid w:val="096D9DF7"/>
    <w:rsid w:val="0979706F"/>
    <w:rsid w:val="0985C7E3"/>
    <w:rsid w:val="0989EBD4"/>
    <w:rsid w:val="09AE5CEF"/>
    <w:rsid w:val="09B7CE7B"/>
    <w:rsid w:val="09CDE05A"/>
    <w:rsid w:val="09DC31B1"/>
    <w:rsid w:val="09DDBDA6"/>
    <w:rsid w:val="09E06F5B"/>
    <w:rsid w:val="09F50872"/>
    <w:rsid w:val="0A1EC257"/>
    <w:rsid w:val="0A2B2303"/>
    <w:rsid w:val="0A32CF65"/>
    <w:rsid w:val="0A33CA67"/>
    <w:rsid w:val="0A4D2E2D"/>
    <w:rsid w:val="0A644F06"/>
    <w:rsid w:val="0A6945A8"/>
    <w:rsid w:val="0A7779C8"/>
    <w:rsid w:val="0AA49B20"/>
    <w:rsid w:val="0AB9000F"/>
    <w:rsid w:val="0ABB8D16"/>
    <w:rsid w:val="0AC05E0F"/>
    <w:rsid w:val="0AC6A83B"/>
    <w:rsid w:val="0AF9F71B"/>
    <w:rsid w:val="0AFCFB9A"/>
    <w:rsid w:val="0B0361A2"/>
    <w:rsid w:val="0B04B6F3"/>
    <w:rsid w:val="0B153E5C"/>
    <w:rsid w:val="0B7A7BB0"/>
    <w:rsid w:val="0B812819"/>
    <w:rsid w:val="0B8BA958"/>
    <w:rsid w:val="0BC8C4ED"/>
    <w:rsid w:val="0BC9E15E"/>
    <w:rsid w:val="0BDFF177"/>
    <w:rsid w:val="0C183BE9"/>
    <w:rsid w:val="0C2729B3"/>
    <w:rsid w:val="0C3AB016"/>
    <w:rsid w:val="0C545D18"/>
    <w:rsid w:val="0C56F29B"/>
    <w:rsid w:val="0C63236A"/>
    <w:rsid w:val="0C831B26"/>
    <w:rsid w:val="0CC33311"/>
    <w:rsid w:val="0CE878C6"/>
    <w:rsid w:val="0D1FF46E"/>
    <w:rsid w:val="0D226BC1"/>
    <w:rsid w:val="0D42E223"/>
    <w:rsid w:val="0D592B0D"/>
    <w:rsid w:val="0D8F0ECD"/>
    <w:rsid w:val="0DB1F130"/>
    <w:rsid w:val="0DC0C6D7"/>
    <w:rsid w:val="0DC19ACE"/>
    <w:rsid w:val="0DE8FE1D"/>
    <w:rsid w:val="0DF049DC"/>
    <w:rsid w:val="0E2A0898"/>
    <w:rsid w:val="0E391015"/>
    <w:rsid w:val="0E3FA994"/>
    <w:rsid w:val="0E450EB7"/>
    <w:rsid w:val="0E61880D"/>
    <w:rsid w:val="0E622008"/>
    <w:rsid w:val="0E797D0B"/>
    <w:rsid w:val="0E8427CD"/>
    <w:rsid w:val="0E8A05DF"/>
    <w:rsid w:val="0ED0C969"/>
    <w:rsid w:val="0EE0B012"/>
    <w:rsid w:val="0F03B6AE"/>
    <w:rsid w:val="0F1D56F1"/>
    <w:rsid w:val="0F476650"/>
    <w:rsid w:val="0F86CCE8"/>
    <w:rsid w:val="0F9173AF"/>
    <w:rsid w:val="0FC4CC4F"/>
    <w:rsid w:val="0FE5C8FF"/>
    <w:rsid w:val="0FE92157"/>
    <w:rsid w:val="0FEF89CD"/>
    <w:rsid w:val="0FF462B8"/>
    <w:rsid w:val="0FF52177"/>
    <w:rsid w:val="101BB0D8"/>
    <w:rsid w:val="105B38F3"/>
    <w:rsid w:val="107E5F6F"/>
    <w:rsid w:val="1099C870"/>
    <w:rsid w:val="10AFB157"/>
    <w:rsid w:val="10CA3B8B"/>
    <w:rsid w:val="10DAD399"/>
    <w:rsid w:val="10EDAEB8"/>
    <w:rsid w:val="10FF1501"/>
    <w:rsid w:val="10FFE7C8"/>
    <w:rsid w:val="1119F1F4"/>
    <w:rsid w:val="11352308"/>
    <w:rsid w:val="113EA48B"/>
    <w:rsid w:val="11401978"/>
    <w:rsid w:val="114C9575"/>
    <w:rsid w:val="1154AD90"/>
    <w:rsid w:val="1156205F"/>
    <w:rsid w:val="11803BE4"/>
    <w:rsid w:val="118CF555"/>
    <w:rsid w:val="1198669E"/>
    <w:rsid w:val="1198843A"/>
    <w:rsid w:val="11A06942"/>
    <w:rsid w:val="11F273EB"/>
    <w:rsid w:val="11FD0F52"/>
    <w:rsid w:val="1221A228"/>
    <w:rsid w:val="1228C37A"/>
    <w:rsid w:val="122C58B1"/>
    <w:rsid w:val="123A67E8"/>
    <w:rsid w:val="125FF805"/>
    <w:rsid w:val="127534F0"/>
    <w:rsid w:val="127DD9BC"/>
    <w:rsid w:val="12A6CC61"/>
    <w:rsid w:val="12B8A141"/>
    <w:rsid w:val="12C480C5"/>
    <w:rsid w:val="12CD3365"/>
    <w:rsid w:val="12E3261F"/>
    <w:rsid w:val="12E41A4C"/>
    <w:rsid w:val="1330181D"/>
    <w:rsid w:val="1346CD78"/>
    <w:rsid w:val="135563E2"/>
    <w:rsid w:val="13609C90"/>
    <w:rsid w:val="13725593"/>
    <w:rsid w:val="137EE6FD"/>
    <w:rsid w:val="1395618C"/>
    <w:rsid w:val="139B43F9"/>
    <w:rsid w:val="13CCD028"/>
    <w:rsid w:val="13CD8C85"/>
    <w:rsid w:val="1409CD22"/>
    <w:rsid w:val="141F28D9"/>
    <w:rsid w:val="142339D5"/>
    <w:rsid w:val="1431330C"/>
    <w:rsid w:val="143CC09A"/>
    <w:rsid w:val="146C1FB7"/>
    <w:rsid w:val="147DDA14"/>
    <w:rsid w:val="14992817"/>
    <w:rsid w:val="14D8CDEB"/>
    <w:rsid w:val="14E51928"/>
    <w:rsid w:val="14FE5FBA"/>
    <w:rsid w:val="154ABB18"/>
    <w:rsid w:val="15655595"/>
    <w:rsid w:val="1567F92B"/>
    <w:rsid w:val="159B311F"/>
    <w:rsid w:val="159E7529"/>
    <w:rsid w:val="15B444DB"/>
    <w:rsid w:val="15C1D37C"/>
    <w:rsid w:val="15DC1287"/>
    <w:rsid w:val="15F7F903"/>
    <w:rsid w:val="160BEB44"/>
    <w:rsid w:val="160C360B"/>
    <w:rsid w:val="163F1948"/>
    <w:rsid w:val="164E9278"/>
    <w:rsid w:val="1664C290"/>
    <w:rsid w:val="1682C5E2"/>
    <w:rsid w:val="169390ED"/>
    <w:rsid w:val="169AB587"/>
    <w:rsid w:val="16BA3B36"/>
    <w:rsid w:val="16CBF0E4"/>
    <w:rsid w:val="17003CFE"/>
    <w:rsid w:val="1708281C"/>
    <w:rsid w:val="170D7189"/>
    <w:rsid w:val="17267524"/>
    <w:rsid w:val="17288978"/>
    <w:rsid w:val="172D6A31"/>
    <w:rsid w:val="173AF2E6"/>
    <w:rsid w:val="174477B0"/>
    <w:rsid w:val="174F334E"/>
    <w:rsid w:val="175095A4"/>
    <w:rsid w:val="17545AB0"/>
    <w:rsid w:val="1759FA43"/>
    <w:rsid w:val="175A0D4F"/>
    <w:rsid w:val="177E7CF8"/>
    <w:rsid w:val="178595DD"/>
    <w:rsid w:val="178D305C"/>
    <w:rsid w:val="1792FADA"/>
    <w:rsid w:val="179A85E4"/>
    <w:rsid w:val="17AF7352"/>
    <w:rsid w:val="17EE0923"/>
    <w:rsid w:val="1803AC33"/>
    <w:rsid w:val="1814F8B1"/>
    <w:rsid w:val="1819D6EB"/>
    <w:rsid w:val="18356B97"/>
    <w:rsid w:val="183AF8BB"/>
    <w:rsid w:val="184711E9"/>
    <w:rsid w:val="184C7254"/>
    <w:rsid w:val="1852A497"/>
    <w:rsid w:val="188103FC"/>
    <w:rsid w:val="18A8ADB5"/>
    <w:rsid w:val="18C04C4F"/>
    <w:rsid w:val="18F12F63"/>
    <w:rsid w:val="18F21876"/>
    <w:rsid w:val="18FA1BE0"/>
    <w:rsid w:val="19074FB2"/>
    <w:rsid w:val="19105084"/>
    <w:rsid w:val="19200802"/>
    <w:rsid w:val="1923F62C"/>
    <w:rsid w:val="1948AEBC"/>
    <w:rsid w:val="19525FB6"/>
    <w:rsid w:val="1968468F"/>
    <w:rsid w:val="197E715D"/>
    <w:rsid w:val="19859627"/>
    <w:rsid w:val="1996C12B"/>
    <w:rsid w:val="19BEE245"/>
    <w:rsid w:val="19C6BBB6"/>
    <w:rsid w:val="19E5C3C8"/>
    <w:rsid w:val="19E83271"/>
    <w:rsid w:val="19F2BF1D"/>
    <w:rsid w:val="1A0F97D4"/>
    <w:rsid w:val="1A27B80D"/>
    <w:rsid w:val="1A43A520"/>
    <w:rsid w:val="1A541A92"/>
    <w:rsid w:val="1A5B5036"/>
    <w:rsid w:val="1A7586BD"/>
    <w:rsid w:val="1A7DD483"/>
    <w:rsid w:val="1AA8EE40"/>
    <w:rsid w:val="1AB955B9"/>
    <w:rsid w:val="1B0568A3"/>
    <w:rsid w:val="1B06030D"/>
    <w:rsid w:val="1B0C1A34"/>
    <w:rsid w:val="1B1C5437"/>
    <w:rsid w:val="1B24D611"/>
    <w:rsid w:val="1B34E948"/>
    <w:rsid w:val="1B7C37B9"/>
    <w:rsid w:val="1B7D81EF"/>
    <w:rsid w:val="1B802ADF"/>
    <w:rsid w:val="1BA17F4B"/>
    <w:rsid w:val="1BAF88AA"/>
    <w:rsid w:val="1BB1F9B9"/>
    <w:rsid w:val="1BBBA7DB"/>
    <w:rsid w:val="1BC683CC"/>
    <w:rsid w:val="1BDAB821"/>
    <w:rsid w:val="1BF17322"/>
    <w:rsid w:val="1C21F7BD"/>
    <w:rsid w:val="1C36F6EC"/>
    <w:rsid w:val="1C5061F0"/>
    <w:rsid w:val="1C5E6E84"/>
    <w:rsid w:val="1C744561"/>
    <w:rsid w:val="1C7DF14C"/>
    <w:rsid w:val="1C8BFF59"/>
    <w:rsid w:val="1CC8403D"/>
    <w:rsid w:val="1CC9923D"/>
    <w:rsid w:val="1CCBDF47"/>
    <w:rsid w:val="1CCC8D2F"/>
    <w:rsid w:val="1CED26F8"/>
    <w:rsid w:val="1CED5DE1"/>
    <w:rsid w:val="1D06F35C"/>
    <w:rsid w:val="1D0F05B2"/>
    <w:rsid w:val="1D29B977"/>
    <w:rsid w:val="1D5923D0"/>
    <w:rsid w:val="1D5F7758"/>
    <w:rsid w:val="1D6241F9"/>
    <w:rsid w:val="1D7C0C93"/>
    <w:rsid w:val="1D9A1344"/>
    <w:rsid w:val="1DC0A39C"/>
    <w:rsid w:val="1DDCEB36"/>
    <w:rsid w:val="1DE07AEA"/>
    <w:rsid w:val="1DEA747D"/>
    <w:rsid w:val="1DED68FF"/>
    <w:rsid w:val="1E04A5F9"/>
    <w:rsid w:val="1E153589"/>
    <w:rsid w:val="1E17A01C"/>
    <w:rsid w:val="1E32ABE2"/>
    <w:rsid w:val="1E362E91"/>
    <w:rsid w:val="1E6367E4"/>
    <w:rsid w:val="1E7F7683"/>
    <w:rsid w:val="1E8F71AC"/>
    <w:rsid w:val="1E91843E"/>
    <w:rsid w:val="1E9E1E29"/>
    <w:rsid w:val="1EA30875"/>
    <w:rsid w:val="1EC56048"/>
    <w:rsid w:val="1EC9A0F6"/>
    <w:rsid w:val="1ED7F54C"/>
    <w:rsid w:val="1EE93DD3"/>
    <w:rsid w:val="1F03B8E6"/>
    <w:rsid w:val="1F2118A6"/>
    <w:rsid w:val="1F32BCFF"/>
    <w:rsid w:val="1F6A4C6A"/>
    <w:rsid w:val="1F713062"/>
    <w:rsid w:val="1F96F6CC"/>
    <w:rsid w:val="1F9F0458"/>
    <w:rsid w:val="1FAED88A"/>
    <w:rsid w:val="1FAF247E"/>
    <w:rsid w:val="1FBC4931"/>
    <w:rsid w:val="1FD6DB0D"/>
    <w:rsid w:val="1FDCFBDD"/>
    <w:rsid w:val="20093C9E"/>
    <w:rsid w:val="200C7B56"/>
    <w:rsid w:val="2038D226"/>
    <w:rsid w:val="203EFEFA"/>
    <w:rsid w:val="204A8BE1"/>
    <w:rsid w:val="20767673"/>
    <w:rsid w:val="208BE2D5"/>
    <w:rsid w:val="208D969C"/>
    <w:rsid w:val="20962C0F"/>
    <w:rsid w:val="20988753"/>
    <w:rsid w:val="20C5E199"/>
    <w:rsid w:val="20C86D47"/>
    <w:rsid w:val="20FD9A90"/>
    <w:rsid w:val="21217860"/>
    <w:rsid w:val="2124F4E9"/>
    <w:rsid w:val="213719C3"/>
    <w:rsid w:val="21431C1D"/>
    <w:rsid w:val="2151FE59"/>
    <w:rsid w:val="2152C912"/>
    <w:rsid w:val="2177F266"/>
    <w:rsid w:val="217DF8AC"/>
    <w:rsid w:val="21900309"/>
    <w:rsid w:val="21B0F016"/>
    <w:rsid w:val="21C8EC17"/>
    <w:rsid w:val="21D62EB3"/>
    <w:rsid w:val="21E5CBFF"/>
    <w:rsid w:val="2233A66C"/>
    <w:rsid w:val="224F7330"/>
    <w:rsid w:val="2263842F"/>
    <w:rsid w:val="226528F2"/>
    <w:rsid w:val="227CE893"/>
    <w:rsid w:val="22A90D7A"/>
    <w:rsid w:val="22ED8E3F"/>
    <w:rsid w:val="22FDD26B"/>
    <w:rsid w:val="231631FC"/>
    <w:rsid w:val="232A6F2C"/>
    <w:rsid w:val="232E0215"/>
    <w:rsid w:val="233BB58F"/>
    <w:rsid w:val="2344C826"/>
    <w:rsid w:val="2344E47A"/>
    <w:rsid w:val="235465CD"/>
    <w:rsid w:val="2366F679"/>
    <w:rsid w:val="23739315"/>
    <w:rsid w:val="2392FEBE"/>
    <w:rsid w:val="23A50D80"/>
    <w:rsid w:val="23B127AD"/>
    <w:rsid w:val="23CA5790"/>
    <w:rsid w:val="23CF0066"/>
    <w:rsid w:val="23D39F47"/>
    <w:rsid w:val="23F72DE4"/>
    <w:rsid w:val="2407F09D"/>
    <w:rsid w:val="24264BF0"/>
    <w:rsid w:val="242DF0D0"/>
    <w:rsid w:val="247C9D0E"/>
    <w:rsid w:val="248D87C5"/>
    <w:rsid w:val="24A6E8A5"/>
    <w:rsid w:val="24C989A7"/>
    <w:rsid w:val="24C98B35"/>
    <w:rsid w:val="24D0472F"/>
    <w:rsid w:val="24FB4B92"/>
    <w:rsid w:val="2500A347"/>
    <w:rsid w:val="251E04CD"/>
    <w:rsid w:val="251E392F"/>
    <w:rsid w:val="254A54C6"/>
    <w:rsid w:val="254F4D62"/>
    <w:rsid w:val="2558DE2F"/>
    <w:rsid w:val="2576F514"/>
    <w:rsid w:val="2582D98F"/>
    <w:rsid w:val="25863B17"/>
    <w:rsid w:val="2595D428"/>
    <w:rsid w:val="25B6AE9F"/>
    <w:rsid w:val="25BE32B8"/>
    <w:rsid w:val="25D33588"/>
    <w:rsid w:val="25D4E151"/>
    <w:rsid w:val="25DA75ED"/>
    <w:rsid w:val="260B63DF"/>
    <w:rsid w:val="260B75BB"/>
    <w:rsid w:val="2662BC9E"/>
    <w:rsid w:val="2662C158"/>
    <w:rsid w:val="26716AFE"/>
    <w:rsid w:val="268D5E87"/>
    <w:rsid w:val="26DB0E7E"/>
    <w:rsid w:val="26EBB16D"/>
    <w:rsid w:val="26F39EF4"/>
    <w:rsid w:val="26F4F7FF"/>
    <w:rsid w:val="27069E8A"/>
    <w:rsid w:val="27157B77"/>
    <w:rsid w:val="271E28C8"/>
    <w:rsid w:val="2728F7C8"/>
    <w:rsid w:val="27552053"/>
    <w:rsid w:val="279DB0F1"/>
    <w:rsid w:val="27A2389B"/>
    <w:rsid w:val="27BE78C6"/>
    <w:rsid w:val="27D9E86F"/>
    <w:rsid w:val="27F90831"/>
    <w:rsid w:val="28339A3F"/>
    <w:rsid w:val="2848ED82"/>
    <w:rsid w:val="284D140F"/>
    <w:rsid w:val="285E905F"/>
    <w:rsid w:val="29034DB7"/>
    <w:rsid w:val="291FAC9B"/>
    <w:rsid w:val="2923DC21"/>
    <w:rsid w:val="2927A81C"/>
    <w:rsid w:val="294339D0"/>
    <w:rsid w:val="2964F9E4"/>
    <w:rsid w:val="296773BE"/>
    <w:rsid w:val="2990B98F"/>
    <w:rsid w:val="29AF35DE"/>
    <w:rsid w:val="29DF6913"/>
    <w:rsid w:val="2A01ED83"/>
    <w:rsid w:val="2A291C91"/>
    <w:rsid w:val="2A2D05FB"/>
    <w:rsid w:val="2A4C2E36"/>
    <w:rsid w:val="2A56A543"/>
    <w:rsid w:val="2A5AF2BD"/>
    <w:rsid w:val="2A657888"/>
    <w:rsid w:val="2A6EAB1A"/>
    <w:rsid w:val="2A7F24C7"/>
    <w:rsid w:val="2A82E3FA"/>
    <w:rsid w:val="2A89EF25"/>
    <w:rsid w:val="2A91EADD"/>
    <w:rsid w:val="2AB19ADD"/>
    <w:rsid w:val="2B003EA7"/>
    <w:rsid w:val="2B13B8A3"/>
    <w:rsid w:val="2B1B7F5A"/>
    <w:rsid w:val="2B208677"/>
    <w:rsid w:val="2B3A2F3E"/>
    <w:rsid w:val="2B4F3975"/>
    <w:rsid w:val="2B66DAB0"/>
    <w:rsid w:val="2B74B2E5"/>
    <w:rsid w:val="2B8F0D46"/>
    <w:rsid w:val="2BA1EAA2"/>
    <w:rsid w:val="2BB2BBC8"/>
    <w:rsid w:val="2BBE7D9F"/>
    <w:rsid w:val="2C00B45B"/>
    <w:rsid w:val="2C2728B7"/>
    <w:rsid w:val="2C2FC89A"/>
    <w:rsid w:val="2C3B719F"/>
    <w:rsid w:val="2C45D720"/>
    <w:rsid w:val="2C55FF6E"/>
    <w:rsid w:val="2C60B252"/>
    <w:rsid w:val="2C8D7772"/>
    <w:rsid w:val="2CA312A1"/>
    <w:rsid w:val="2CB09447"/>
    <w:rsid w:val="2CB1019B"/>
    <w:rsid w:val="2D0454F1"/>
    <w:rsid w:val="2D356924"/>
    <w:rsid w:val="2D3A9D05"/>
    <w:rsid w:val="2D5F0BA4"/>
    <w:rsid w:val="2D617D00"/>
    <w:rsid w:val="2D6BC811"/>
    <w:rsid w:val="2D6F55B3"/>
    <w:rsid w:val="2D818E18"/>
    <w:rsid w:val="2D84F704"/>
    <w:rsid w:val="2D8E9D81"/>
    <w:rsid w:val="2DECC8C1"/>
    <w:rsid w:val="2E0B3D63"/>
    <w:rsid w:val="2E4C39E2"/>
    <w:rsid w:val="2E4FA3C4"/>
    <w:rsid w:val="2E5EAF2E"/>
    <w:rsid w:val="2E6A724D"/>
    <w:rsid w:val="2E73077D"/>
    <w:rsid w:val="2E90ECAC"/>
    <w:rsid w:val="2E91F81F"/>
    <w:rsid w:val="2EAFBA1E"/>
    <w:rsid w:val="2F0E3F21"/>
    <w:rsid w:val="2F367D98"/>
    <w:rsid w:val="2F36CEB7"/>
    <w:rsid w:val="2F47C8EE"/>
    <w:rsid w:val="2F505A0B"/>
    <w:rsid w:val="2F5E2754"/>
    <w:rsid w:val="2F615074"/>
    <w:rsid w:val="2F94A23F"/>
    <w:rsid w:val="2FB46263"/>
    <w:rsid w:val="2FB9C8A2"/>
    <w:rsid w:val="2FBCA154"/>
    <w:rsid w:val="2FCA7040"/>
    <w:rsid w:val="2FEEBD1E"/>
    <w:rsid w:val="2FF83C71"/>
    <w:rsid w:val="306B418A"/>
    <w:rsid w:val="3095055D"/>
    <w:rsid w:val="309C2CAC"/>
    <w:rsid w:val="30A52342"/>
    <w:rsid w:val="30A9B764"/>
    <w:rsid w:val="30CE2EEF"/>
    <w:rsid w:val="30CEF293"/>
    <w:rsid w:val="30D4F17D"/>
    <w:rsid w:val="30DE059A"/>
    <w:rsid w:val="30E5A04B"/>
    <w:rsid w:val="30E81ED2"/>
    <w:rsid w:val="30EE98AD"/>
    <w:rsid w:val="30FBD1DF"/>
    <w:rsid w:val="312A7260"/>
    <w:rsid w:val="31358FB4"/>
    <w:rsid w:val="31427902"/>
    <w:rsid w:val="316363CF"/>
    <w:rsid w:val="3172DCE2"/>
    <w:rsid w:val="31857738"/>
    <w:rsid w:val="31B51F45"/>
    <w:rsid w:val="31B6CD33"/>
    <w:rsid w:val="31C9D668"/>
    <w:rsid w:val="31CABD35"/>
    <w:rsid w:val="31F831D1"/>
    <w:rsid w:val="31FAC8D0"/>
    <w:rsid w:val="3211C93E"/>
    <w:rsid w:val="321266FA"/>
    <w:rsid w:val="3240C939"/>
    <w:rsid w:val="3241EA4F"/>
    <w:rsid w:val="32497DE4"/>
    <w:rsid w:val="324E8FAB"/>
    <w:rsid w:val="325A1609"/>
    <w:rsid w:val="328FAC03"/>
    <w:rsid w:val="32B4DF3A"/>
    <w:rsid w:val="32C0C6AC"/>
    <w:rsid w:val="32D789BD"/>
    <w:rsid w:val="32F4CE8E"/>
    <w:rsid w:val="32F6F07F"/>
    <w:rsid w:val="33043958"/>
    <w:rsid w:val="33239686"/>
    <w:rsid w:val="332CD80D"/>
    <w:rsid w:val="33340B75"/>
    <w:rsid w:val="334FD68C"/>
    <w:rsid w:val="338BACE0"/>
    <w:rsid w:val="33ACAB84"/>
    <w:rsid w:val="33BE039D"/>
    <w:rsid w:val="33D7F72D"/>
    <w:rsid w:val="33DCAC52"/>
    <w:rsid w:val="33E0FB0C"/>
    <w:rsid w:val="33F80F74"/>
    <w:rsid w:val="34082448"/>
    <w:rsid w:val="343153C1"/>
    <w:rsid w:val="345CFD3D"/>
    <w:rsid w:val="34743A7A"/>
    <w:rsid w:val="349F3954"/>
    <w:rsid w:val="34EDE6C7"/>
    <w:rsid w:val="35057574"/>
    <w:rsid w:val="351AB623"/>
    <w:rsid w:val="351DB39B"/>
    <w:rsid w:val="351E76B1"/>
    <w:rsid w:val="3550EC8A"/>
    <w:rsid w:val="357FAEE3"/>
    <w:rsid w:val="358E6693"/>
    <w:rsid w:val="3590687C"/>
    <w:rsid w:val="3599F35C"/>
    <w:rsid w:val="35BF4725"/>
    <w:rsid w:val="35CF0FEA"/>
    <w:rsid w:val="35DBECBB"/>
    <w:rsid w:val="35DC34F4"/>
    <w:rsid w:val="35DED3A1"/>
    <w:rsid w:val="35ECFB96"/>
    <w:rsid w:val="35FFA711"/>
    <w:rsid w:val="362035E4"/>
    <w:rsid w:val="362ABF0B"/>
    <w:rsid w:val="362FBBB1"/>
    <w:rsid w:val="363AB048"/>
    <w:rsid w:val="36520B08"/>
    <w:rsid w:val="3655D879"/>
    <w:rsid w:val="3673C06B"/>
    <w:rsid w:val="3675DD9E"/>
    <w:rsid w:val="36970898"/>
    <w:rsid w:val="36B0788E"/>
    <w:rsid w:val="36DC0D8F"/>
    <w:rsid w:val="36E31429"/>
    <w:rsid w:val="36F78743"/>
    <w:rsid w:val="370965A3"/>
    <w:rsid w:val="372B8FB6"/>
    <w:rsid w:val="375F51B4"/>
    <w:rsid w:val="377C7E9D"/>
    <w:rsid w:val="37A0DB22"/>
    <w:rsid w:val="37D28F70"/>
    <w:rsid w:val="384BE44D"/>
    <w:rsid w:val="3860866F"/>
    <w:rsid w:val="3866C154"/>
    <w:rsid w:val="386807B5"/>
    <w:rsid w:val="387E4946"/>
    <w:rsid w:val="388F92FD"/>
    <w:rsid w:val="3898043D"/>
    <w:rsid w:val="389DBE69"/>
    <w:rsid w:val="38C0A955"/>
    <w:rsid w:val="38F4BAF4"/>
    <w:rsid w:val="390361B3"/>
    <w:rsid w:val="392454C2"/>
    <w:rsid w:val="395B9EF5"/>
    <w:rsid w:val="39616282"/>
    <w:rsid w:val="39714A5C"/>
    <w:rsid w:val="397F648C"/>
    <w:rsid w:val="39865F41"/>
    <w:rsid w:val="3995E160"/>
    <w:rsid w:val="39CBEC62"/>
    <w:rsid w:val="39EF5E3C"/>
    <w:rsid w:val="3A17389A"/>
    <w:rsid w:val="3A387809"/>
    <w:rsid w:val="3A3CBC76"/>
    <w:rsid w:val="3A3DBE2B"/>
    <w:rsid w:val="3A457E2D"/>
    <w:rsid w:val="3A4FBF85"/>
    <w:rsid w:val="3A528272"/>
    <w:rsid w:val="3A6342DF"/>
    <w:rsid w:val="3A6D8239"/>
    <w:rsid w:val="3A8FD9F2"/>
    <w:rsid w:val="3A92EEB0"/>
    <w:rsid w:val="3A9A18F8"/>
    <w:rsid w:val="3AC57064"/>
    <w:rsid w:val="3AD2C20D"/>
    <w:rsid w:val="3ADF024D"/>
    <w:rsid w:val="3AE4CF50"/>
    <w:rsid w:val="3AE653BA"/>
    <w:rsid w:val="3AEFB925"/>
    <w:rsid w:val="3B15805B"/>
    <w:rsid w:val="3B180346"/>
    <w:rsid w:val="3B18129F"/>
    <w:rsid w:val="3B207F38"/>
    <w:rsid w:val="3B292091"/>
    <w:rsid w:val="3B2DC7B6"/>
    <w:rsid w:val="3B3DC2DD"/>
    <w:rsid w:val="3B3EA48D"/>
    <w:rsid w:val="3B5715CF"/>
    <w:rsid w:val="3B724D12"/>
    <w:rsid w:val="3B8094DF"/>
    <w:rsid w:val="3BA955C0"/>
    <w:rsid w:val="3BCEDDC0"/>
    <w:rsid w:val="3BDB51B7"/>
    <w:rsid w:val="3BF18A29"/>
    <w:rsid w:val="3C00EBDC"/>
    <w:rsid w:val="3C043A7C"/>
    <w:rsid w:val="3C0DE79A"/>
    <w:rsid w:val="3C2AAC9F"/>
    <w:rsid w:val="3C30CACE"/>
    <w:rsid w:val="3C7F07F4"/>
    <w:rsid w:val="3C99AD6D"/>
    <w:rsid w:val="3CC502FB"/>
    <w:rsid w:val="3CCC0E6C"/>
    <w:rsid w:val="3CCE9590"/>
    <w:rsid w:val="3CD771EA"/>
    <w:rsid w:val="3CEF8263"/>
    <w:rsid w:val="3CFF719D"/>
    <w:rsid w:val="3D0DDBAA"/>
    <w:rsid w:val="3D11DDCE"/>
    <w:rsid w:val="3D16329A"/>
    <w:rsid w:val="3D252A55"/>
    <w:rsid w:val="3D2DD2C0"/>
    <w:rsid w:val="3D594454"/>
    <w:rsid w:val="3D5FA0D2"/>
    <w:rsid w:val="3D6026A3"/>
    <w:rsid w:val="3D99E7C0"/>
    <w:rsid w:val="3D9D0DE7"/>
    <w:rsid w:val="3DA82B31"/>
    <w:rsid w:val="3DB14572"/>
    <w:rsid w:val="3DB25BA3"/>
    <w:rsid w:val="3DDFE517"/>
    <w:rsid w:val="3DE566A8"/>
    <w:rsid w:val="3DEEA7DC"/>
    <w:rsid w:val="3E1B6D56"/>
    <w:rsid w:val="3E1CCE9A"/>
    <w:rsid w:val="3E298F87"/>
    <w:rsid w:val="3E643CAE"/>
    <w:rsid w:val="3E7B8B66"/>
    <w:rsid w:val="3E916418"/>
    <w:rsid w:val="3EB202CA"/>
    <w:rsid w:val="3EB7D81E"/>
    <w:rsid w:val="3EC57879"/>
    <w:rsid w:val="3ED6FCEA"/>
    <w:rsid w:val="3EDE09E6"/>
    <w:rsid w:val="3EE31C66"/>
    <w:rsid w:val="3EE79E8B"/>
    <w:rsid w:val="3F13BC4B"/>
    <w:rsid w:val="3F43AFC5"/>
    <w:rsid w:val="3F52CCF0"/>
    <w:rsid w:val="3F957A59"/>
    <w:rsid w:val="3FC70243"/>
    <w:rsid w:val="3FC7FE2B"/>
    <w:rsid w:val="3FCAC73F"/>
    <w:rsid w:val="3FDB82B3"/>
    <w:rsid w:val="3FF1DB4A"/>
    <w:rsid w:val="405562A1"/>
    <w:rsid w:val="40820B2A"/>
    <w:rsid w:val="40A4EE64"/>
    <w:rsid w:val="40BA2E85"/>
    <w:rsid w:val="40CAA956"/>
    <w:rsid w:val="40F2B4C0"/>
    <w:rsid w:val="40FCE7BA"/>
    <w:rsid w:val="4102F058"/>
    <w:rsid w:val="41087BF6"/>
    <w:rsid w:val="412AE5B8"/>
    <w:rsid w:val="412B0764"/>
    <w:rsid w:val="41320D4A"/>
    <w:rsid w:val="41981501"/>
    <w:rsid w:val="419B89F2"/>
    <w:rsid w:val="41D72096"/>
    <w:rsid w:val="41EDB98A"/>
    <w:rsid w:val="41EF5702"/>
    <w:rsid w:val="41F03516"/>
    <w:rsid w:val="41FBD4DC"/>
    <w:rsid w:val="41FE9A2C"/>
    <w:rsid w:val="41FF41AB"/>
    <w:rsid w:val="42090F51"/>
    <w:rsid w:val="42154249"/>
    <w:rsid w:val="422498C3"/>
    <w:rsid w:val="422C596A"/>
    <w:rsid w:val="424A65CB"/>
    <w:rsid w:val="424BE51F"/>
    <w:rsid w:val="4252CAA7"/>
    <w:rsid w:val="4254E0A9"/>
    <w:rsid w:val="425D374E"/>
    <w:rsid w:val="4261A205"/>
    <w:rsid w:val="426C7EB0"/>
    <w:rsid w:val="42734E5D"/>
    <w:rsid w:val="42BC57F7"/>
    <w:rsid w:val="42C595D5"/>
    <w:rsid w:val="42DA9BFB"/>
    <w:rsid w:val="42E7A461"/>
    <w:rsid w:val="43107CF1"/>
    <w:rsid w:val="431419B9"/>
    <w:rsid w:val="43332B5D"/>
    <w:rsid w:val="434636B4"/>
    <w:rsid w:val="434B230B"/>
    <w:rsid w:val="435D31BE"/>
    <w:rsid w:val="43620E08"/>
    <w:rsid w:val="43661CD7"/>
    <w:rsid w:val="43872CBE"/>
    <w:rsid w:val="43B93747"/>
    <w:rsid w:val="43E4470F"/>
    <w:rsid w:val="4414B417"/>
    <w:rsid w:val="44233BA8"/>
    <w:rsid w:val="442A9D1B"/>
    <w:rsid w:val="4433CF54"/>
    <w:rsid w:val="44458A5B"/>
    <w:rsid w:val="444B83A9"/>
    <w:rsid w:val="445C5C4F"/>
    <w:rsid w:val="4498C87F"/>
    <w:rsid w:val="44AEB25E"/>
    <w:rsid w:val="44B05A8F"/>
    <w:rsid w:val="44BFE689"/>
    <w:rsid w:val="450366AD"/>
    <w:rsid w:val="4509C0D5"/>
    <w:rsid w:val="45193067"/>
    <w:rsid w:val="4530195B"/>
    <w:rsid w:val="4552CB1F"/>
    <w:rsid w:val="45585C7D"/>
    <w:rsid w:val="457BF0CB"/>
    <w:rsid w:val="45847719"/>
    <w:rsid w:val="45B4CF55"/>
    <w:rsid w:val="45B822E7"/>
    <w:rsid w:val="45CE678C"/>
    <w:rsid w:val="4638B1DF"/>
    <w:rsid w:val="46555A04"/>
    <w:rsid w:val="46692EC4"/>
    <w:rsid w:val="46AFE497"/>
    <w:rsid w:val="46B60801"/>
    <w:rsid w:val="46D14A90"/>
    <w:rsid w:val="46EE6A95"/>
    <w:rsid w:val="46EF077C"/>
    <w:rsid w:val="4725027C"/>
    <w:rsid w:val="472FF435"/>
    <w:rsid w:val="47440058"/>
    <w:rsid w:val="475A8640"/>
    <w:rsid w:val="477E9B8E"/>
    <w:rsid w:val="479EAEC0"/>
    <w:rsid w:val="47A4E04B"/>
    <w:rsid w:val="47C21D1E"/>
    <w:rsid w:val="47CC3742"/>
    <w:rsid w:val="47ECFE82"/>
    <w:rsid w:val="47F25311"/>
    <w:rsid w:val="47F4AB6A"/>
    <w:rsid w:val="47FB579B"/>
    <w:rsid w:val="484E1E9C"/>
    <w:rsid w:val="4851EA9F"/>
    <w:rsid w:val="486321DE"/>
    <w:rsid w:val="48921110"/>
    <w:rsid w:val="48A52794"/>
    <w:rsid w:val="48A64437"/>
    <w:rsid w:val="48BF78D0"/>
    <w:rsid w:val="48C1E913"/>
    <w:rsid w:val="48D39844"/>
    <w:rsid w:val="48EB48D2"/>
    <w:rsid w:val="48FB5E43"/>
    <w:rsid w:val="491B91CE"/>
    <w:rsid w:val="4958DA4B"/>
    <w:rsid w:val="4968A51A"/>
    <w:rsid w:val="496F8F52"/>
    <w:rsid w:val="498C3096"/>
    <w:rsid w:val="499442EA"/>
    <w:rsid w:val="49962CD3"/>
    <w:rsid w:val="49BE5513"/>
    <w:rsid w:val="49D2CD85"/>
    <w:rsid w:val="49DA4366"/>
    <w:rsid w:val="4A0233AF"/>
    <w:rsid w:val="4A1C0742"/>
    <w:rsid w:val="4A56B0AE"/>
    <w:rsid w:val="4A64C706"/>
    <w:rsid w:val="4A7353E9"/>
    <w:rsid w:val="4A8579A2"/>
    <w:rsid w:val="4AA755F0"/>
    <w:rsid w:val="4AB22BC3"/>
    <w:rsid w:val="4ABD8F57"/>
    <w:rsid w:val="4AD0ED1C"/>
    <w:rsid w:val="4AE5CB58"/>
    <w:rsid w:val="4AEC8BCB"/>
    <w:rsid w:val="4AF0661F"/>
    <w:rsid w:val="4AF2A857"/>
    <w:rsid w:val="4B2A0453"/>
    <w:rsid w:val="4B2CC548"/>
    <w:rsid w:val="4B3BECE2"/>
    <w:rsid w:val="4B6AA564"/>
    <w:rsid w:val="4B70985B"/>
    <w:rsid w:val="4B72009E"/>
    <w:rsid w:val="4B81FF2E"/>
    <w:rsid w:val="4BAF87F1"/>
    <w:rsid w:val="4BEF97FE"/>
    <w:rsid w:val="4BF76CEF"/>
    <w:rsid w:val="4C500C60"/>
    <w:rsid w:val="4C7F6270"/>
    <w:rsid w:val="4C92CC34"/>
    <w:rsid w:val="4C9418AD"/>
    <w:rsid w:val="4C9E14CA"/>
    <w:rsid w:val="4CB89916"/>
    <w:rsid w:val="4CC69635"/>
    <w:rsid w:val="4D419883"/>
    <w:rsid w:val="4D4F1EFB"/>
    <w:rsid w:val="4D793AD0"/>
    <w:rsid w:val="4D8BAEBC"/>
    <w:rsid w:val="4DA926EC"/>
    <w:rsid w:val="4DB6DF09"/>
    <w:rsid w:val="4E009D5F"/>
    <w:rsid w:val="4E0C6CE9"/>
    <w:rsid w:val="4E20530B"/>
    <w:rsid w:val="4E6A09F9"/>
    <w:rsid w:val="4E6F8708"/>
    <w:rsid w:val="4EABE9C1"/>
    <w:rsid w:val="4EBB2C84"/>
    <w:rsid w:val="4EBB7189"/>
    <w:rsid w:val="4ED6FB8B"/>
    <w:rsid w:val="4ED8D6E2"/>
    <w:rsid w:val="4EEB7EFC"/>
    <w:rsid w:val="4EEF5313"/>
    <w:rsid w:val="4F02E255"/>
    <w:rsid w:val="4F260E2C"/>
    <w:rsid w:val="4F2D2FEA"/>
    <w:rsid w:val="4F40C8B8"/>
    <w:rsid w:val="4F659F94"/>
    <w:rsid w:val="4F7FD11B"/>
    <w:rsid w:val="4F8AFE72"/>
    <w:rsid w:val="4F935B18"/>
    <w:rsid w:val="4F9EABF4"/>
    <w:rsid w:val="4FBEDA9D"/>
    <w:rsid w:val="4FC8A0E7"/>
    <w:rsid w:val="4FD16BC1"/>
    <w:rsid w:val="4FED22C7"/>
    <w:rsid w:val="501277B2"/>
    <w:rsid w:val="50334F41"/>
    <w:rsid w:val="503B5304"/>
    <w:rsid w:val="504F9E81"/>
    <w:rsid w:val="50687934"/>
    <w:rsid w:val="50715EBF"/>
    <w:rsid w:val="5088CEE9"/>
    <w:rsid w:val="50AAC22B"/>
    <w:rsid w:val="50AB8F39"/>
    <w:rsid w:val="50DFF87B"/>
    <w:rsid w:val="5105636C"/>
    <w:rsid w:val="511ABEC3"/>
    <w:rsid w:val="51614CB4"/>
    <w:rsid w:val="516C8F92"/>
    <w:rsid w:val="51760D19"/>
    <w:rsid w:val="51A0A7C6"/>
    <w:rsid w:val="51B494AD"/>
    <w:rsid w:val="51E9D537"/>
    <w:rsid w:val="5209105F"/>
    <w:rsid w:val="520C622C"/>
    <w:rsid w:val="522A4B0C"/>
    <w:rsid w:val="522D6509"/>
    <w:rsid w:val="5242C125"/>
    <w:rsid w:val="525A873C"/>
    <w:rsid w:val="52760C4A"/>
    <w:rsid w:val="5290D6C1"/>
    <w:rsid w:val="52A6AEF4"/>
    <w:rsid w:val="52A9B1EE"/>
    <w:rsid w:val="52B2B545"/>
    <w:rsid w:val="52B616DE"/>
    <w:rsid w:val="52C03C6E"/>
    <w:rsid w:val="52CF311C"/>
    <w:rsid w:val="53348A2A"/>
    <w:rsid w:val="53548EAE"/>
    <w:rsid w:val="5359CE7C"/>
    <w:rsid w:val="537B9A67"/>
    <w:rsid w:val="53825ED4"/>
    <w:rsid w:val="5392580B"/>
    <w:rsid w:val="53A51346"/>
    <w:rsid w:val="53D06A7D"/>
    <w:rsid w:val="53E1F209"/>
    <w:rsid w:val="53EA2DAC"/>
    <w:rsid w:val="53F8A606"/>
    <w:rsid w:val="53FD29CF"/>
    <w:rsid w:val="54012260"/>
    <w:rsid w:val="54621AED"/>
    <w:rsid w:val="54918D00"/>
    <w:rsid w:val="54A512CB"/>
    <w:rsid w:val="54A64A31"/>
    <w:rsid w:val="54D53EC0"/>
    <w:rsid w:val="54EACB5F"/>
    <w:rsid w:val="54F80EB7"/>
    <w:rsid w:val="5503C6D1"/>
    <w:rsid w:val="55198D23"/>
    <w:rsid w:val="552C221C"/>
    <w:rsid w:val="5573FC3D"/>
    <w:rsid w:val="557DAD5B"/>
    <w:rsid w:val="559248CE"/>
    <w:rsid w:val="55B55221"/>
    <w:rsid w:val="55C9D0C9"/>
    <w:rsid w:val="55D5DDAD"/>
    <w:rsid w:val="55E41B69"/>
    <w:rsid w:val="55EC4124"/>
    <w:rsid w:val="562E07B0"/>
    <w:rsid w:val="56311B06"/>
    <w:rsid w:val="5656B5C6"/>
    <w:rsid w:val="5667C78A"/>
    <w:rsid w:val="56A345C2"/>
    <w:rsid w:val="56B36AA3"/>
    <w:rsid w:val="56B50A3F"/>
    <w:rsid w:val="56E8881A"/>
    <w:rsid w:val="56F6297A"/>
    <w:rsid w:val="56FAB868"/>
    <w:rsid w:val="56FB6795"/>
    <w:rsid w:val="56FEB021"/>
    <w:rsid w:val="5713A17A"/>
    <w:rsid w:val="5738274F"/>
    <w:rsid w:val="573B46D5"/>
    <w:rsid w:val="5756A920"/>
    <w:rsid w:val="57AA9214"/>
    <w:rsid w:val="57D4BCF9"/>
    <w:rsid w:val="57EA41D7"/>
    <w:rsid w:val="5808631F"/>
    <w:rsid w:val="582259DD"/>
    <w:rsid w:val="5833E285"/>
    <w:rsid w:val="585D9822"/>
    <w:rsid w:val="5875DDFA"/>
    <w:rsid w:val="5877D9D3"/>
    <w:rsid w:val="587F2133"/>
    <w:rsid w:val="5888086E"/>
    <w:rsid w:val="58928704"/>
    <w:rsid w:val="58BD937C"/>
    <w:rsid w:val="58E4DFE1"/>
    <w:rsid w:val="58E5A283"/>
    <w:rsid w:val="5939754D"/>
    <w:rsid w:val="593EB6FE"/>
    <w:rsid w:val="59443713"/>
    <w:rsid w:val="5971A28C"/>
    <w:rsid w:val="59747A8F"/>
    <w:rsid w:val="5975AC69"/>
    <w:rsid w:val="598FC57A"/>
    <w:rsid w:val="59A8DA2B"/>
    <w:rsid w:val="59D9B185"/>
    <w:rsid w:val="59E029B9"/>
    <w:rsid w:val="59EB0768"/>
    <w:rsid w:val="59F12BAA"/>
    <w:rsid w:val="5A0C81CE"/>
    <w:rsid w:val="5A22C7F4"/>
    <w:rsid w:val="5A27AD25"/>
    <w:rsid w:val="5A320556"/>
    <w:rsid w:val="5A46C5CE"/>
    <w:rsid w:val="5A5BF9F5"/>
    <w:rsid w:val="5A5F9E92"/>
    <w:rsid w:val="5A63AA73"/>
    <w:rsid w:val="5A6BD62A"/>
    <w:rsid w:val="5A7E4A65"/>
    <w:rsid w:val="5AA6A506"/>
    <w:rsid w:val="5AAABE45"/>
    <w:rsid w:val="5AB48602"/>
    <w:rsid w:val="5B083DC8"/>
    <w:rsid w:val="5B404460"/>
    <w:rsid w:val="5B575A00"/>
    <w:rsid w:val="5B58A9AF"/>
    <w:rsid w:val="5B58F367"/>
    <w:rsid w:val="5BB7870D"/>
    <w:rsid w:val="5BCFF529"/>
    <w:rsid w:val="5BE424C8"/>
    <w:rsid w:val="5BF6D3D1"/>
    <w:rsid w:val="5BFBCF09"/>
    <w:rsid w:val="5C05622D"/>
    <w:rsid w:val="5C0C853D"/>
    <w:rsid w:val="5C0EBACF"/>
    <w:rsid w:val="5C1199A7"/>
    <w:rsid w:val="5C195D90"/>
    <w:rsid w:val="5C40C9A2"/>
    <w:rsid w:val="5C4368DC"/>
    <w:rsid w:val="5C4EAEA4"/>
    <w:rsid w:val="5C6CB8BE"/>
    <w:rsid w:val="5C7C0736"/>
    <w:rsid w:val="5C7C1F19"/>
    <w:rsid w:val="5C97DB2D"/>
    <w:rsid w:val="5CAB3FFB"/>
    <w:rsid w:val="5CC6BC5B"/>
    <w:rsid w:val="5CD3527A"/>
    <w:rsid w:val="5CEF737B"/>
    <w:rsid w:val="5CFB32B7"/>
    <w:rsid w:val="5CFF06F8"/>
    <w:rsid w:val="5D2BC8B5"/>
    <w:rsid w:val="5D307F21"/>
    <w:rsid w:val="5D3D648E"/>
    <w:rsid w:val="5D4DBC59"/>
    <w:rsid w:val="5D5D5E8F"/>
    <w:rsid w:val="5DADC87D"/>
    <w:rsid w:val="5DB08595"/>
    <w:rsid w:val="5DBAD729"/>
    <w:rsid w:val="5DD9B454"/>
    <w:rsid w:val="5E2DA084"/>
    <w:rsid w:val="5E3BB30D"/>
    <w:rsid w:val="5E3D7B7E"/>
    <w:rsid w:val="5E43E519"/>
    <w:rsid w:val="5E76F777"/>
    <w:rsid w:val="5EC57CD4"/>
    <w:rsid w:val="5EF64456"/>
    <w:rsid w:val="5EF6F925"/>
    <w:rsid w:val="5F12AF46"/>
    <w:rsid w:val="5F1ABDCD"/>
    <w:rsid w:val="5F29E680"/>
    <w:rsid w:val="5F5BC059"/>
    <w:rsid w:val="5F602F1B"/>
    <w:rsid w:val="5F7281D4"/>
    <w:rsid w:val="5F86959E"/>
    <w:rsid w:val="5FC2C1BE"/>
    <w:rsid w:val="5FE6CC79"/>
    <w:rsid w:val="5FF190AC"/>
    <w:rsid w:val="60087CFC"/>
    <w:rsid w:val="601CDDB2"/>
    <w:rsid w:val="601FB4E1"/>
    <w:rsid w:val="60207B6D"/>
    <w:rsid w:val="603275D5"/>
    <w:rsid w:val="6048F9C4"/>
    <w:rsid w:val="605526E6"/>
    <w:rsid w:val="6059EEC6"/>
    <w:rsid w:val="6078CAEC"/>
    <w:rsid w:val="607DB5BA"/>
    <w:rsid w:val="607DE5A0"/>
    <w:rsid w:val="609041FB"/>
    <w:rsid w:val="60A83FC6"/>
    <w:rsid w:val="60C31EC8"/>
    <w:rsid w:val="60CBAC7A"/>
    <w:rsid w:val="6108A01F"/>
    <w:rsid w:val="611A862A"/>
    <w:rsid w:val="61315DA7"/>
    <w:rsid w:val="613C07EF"/>
    <w:rsid w:val="613F53BC"/>
    <w:rsid w:val="6148E423"/>
    <w:rsid w:val="6177204D"/>
    <w:rsid w:val="6178DE5D"/>
    <w:rsid w:val="61A1400F"/>
    <w:rsid w:val="61D00977"/>
    <w:rsid w:val="61E20E07"/>
    <w:rsid w:val="61E5BD71"/>
    <w:rsid w:val="61F3372B"/>
    <w:rsid w:val="621007DC"/>
    <w:rsid w:val="62653338"/>
    <w:rsid w:val="62683629"/>
    <w:rsid w:val="629E2B23"/>
    <w:rsid w:val="62A09100"/>
    <w:rsid w:val="62B9544D"/>
    <w:rsid w:val="62C07C8E"/>
    <w:rsid w:val="62C985CA"/>
    <w:rsid w:val="62C99D8F"/>
    <w:rsid w:val="62CEA28F"/>
    <w:rsid w:val="6309D957"/>
    <w:rsid w:val="6327FFA3"/>
    <w:rsid w:val="63290C51"/>
    <w:rsid w:val="632A5A69"/>
    <w:rsid w:val="635D2843"/>
    <w:rsid w:val="6362DE76"/>
    <w:rsid w:val="637FF330"/>
    <w:rsid w:val="638A1091"/>
    <w:rsid w:val="639B62A1"/>
    <w:rsid w:val="63BEC10D"/>
    <w:rsid w:val="63C8A37B"/>
    <w:rsid w:val="64280225"/>
    <w:rsid w:val="643A4C76"/>
    <w:rsid w:val="644A3A2D"/>
    <w:rsid w:val="648AE6B9"/>
    <w:rsid w:val="64AC1219"/>
    <w:rsid w:val="652A1A05"/>
    <w:rsid w:val="654BEE71"/>
    <w:rsid w:val="6553DA27"/>
    <w:rsid w:val="655EB994"/>
    <w:rsid w:val="656B1261"/>
    <w:rsid w:val="658342AB"/>
    <w:rsid w:val="65903C7D"/>
    <w:rsid w:val="6596B577"/>
    <w:rsid w:val="659A5064"/>
    <w:rsid w:val="65B29C89"/>
    <w:rsid w:val="65B94431"/>
    <w:rsid w:val="65C905CF"/>
    <w:rsid w:val="65E8FA65"/>
    <w:rsid w:val="65F13C45"/>
    <w:rsid w:val="65FB2443"/>
    <w:rsid w:val="6605D5F8"/>
    <w:rsid w:val="66172596"/>
    <w:rsid w:val="66178F69"/>
    <w:rsid w:val="661F1833"/>
    <w:rsid w:val="66353906"/>
    <w:rsid w:val="6640FB62"/>
    <w:rsid w:val="6642E7F1"/>
    <w:rsid w:val="664C8539"/>
    <w:rsid w:val="6651489B"/>
    <w:rsid w:val="665C56A4"/>
    <w:rsid w:val="665EDC68"/>
    <w:rsid w:val="666DAD6E"/>
    <w:rsid w:val="666E7229"/>
    <w:rsid w:val="667639A3"/>
    <w:rsid w:val="66821328"/>
    <w:rsid w:val="6697E9AF"/>
    <w:rsid w:val="66E616DF"/>
    <w:rsid w:val="670501C8"/>
    <w:rsid w:val="67234E0D"/>
    <w:rsid w:val="673040C7"/>
    <w:rsid w:val="67398BDE"/>
    <w:rsid w:val="67530C5E"/>
    <w:rsid w:val="6755B880"/>
    <w:rsid w:val="6759AF75"/>
    <w:rsid w:val="6768DDFD"/>
    <w:rsid w:val="677324BB"/>
    <w:rsid w:val="67B43F8C"/>
    <w:rsid w:val="67CF17DB"/>
    <w:rsid w:val="67E91995"/>
    <w:rsid w:val="680A36E6"/>
    <w:rsid w:val="683B3B03"/>
    <w:rsid w:val="683CD2F7"/>
    <w:rsid w:val="68446FE4"/>
    <w:rsid w:val="684D7CD3"/>
    <w:rsid w:val="68DBC092"/>
    <w:rsid w:val="68DF58B7"/>
    <w:rsid w:val="68E6575A"/>
    <w:rsid w:val="68EA16B3"/>
    <w:rsid w:val="6916E9CC"/>
    <w:rsid w:val="69233F95"/>
    <w:rsid w:val="693E3778"/>
    <w:rsid w:val="694ABEFC"/>
    <w:rsid w:val="69683DA4"/>
    <w:rsid w:val="69913862"/>
    <w:rsid w:val="69C2F029"/>
    <w:rsid w:val="69F491F9"/>
    <w:rsid w:val="69FA0822"/>
    <w:rsid w:val="6A053ACA"/>
    <w:rsid w:val="6A096BDF"/>
    <w:rsid w:val="6A132357"/>
    <w:rsid w:val="6A2AAB95"/>
    <w:rsid w:val="6A2F432E"/>
    <w:rsid w:val="6A31D9AC"/>
    <w:rsid w:val="6A5EBDAF"/>
    <w:rsid w:val="6A66E8CC"/>
    <w:rsid w:val="6A7795EF"/>
    <w:rsid w:val="6A7AAA9A"/>
    <w:rsid w:val="6A866C4E"/>
    <w:rsid w:val="6AB008A4"/>
    <w:rsid w:val="6AB90C75"/>
    <w:rsid w:val="6AC7ED75"/>
    <w:rsid w:val="6ADCEEBF"/>
    <w:rsid w:val="6ADEC01E"/>
    <w:rsid w:val="6AE0597C"/>
    <w:rsid w:val="6AF2C1A6"/>
    <w:rsid w:val="6B2FF1A0"/>
    <w:rsid w:val="6B3BCB16"/>
    <w:rsid w:val="6B66FE17"/>
    <w:rsid w:val="6B69AB1F"/>
    <w:rsid w:val="6B856066"/>
    <w:rsid w:val="6B920FB6"/>
    <w:rsid w:val="6B92F182"/>
    <w:rsid w:val="6BA02901"/>
    <w:rsid w:val="6BB1AE49"/>
    <w:rsid w:val="6BB9A920"/>
    <w:rsid w:val="6BCC173A"/>
    <w:rsid w:val="6BCD00D0"/>
    <w:rsid w:val="6BE44082"/>
    <w:rsid w:val="6BF48543"/>
    <w:rsid w:val="6C01FFE3"/>
    <w:rsid w:val="6C17613C"/>
    <w:rsid w:val="6C29D072"/>
    <w:rsid w:val="6C4E2587"/>
    <w:rsid w:val="6C69A193"/>
    <w:rsid w:val="6C8E9421"/>
    <w:rsid w:val="6CC1FA80"/>
    <w:rsid w:val="6CC9E4DB"/>
    <w:rsid w:val="6CCEC859"/>
    <w:rsid w:val="6CD1D96A"/>
    <w:rsid w:val="6CED2366"/>
    <w:rsid w:val="6CFDC389"/>
    <w:rsid w:val="6CFE4D69"/>
    <w:rsid w:val="6D170651"/>
    <w:rsid w:val="6D34226B"/>
    <w:rsid w:val="6D3737C7"/>
    <w:rsid w:val="6D4B0866"/>
    <w:rsid w:val="6D54080E"/>
    <w:rsid w:val="6D5CE632"/>
    <w:rsid w:val="6D719E69"/>
    <w:rsid w:val="6DB3BCAD"/>
    <w:rsid w:val="6DC58766"/>
    <w:rsid w:val="6E23AA13"/>
    <w:rsid w:val="6E4AB072"/>
    <w:rsid w:val="6EA84271"/>
    <w:rsid w:val="6EDA5929"/>
    <w:rsid w:val="6EE4674A"/>
    <w:rsid w:val="6F0B1718"/>
    <w:rsid w:val="6F1F32CE"/>
    <w:rsid w:val="6F2D1166"/>
    <w:rsid w:val="6F8DF906"/>
    <w:rsid w:val="6F8E3C74"/>
    <w:rsid w:val="6F8EDA56"/>
    <w:rsid w:val="6FA3960F"/>
    <w:rsid w:val="6FB48B81"/>
    <w:rsid w:val="6FC4F531"/>
    <w:rsid w:val="6FCA72F0"/>
    <w:rsid w:val="6FDDF029"/>
    <w:rsid w:val="6FDEE94F"/>
    <w:rsid w:val="6FE3FDF5"/>
    <w:rsid w:val="6FE5130D"/>
    <w:rsid w:val="6FF3B90E"/>
    <w:rsid w:val="6FF814E5"/>
    <w:rsid w:val="701A5008"/>
    <w:rsid w:val="704613CB"/>
    <w:rsid w:val="704CB305"/>
    <w:rsid w:val="706BCB17"/>
    <w:rsid w:val="706BD33F"/>
    <w:rsid w:val="7074960E"/>
    <w:rsid w:val="707DCF42"/>
    <w:rsid w:val="708D13E5"/>
    <w:rsid w:val="70AA48BC"/>
    <w:rsid w:val="70C7ABDE"/>
    <w:rsid w:val="70D60E04"/>
    <w:rsid w:val="7101730B"/>
    <w:rsid w:val="7116BDB8"/>
    <w:rsid w:val="713EC106"/>
    <w:rsid w:val="714D5DBB"/>
    <w:rsid w:val="715A7AF4"/>
    <w:rsid w:val="715A7DEB"/>
    <w:rsid w:val="716432C7"/>
    <w:rsid w:val="717BE9E7"/>
    <w:rsid w:val="71A13911"/>
    <w:rsid w:val="71A90E55"/>
    <w:rsid w:val="71CF3E1E"/>
    <w:rsid w:val="71DF8A0B"/>
    <w:rsid w:val="71ECD29C"/>
    <w:rsid w:val="7231245D"/>
    <w:rsid w:val="72607FE1"/>
    <w:rsid w:val="726CA306"/>
    <w:rsid w:val="72950A09"/>
    <w:rsid w:val="72A9F078"/>
    <w:rsid w:val="72ABAAD5"/>
    <w:rsid w:val="72AD2E12"/>
    <w:rsid w:val="72B78311"/>
    <w:rsid w:val="72B966F8"/>
    <w:rsid w:val="72BBD5DF"/>
    <w:rsid w:val="72C38673"/>
    <w:rsid w:val="72D599DA"/>
    <w:rsid w:val="72D8117D"/>
    <w:rsid w:val="72F87DD6"/>
    <w:rsid w:val="72FBA47C"/>
    <w:rsid w:val="731B1E5B"/>
    <w:rsid w:val="73422DE4"/>
    <w:rsid w:val="735F6DF2"/>
    <w:rsid w:val="738AA1B3"/>
    <w:rsid w:val="738D470E"/>
    <w:rsid w:val="739DB345"/>
    <w:rsid w:val="73B55AE2"/>
    <w:rsid w:val="73DE72F5"/>
    <w:rsid w:val="73E8C4CF"/>
    <w:rsid w:val="73EACCFC"/>
    <w:rsid w:val="7407169A"/>
    <w:rsid w:val="740EC636"/>
    <w:rsid w:val="742A6024"/>
    <w:rsid w:val="742BCE70"/>
    <w:rsid w:val="744E378D"/>
    <w:rsid w:val="74519FAF"/>
    <w:rsid w:val="74549C71"/>
    <w:rsid w:val="74703868"/>
    <w:rsid w:val="748CFCF9"/>
    <w:rsid w:val="748DF5A5"/>
    <w:rsid w:val="74A15699"/>
    <w:rsid w:val="74DCF4DE"/>
    <w:rsid w:val="74EBCBFC"/>
    <w:rsid w:val="74F67541"/>
    <w:rsid w:val="75134CC8"/>
    <w:rsid w:val="751FD934"/>
    <w:rsid w:val="7559A138"/>
    <w:rsid w:val="756E3E28"/>
    <w:rsid w:val="756F8760"/>
    <w:rsid w:val="7578E48E"/>
    <w:rsid w:val="7590E815"/>
    <w:rsid w:val="75A4CD20"/>
    <w:rsid w:val="75C8AF7D"/>
    <w:rsid w:val="75D97694"/>
    <w:rsid w:val="75F14227"/>
    <w:rsid w:val="75FF3FE0"/>
    <w:rsid w:val="76126CFB"/>
    <w:rsid w:val="761D11A7"/>
    <w:rsid w:val="76299DE5"/>
    <w:rsid w:val="764A92C2"/>
    <w:rsid w:val="766511B6"/>
    <w:rsid w:val="76849440"/>
    <w:rsid w:val="76CDE815"/>
    <w:rsid w:val="76D6A4DD"/>
    <w:rsid w:val="76DB57A7"/>
    <w:rsid w:val="76F14C0E"/>
    <w:rsid w:val="770E1740"/>
    <w:rsid w:val="772B2EF7"/>
    <w:rsid w:val="772CDE44"/>
    <w:rsid w:val="77327A91"/>
    <w:rsid w:val="77733747"/>
    <w:rsid w:val="777C5CB0"/>
    <w:rsid w:val="777D3F74"/>
    <w:rsid w:val="77879F50"/>
    <w:rsid w:val="778D9AE3"/>
    <w:rsid w:val="779F1E87"/>
    <w:rsid w:val="77BE1230"/>
    <w:rsid w:val="77BE3B1B"/>
    <w:rsid w:val="77E2B9B3"/>
    <w:rsid w:val="77ED8021"/>
    <w:rsid w:val="77F50038"/>
    <w:rsid w:val="7822B28F"/>
    <w:rsid w:val="7836AB19"/>
    <w:rsid w:val="7836C6A0"/>
    <w:rsid w:val="7859C2CE"/>
    <w:rsid w:val="78621915"/>
    <w:rsid w:val="787B123C"/>
    <w:rsid w:val="7894665A"/>
    <w:rsid w:val="78B8C2A2"/>
    <w:rsid w:val="78C1D853"/>
    <w:rsid w:val="78C81DB5"/>
    <w:rsid w:val="78CC47C4"/>
    <w:rsid w:val="78D433BE"/>
    <w:rsid w:val="78D6EDC0"/>
    <w:rsid w:val="78FD3BE8"/>
    <w:rsid w:val="792CF958"/>
    <w:rsid w:val="7932250B"/>
    <w:rsid w:val="7933275B"/>
    <w:rsid w:val="7941F43C"/>
    <w:rsid w:val="7942BFCD"/>
    <w:rsid w:val="794585FE"/>
    <w:rsid w:val="795273AE"/>
    <w:rsid w:val="7964861E"/>
    <w:rsid w:val="796BA399"/>
    <w:rsid w:val="79894EEF"/>
    <w:rsid w:val="7990D949"/>
    <w:rsid w:val="79AF24D0"/>
    <w:rsid w:val="79B32152"/>
    <w:rsid w:val="79D2AC88"/>
    <w:rsid w:val="79E9C117"/>
    <w:rsid w:val="7A198ACF"/>
    <w:rsid w:val="7A412622"/>
    <w:rsid w:val="7A63D34A"/>
    <w:rsid w:val="7A65AAD6"/>
    <w:rsid w:val="7A7BB21A"/>
    <w:rsid w:val="7AB95C7A"/>
    <w:rsid w:val="7ABA8BF4"/>
    <w:rsid w:val="7AE0F443"/>
    <w:rsid w:val="7AEAC857"/>
    <w:rsid w:val="7AEF4271"/>
    <w:rsid w:val="7AF5902B"/>
    <w:rsid w:val="7AFE383D"/>
    <w:rsid w:val="7B29AA14"/>
    <w:rsid w:val="7B550509"/>
    <w:rsid w:val="7B600557"/>
    <w:rsid w:val="7BBD5A18"/>
    <w:rsid w:val="7BD6B652"/>
    <w:rsid w:val="7BDB4EB6"/>
    <w:rsid w:val="7BE05B00"/>
    <w:rsid w:val="7BE5CB18"/>
    <w:rsid w:val="7BF21DAB"/>
    <w:rsid w:val="7C1AF1FE"/>
    <w:rsid w:val="7C406C33"/>
    <w:rsid w:val="7C480FB5"/>
    <w:rsid w:val="7C48A07A"/>
    <w:rsid w:val="7C5FA04F"/>
    <w:rsid w:val="7C74D1A4"/>
    <w:rsid w:val="7C8464E2"/>
    <w:rsid w:val="7C9E9A01"/>
    <w:rsid w:val="7CAEB3F0"/>
    <w:rsid w:val="7CC6E2CD"/>
    <w:rsid w:val="7D074042"/>
    <w:rsid w:val="7D3806AA"/>
    <w:rsid w:val="7D4256FB"/>
    <w:rsid w:val="7D432BB2"/>
    <w:rsid w:val="7D4EE807"/>
    <w:rsid w:val="7D6DAAD9"/>
    <w:rsid w:val="7D7FE0B6"/>
    <w:rsid w:val="7D898F54"/>
    <w:rsid w:val="7D8EF51F"/>
    <w:rsid w:val="7D8F166E"/>
    <w:rsid w:val="7D9EA96F"/>
    <w:rsid w:val="7DA230C1"/>
    <w:rsid w:val="7DA51999"/>
    <w:rsid w:val="7DA69578"/>
    <w:rsid w:val="7DB47352"/>
    <w:rsid w:val="7DBB57F7"/>
    <w:rsid w:val="7DC12218"/>
    <w:rsid w:val="7DC2247E"/>
    <w:rsid w:val="7DD09599"/>
    <w:rsid w:val="7DF3A622"/>
    <w:rsid w:val="7E382891"/>
    <w:rsid w:val="7E60AA42"/>
    <w:rsid w:val="7E6521B1"/>
    <w:rsid w:val="7E7637D6"/>
    <w:rsid w:val="7E8307A2"/>
    <w:rsid w:val="7E8414C8"/>
    <w:rsid w:val="7E893AD1"/>
    <w:rsid w:val="7E9D59BC"/>
    <w:rsid w:val="7EA5DC88"/>
    <w:rsid w:val="7EBDB853"/>
    <w:rsid w:val="7EC6EBAB"/>
    <w:rsid w:val="7EE9DE32"/>
    <w:rsid w:val="7EF2CA8B"/>
    <w:rsid w:val="7F0438CD"/>
    <w:rsid w:val="7F4DF96E"/>
    <w:rsid w:val="7F9406EE"/>
    <w:rsid w:val="7F96CB21"/>
    <w:rsid w:val="7FAA7A54"/>
    <w:rsid w:val="7FCC0A85"/>
    <w:rsid w:val="7FCD304F"/>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31B213CB"/>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96928"/>
    <w:pPr>
      <w:spacing w:before="100" w:beforeAutospacing="1" w:after="100" w:afterAutospacing="1" w:line="480" w:lineRule="auto"/>
      <w:ind w:firstLine="720"/>
    </w:pPr>
    <w:rPr>
      <w:rFonts w:ascii="Times New Roman" w:hAnsi="Times New Roman"/>
      <w:sz w:val="24"/>
      <w:lang w:val="en-GB"/>
    </w:rPr>
  </w:style>
  <w:style w:type="paragraph" w:styleId="Heading1">
    <w:name w:val="heading 1"/>
    <w:basedOn w:val="Normal"/>
    <w:next w:val="Normal"/>
    <w:link w:val="Heading1Char"/>
    <w:autoRedefine/>
    <w:uiPriority w:val="9"/>
    <w:qFormat/>
    <w:rsid w:val="00796928"/>
    <w:pPr>
      <w:keepNext/>
      <w:keepLines/>
      <w:ind w:firstLine="0"/>
      <w:jc w:val="center"/>
      <w:outlineLvl w:val="0"/>
    </w:pPr>
    <w:rPr>
      <w:rFonts w:eastAsiaTheme="majorEastAsia" w:cstheme="majorBidi"/>
      <w:b/>
      <w:sz w:val="28"/>
      <w:szCs w:val="32"/>
    </w:rPr>
  </w:style>
  <w:style w:type="paragraph" w:styleId="Heading2">
    <w:name w:val="heading 2"/>
    <w:basedOn w:val="Normal"/>
    <w:next w:val="Normal"/>
    <w:link w:val="Heading2Char"/>
    <w:autoRedefine/>
    <w:uiPriority w:val="9"/>
    <w:unhideWhenUsed/>
    <w:qFormat/>
    <w:rsid w:val="00796928"/>
    <w:pPr>
      <w:keepNext/>
      <w:keepLines/>
      <w:ind w:firstLine="0"/>
      <w:outlineLvl w:val="1"/>
    </w:pPr>
    <w:rPr>
      <w:rFonts w:eastAsiaTheme="majorEastAsia" w:cstheme="majorBidi"/>
      <w:b/>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603CD2"/>
    <w:pPr>
      <w:spacing w:line="240" w:lineRule="auto"/>
    </w:pPr>
    <w:rPr>
      <w:rFonts w:eastAsia="Times New Roman" w:cs="Times New Roman"/>
      <w:szCs w:val="24"/>
      <w:lang w:eastAsia="en-AU"/>
    </w:rPr>
  </w:style>
  <w:style w:type="character" w:customStyle="1" w:styleId="normaltextrun">
    <w:name w:val="normaltextrun"/>
    <w:basedOn w:val="DefaultParagraphFont"/>
    <w:rsid w:val="00603CD2"/>
  </w:style>
  <w:style w:type="character" w:customStyle="1" w:styleId="eop">
    <w:name w:val="eop"/>
    <w:basedOn w:val="DefaultParagraphFont"/>
    <w:rsid w:val="00603CD2"/>
  </w:style>
  <w:style w:type="character" w:styleId="Hyperlink">
    <w:name w:val="Hyperlink"/>
    <w:basedOn w:val="DefaultParagraphFont"/>
    <w:uiPriority w:val="99"/>
    <w:unhideWhenUsed/>
    <w:rsid w:val="00614A73"/>
    <w:rPr>
      <w:color w:val="0000FF"/>
      <w:u w:val="single"/>
    </w:rPr>
  </w:style>
  <w:style w:type="paragraph" w:styleId="ListParagraph">
    <w:name w:val="List Paragraph"/>
    <w:basedOn w:val="Normal"/>
    <w:uiPriority w:val="34"/>
    <w:qFormat/>
    <w:rsid w:val="00B43AA4"/>
    <w:pPr>
      <w:ind w:left="720"/>
      <w:contextualSpacing/>
    </w:pPr>
  </w:style>
  <w:style w:type="character" w:styleId="UnresolvedMention">
    <w:name w:val="Unresolved Mention"/>
    <w:basedOn w:val="DefaultParagraphFont"/>
    <w:uiPriority w:val="99"/>
    <w:semiHidden/>
    <w:unhideWhenUsed/>
    <w:rsid w:val="00B43AA4"/>
    <w:rPr>
      <w:color w:val="605E5C"/>
      <w:shd w:val="clear" w:color="auto" w:fill="E1DFDD"/>
    </w:rPr>
  </w:style>
  <w:style w:type="character" w:styleId="Emphasis">
    <w:name w:val="Emphasis"/>
    <w:basedOn w:val="DefaultParagraphFont"/>
    <w:uiPriority w:val="20"/>
    <w:qFormat/>
    <w:rsid w:val="0076201D"/>
    <w:rPr>
      <w:i/>
      <w:iCs/>
    </w:rPr>
  </w:style>
  <w:style w:type="character" w:customStyle="1" w:styleId="aranob">
    <w:name w:val="aranob"/>
    <w:basedOn w:val="DefaultParagraphFont"/>
    <w:rsid w:val="0076201D"/>
  </w:style>
  <w:style w:type="paragraph" w:styleId="NormalWeb">
    <w:name w:val="Normal (Web)"/>
    <w:basedOn w:val="Normal"/>
    <w:uiPriority w:val="99"/>
    <w:semiHidden/>
    <w:unhideWhenUsed/>
    <w:rsid w:val="0076201D"/>
    <w:pPr>
      <w:spacing w:line="240" w:lineRule="auto"/>
    </w:pPr>
    <w:rPr>
      <w:rFonts w:eastAsia="Times New Roman" w:cs="Times New Roman"/>
      <w:szCs w:val="24"/>
      <w:lang w:eastAsia="en-AU"/>
    </w:rPr>
  </w:style>
  <w:style w:type="paragraph" w:customStyle="1" w:styleId="EndNoteBibliographyTitle">
    <w:name w:val="EndNote Bibliography Title"/>
    <w:basedOn w:val="Normal"/>
    <w:link w:val="EndNoteBibliographyTitleChar"/>
    <w:rsid w:val="0079547F"/>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79547F"/>
    <w:rPr>
      <w:rFonts w:ascii="Calibri" w:hAnsi="Calibri" w:cs="Calibri"/>
      <w:noProof/>
      <w:lang w:val="en-US"/>
    </w:rPr>
  </w:style>
  <w:style w:type="paragraph" w:customStyle="1" w:styleId="EndNoteBibliography">
    <w:name w:val="EndNote Bibliography"/>
    <w:basedOn w:val="Normal"/>
    <w:link w:val="EndNoteBibliographyChar"/>
    <w:rsid w:val="0079547F"/>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79547F"/>
    <w:rPr>
      <w:rFonts w:ascii="Calibri" w:hAnsi="Calibri" w:cs="Calibri"/>
      <w:noProof/>
      <w:lang w:val="en-US"/>
    </w:rPr>
  </w:style>
  <w:style w:type="paragraph" w:styleId="Header">
    <w:name w:val="header"/>
    <w:basedOn w:val="Normal"/>
    <w:link w:val="HeaderChar"/>
    <w:uiPriority w:val="99"/>
    <w:unhideWhenUsed/>
    <w:rsid w:val="002465BA"/>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65BA"/>
  </w:style>
  <w:style w:type="paragraph" w:styleId="Footer">
    <w:name w:val="footer"/>
    <w:basedOn w:val="Normal"/>
    <w:link w:val="FooterChar"/>
    <w:uiPriority w:val="99"/>
    <w:unhideWhenUsed/>
    <w:rsid w:val="002465BA"/>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65BA"/>
  </w:style>
  <w:style w:type="character" w:styleId="CommentReference">
    <w:name w:val="annotation reference"/>
    <w:basedOn w:val="DefaultParagraphFont"/>
    <w:uiPriority w:val="99"/>
    <w:semiHidden/>
    <w:unhideWhenUsed/>
    <w:rsid w:val="0089798A"/>
    <w:rPr>
      <w:sz w:val="16"/>
      <w:szCs w:val="16"/>
    </w:rPr>
  </w:style>
  <w:style w:type="paragraph" w:styleId="CommentText">
    <w:name w:val="annotation text"/>
    <w:basedOn w:val="Normal"/>
    <w:link w:val="CommentTextChar"/>
    <w:uiPriority w:val="99"/>
    <w:unhideWhenUsed/>
    <w:rsid w:val="0089798A"/>
    <w:pPr>
      <w:spacing w:line="240" w:lineRule="auto"/>
    </w:pPr>
    <w:rPr>
      <w:sz w:val="20"/>
      <w:szCs w:val="20"/>
    </w:rPr>
  </w:style>
  <w:style w:type="character" w:customStyle="1" w:styleId="CommentTextChar">
    <w:name w:val="Comment Text Char"/>
    <w:basedOn w:val="DefaultParagraphFont"/>
    <w:link w:val="CommentText"/>
    <w:uiPriority w:val="99"/>
    <w:rsid w:val="0089798A"/>
    <w:rPr>
      <w:sz w:val="20"/>
      <w:szCs w:val="20"/>
    </w:rPr>
  </w:style>
  <w:style w:type="paragraph" w:styleId="CommentSubject">
    <w:name w:val="annotation subject"/>
    <w:basedOn w:val="CommentText"/>
    <w:next w:val="CommentText"/>
    <w:link w:val="CommentSubjectChar"/>
    <w:uiPriority w:val="99"/>
    <w:semiHidden/>
    <w:unhideWhenUsed/>
    <w:rsid w:val="0089798A"/>
    <w:rPr>
      <w:b/>
      <w:bCs/>
    </w:rPr>
  </w:style>
  <w:style w:type="character" w:customStyle="1" w:styleId="CommentSubjectChar">
    <w:name w:val="Comment Subject Char"/>
    <w:basedOn w:val="CommentTextChar"/>
    <w:link w:val="CommentSubject"/>
    <w:uiPriority w:val="99"/>
    <w:semiHidden/>
    <w:rsid w:val="0089798A"/>
    <w:rPr>
      <w:b/>
      <w:bCs/>
      <w:sz w:val="20"/>
      <w:szCs w:val="20"/>
    </w:rPr>
  </w:style>
  <w:style w:type="paragraph" w:styleId="Revision">
    <w:name w:val="Revision"/>
    <w:hidden/>
    <w:uiPriority w:val="99"/>
    <w:semiHidden/>
    <w:rsid w:val="000D3672"/>
    <w:pPr>
      <w:spacing w:after="0" w:line="240" w:lineRule="auto"/>
    </w:pPr>
  </w:style>
  <w:style w:type="character" w:styleId="FollowedHyperlink">
    <w:name w:val="FollowedHyperlink"/>
    <w:basedOn w:val="DefaultParagraphFont"/>
    <w:uiPriority w:val="99"/>
    <w:semiHidden/>
    <w:unhideWhenUsed/>
    <w:rsid w:val="00ED3A54"/>
    <w:rPr>
      <w:color w:val="954F72" w:themeColor="followedHyperlink"/>
      <w:u w:val="single"/>
    </w:rPr>
  </w:style>
  <w:style w:type="character" w:styleId="FootnoteReference">
    <w:name w:val="footnote reference"/>
    <w:basedOn w:val="DefaultParagraphFont"/>
    <w:uiPriority w:val="99"/>
    <w:semiHidden/>
    <w:unhideWhenUsed/>
    <w:rsid w:val="00105DCE"/>
    <w:rPr>
      <w:vertAlign w:val="superscript"/>
    </w:rPr>
  </w:style>
  <w:style w:type="character" w:customStyle="1" w:styleId="Heading1Char">
    <w:name w:val="Heading 1 Char"/>
    <w:basedOn w:val="DefaultParagraphFont"/>
    <w:link w:val="Heading1"/>
    <w:uiPriority w:val="9"/>
    <w:rsid w:val="00796928"/>
    <w:rPr>
      <w:rFonts w:ascii="Times New Roman" w:eastAsiaTheme="majorEastAsia" w:hAnsi="Times New Roman" w:cstheme="majorBidi"/>
      <w:b/>
      <w:sz w:val="28"/>
      <w:szCs w:val="32"/>
      <w:lang w:val="en-GB"/>
    </w:rPr>
  </w:style>
  <w:style w:type="character" w:customStyle="1" w:styleId="Heading2Char">
    <w:name w:val="Heading 2 Char"/>
    <w:basedOn w:val="DefaultParagraphFont"/>
    <w:link w:val="Heading2"/>
    <w:uiPriority w:val="9"/>
    <w:rsid w:val="00796928"/>
    <w:rPr>
      <w:rFonts w:ascii="Times New Roman" w:eastAsiaTheme="majorEastAsia" w:hAnsi="Times New Roman" w:cstheme="majorBidi"/>
      <w:b/>
      <w:sz w:val="24"/>
      <w:szCs w:val="2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64782">
      <w:bodyDiv w:val="1"/>
      <w:marLeft w:val="0"/>
      <w:marRight w:val="0"/>
      <w:marTop w:val="0"/>
      <w:marBottom w:val="0"/>
      <w:divBdr>
        <w:top w:val="none" w:sz="0" w:space="0" w:color="auto"/>
        <w:left w:val="none" w:sz="0" w:space="0" w:color="auto"/>
        <w:bottom w:val="none" w:sz="0" w:space="0" w:color="auto"/>
        <w:right w:val="none" w:sz="0" w:space="0" w:color="auto"/>
      </w:divBdr>
    </w:div>
    <w:div w:id="82530345">
      <w:bodyDiv w:val="1"/>
      <w:marLeft w:val="0"/>
      <w:marRight w:val="0"/>
      <w:marTop w:val="0"/>
      <w:marBottom w:val="0"/>
      <w:divBdr>
        <w:top w:val="none" w:sz="0" w:space="0" w:color="auto"/>
        <w:left w:val="none" w:sz="0" w:space="0" w:color="auto"/>
        <w:bottom w:val="none" w:sz="0" w:space="0" w:color="auto"/>
        <w:right w:val="none" w:sz="0" w:space="0" w:color="auto"/>
      </w:divBdr>
    </w:div>
    <w:div w:id="134835265">
      <w:bodyDiv w:val="1"/>
      <w:marLeft w:val="0"/>
      <w:marRight w:val="0"/>
      <w:marTop w:val="0"/>
      <w:marBottom w:val="0"/>
      <w:divBdr>
        <w:top w:val="none" w:sz="0" w:space="0" w:color="auto"/>
        <w:left w:val="none" w:sz="0" w:space="0" w:color="auto"/>
        <w:bottom w:val="none" w:sz="0" w:space="0" w:color="auto"/>
        <w:right w:val="none" w:sz="0" w:space="0" w:color="auto"/>
      </w:divBdr>
    </w:div>
    <w:div w:id="163589601">
      <w:bodyDiv w:val="1"/>
      <w:marLeft w:val="0"/>
      <w:marRight w:val="0"/>
      <w:marTop w:val="0"/>
      <w:marBottom w:val="0"/>
      <w:divBdr>
        <w:top w:val="none" w:sz="0" w:space="0" w:color="auto"/>
        <w:left w:val="none" w:sz="0" w:space="0" w:color="auto"/>
        <w:bottom w:val="none" w:sz="0" w:space="0" w:color="auto"/>
        <w:right w:val="none" w:sz="0" w:space="0" w:color="auto"/>
      </w:divBdr>
    </w:div>
    <w:div w:id="173112809">
      <w:bodyDiv w:val="1"/>
      <w:marLeft w:val="0"/>
      <w:marRight w:val="0"/>
      <w:marTop w:val="0"/>
      <w:marBottom w:val="0"/>
      <w:divBdr>
        <w:top w:val="none" w:sz="0" w:space="0" w:color="auto"/>
        <w:left w:val="none" w:sz="0" w:space="0" w:color="auto"/>
        <w:bottom w:val="none" w:sz="0" w:space="0" w:color="auto"/>
        <w:right w:val="none" w:sz="0" w:space="0" w:color="auto"/>
      </w:divBdr>
      <w:divsChild>
        <w:div w:id="452408704">
          <w:marLeft w:val="0"/>
          <w:marRight w:val="0"/>
          <w:marTop w:val="0"/>
          <w:marBottom w:val="0"/>
          <w:divBdr>
            <w:top w:val="none" w:sz="0" w:space="0" w:color="auto"/>
            <w:left w:val="none" w:sz="0" w:space="0" w:color="auto"/>
            <w:bottom w:val="none" w:sz="0" w:space="0" w:color="auto"/>
            <w:right w:val="none" w:sz="0" w:space="0" w:color="auto"/>
          </w:divBdr>
        </w:div>
      </w:divsChild>
    </w:div>
    <w:div w:id="186717009">
      <w:bodyDiv w:val="1"/>
      <w:marLeft w:val="0"/>
      <w:marRight w:val="0"/>
      <w:marTop w:val="0"/>
      <w:marBottom w:val="0"/>
      <w:divBdr>
        <w:top w:val="none" w:sz="0" w:space="0" w:color="auto"/>
        <w:left w:val="none" w:sz="0" w:space="0" w:color="auto"/>
        <w:bottom w:val="none" w:sz="0" w:space="0" w:color="auto"/>
        <w:right w:val="none" w:sz="0" w:space="0" w:color="auto"/>
      </w:divBdr>
    </w:div>
    <w:div w:id="236983071">
      <w:bodyDiv w:val="1"/>
      <w:marLeft w:val="0"/>
      <w:marRight w:val="0"/>
      <w:marTop w:val="0"/>
      <w:marBottom w:val="0"/>
      <w:divBdr>
        <w:top w:val="none" w:sz="0" w:space="0" w:color="auto"/>
        <w:left w:val="none" w:sz="0" w:space="0" w:color="auto"/>
        <w:bottom w:val="none" w:sz="0" w:space="0" w:color="auto"/>
        <w:right w:val="none" w:sz="0" w:space="0" w:color="auto"/>
      </w:divBdr>
    </w:div>
    <w:div w:id="247734824">
      <w:bodyDiv w:val="1"/>
      <w:marLeft w:val="0"/>
      <w:marRight w:val="0"/>
      <w:marTop w:val="0"/>
      <w:marBottom w:val="0"/>
      <w:divBdr>
        <w:top w:val="none" w:sz="0" w:space="0" w:color="auto"/>
        <w:left w:val="none" w:sz="0" w:space="0" w:color="auto"/>
        <w:bottom w:val="none" w:sz="0" w:space="0" w:color="auto"/>
        <w:right w:val="none" w:sz="0" w:space="0" w:color="auto"/>
      </w:divBdr>
    </w:div>
    <w:div w:id="251091146">
      <w:bodyDiv w:val="1"/>
      <w:marLeft w:val="0"/>
      <w:marRight w:val="0"/>
      <w:marTop w:val="0"/>
      <w:marBottom w:val="0"/>
      <w:divBdr>
        <w:top w:val="none" w:sz="0" w:space="0" w:color="auto"/>
        <w:left w:val="none" w:sz="0" w:space="0" w:color="auto"/>
        <w:bottom w:val="none" w:sz="0" w:space="0" w:color="auto"/>
        <w:right w:val="none" w:sz="0" w:space="0" w:color="auto"/>
      </w:divBdr>
    </w:div>
    <w:div w:id="277034012">
      <w:bodyDiv w:val="1"/>
      <w:marLeft w:val="0"/>
      <w:marRight w:val="0"/>
      <w:marTop w:val="0"/>
      <w:marBottom w:val="0"/>
      <w:divBdr>
        <w:top w:val="none" w:sz="0" w:space="0" w:color="auto"/>
        <w:left w:val="none" w:sz="0" w:space="0" w:color="auto"/>
        <w:bottom w:val="none" w:sz="0" w:space="0" w:color="auto"/>
        <w:right w:val="none" w:sz="0" w:space="0" w:color="auto"/>
      </w:divBdr>
      <w:divsChild>
        <w:div w:id="217471386">
          <w:marLeft w:val="-720"/>
          <w:marRight w:val="0"/>
          <w:marTop w:val="0"/>
          <w:marBottom w:val="0"/>
          <w:divBdr>
            <w:top w:val="none" w:sz="0" w:space="0" w:color="auto"/>
            <w:left w:val="none" w:sz="0" w:space="0" w:color="auto"/>
            <w:bottom w:val="none" w:sz="0" w:space="0" w:color="auto"/>
            <w:right w:val="none" w:sz="0" w:space="0" w:color="auto"/>
          </w:divBdr>
        </w:div>
      </w:divsChild>
    </w:div>
    <w:div w:id="299264216">
      <w:bodyDiv w:val="1"/>
      <w:marLeft w:val="0"/>
      <w:marRight w:val="0"/>
      <w:marTop w:val="0"/>
      <w:marBottom w:val="0"/>
      <w:divBdr>
        <w:top w:val="none" w:sz="0" w:space="0" w:color="auto"/>
        <w:left w:val="none" w:sz="0" w:space="0" w:color="auto"/>
        <w:bottom w:val="none" w:sz="0" w:space="0" w:color="auto"/>
        <w:right w:val="none" w:sz="0" w:space="0" w:color="auto"/>
      </w:divBdr>
    </w:div>
    <w:div w:id="302849712">
      <w:bodyDiv w:val="1"/>
      <w:marLeft w:val="0"/>
      <w:marRight w:val="0"/>
      <w:marTop w:val="0"/>
      <w:marBottom w:val="0"/>
      <w:divBdr>
        <w:top w:val="none" w:sz="0" w:space="0" w:color="auto"/>
        <w:left w:val="none" w:sz="0" w:space="0" w:color="auto"/>
        <w:bottom w:val="none" w:sz="0" w:space="0" w:color="auto"/>
        <w:right w:val="none" w:sz="0" w:space="0" w:color="auto"/>
      </w:divBdr>
    </w:div>
    <w:div w:id="305552081">
      <w:bodyDiv w:val="1"/>
      <w:marLeft w:val="0"/>
      <w:marRight w:val="0"/>
      <w:marTop w:val="0"/>
      <w:marBottom w:val="0"/>
      <w:divBdr>
        <w:top w:val="none" w:sz="0" w:space="0" w:color="auto"/>
        <w:left w:val="none" w:sz="0" w:space="0" w:color="auto"/>
        <w:bottom w:val="none" w:sz="0" w:space="0" w:color="auto"/>
        <w:right w:val="none" w:sz="0" w:space="0" w:color="auto"/>
      </w:divBdr>
    </w:div>
    <w:div w:id="315232302">
      <w:bodyDiv w:val="1"/>
      <w:marLeft w:val="0"/>
      <w:marRight w:val="0"/>
      <w:marTop w:val="0"/>
      <w:marBottom w:val="0"/>
      <w:divBdr>
        <w:top w:val="none" w:sz="0" w:space="0" w:color="auto"/>
        <w:left w:val="none" w:sz="0" w:space="0" w:color="auto"/>
        <w:bottom w:val="none" w:sz="0" w:space="0" w:color="auto"/>
        <w:right w:val="none" w:sz="0" w:space="0" w:color="auto"/>
      </w:divBdr>
    </w:div>
    <w:div w:id="315888893">
      <w:bodyDiv w:val="1"/>
      <w:marLeft w:val="0"/>
      <w:marRight w:val="0"/>
      <w:marTop w:val="0"/>
      <w:marBottom w:val="0"/>
      <w:divBdr>
        <w:top w:val="none" w:sz="0" w:space="0" w:color="auto"/>
        <w:left w:val="none" w:sz="0" w:space="0" w:color="auto"/>
        <w:bottom w:val="none" w:sz="0" w:space="0" w:color="auto"/>
        <w:right w:val="none" w:sz="0" w:space="0" w:color="auto"/>
      </w:divBdr>
    </w:div>
    <w:div w:id="324864984">
      <w:bodyDiv w:val="1"/>
      <w:marLeft w:val="0"/>
      <w:marRight w:val="0"/>
      <w:marTop w:val="0"/>
      <w:marBottom w:val="0"/>
      <w:divBdr>
        <w:top w:val="none" w:sz="0" w:space="0" w:color="auto"/>
        <w:left w:val="none" w:sz="0" w:space="0" w:color="auto"/>
        <w:bottom w:val="none" w:sz="0" w:space="0" w:color="auto"/>
        <w:right w:val="none" w:sz="0" w:space="0" w:color="auto"/>
      </w:divBdr>
    </w:div>
    <w:div w:id="401945906">
      <w:bodyDiv w:val="1"/>
      <w:marLeft w:val="0"/>
      <w:marRight w:val="0"/>
      <w:marTop w:val="0"/>
      <w:marBottom w:val="0"/>
      <w:divBdr>
        <w:top w:val="none" w:sz="0" w:space="0" w:color="auto"/>
        <w:left w:val="none" w:sz="0" w:space="0" w:color="auto"/>
        <w:bottom w:val="none" w:sz="0" w:space="0" w:color="auto"/>
        <w:right w:val="none" w:sz="0" w:space="0" w:color="auto"/>
      </w:divBdr>
    </w:div>
    <w:div w:id="492448577">
      <w:bodyDiv w:val="1"/>
      <w:marLeft w:val="0"/>
      <w:marRight w:val="0"/>
      <w:marTop w:val="0"/>
      <w:marBottom w:val="0"/>
      <w:divBdr>
        <w:top w:val="none" w:sz="0" w:space="0" w:color="auto"/>
        <w:left w:val="none" w:sz="0" w:space="0" w:color="auto"/>
        <w:bottom w:val="none" w:sz="0" w:space="0" w:color="auto"/>
        <w:right w:val="none" w:sz="0" w:space="0" w:color="auto"/>
      </w:divBdr>
      <w:divsChild>
        <w:div w:id="1745226206">
          <w:marLeft w:val="-720"/>
          <w:marRight w:val="0"/>
          <w:marTop w:val="0"/>
          <w:marBottom w:val="0"/>
          <w:divBdr>
            <w:top w:val="none" w:sz="0" w:space="0" w:color="auto"/>
            <w:left w:val="none" w:sz="0" w:space="0" w:color="auto"/>
            <w:bottom w:val="none" w:sz="0" w:space="0" w:color="auto"/>
            <w:right w:val="none" w:sz="0" w:space="0" w:color="auto"/>
          </w:divBdr>
        </w:div>
      </w:divsChild>
    </w:div>
    <w:div w:id="503057649">
      <w:bodyDiv w:val="1"/>
      <w:marLeft w:val="0"/>
      <w:marRight w:val="0"/>
      <w:marTop w:val="0"/>
      <w:marBottom w:val="0"/>
      <w:divBdr>
        <w:top w:val="none" w:sz="0" w:space="0" w:color="auto"/>
        <w:left w:val="none" w:sz="0" w:space="0" w:color="auto"/>
        <w:bottom w:val="none" w:sz="0" w:space="0" w:color="auto"/>
        <w:right w:val="none" w:sz="0" w:space="0" w:color="auto"/>
      </w:divBdr>
    </w:div>
    <w:div w:id="540245521">
      <w:bodyDiv w:val="1"/>
      <w:marLeft w:val="0"/>
      <w:marRight w:val="0"/>
      <w:marTop w:val="0"/>
      <w:marBottom w:val="0"/>
      <w:divBdr>
        <w:top w:val="none" w:sz="0" w:space="0" w:color="auto"/>
        <w:left w:val="none" w:sz="0" w:space="0" w:color="auto"/>
        <w:bottom w:val="none" w:sz="0" w:space="0" w:color="auto"/>
        <w:right w:val="none" w:sz="0" w:space="0" w:color="auto"/>
      </w:divBdr>
    </w:div>
    <w:div w:id="568082137">
      <w:bodyDiv w:val="1"/>
      <w:marLeft w:val="0"/>
      <w:marRight w:val="0"/>
      <w:marTop w:val="0"/>
      <w:marBottom w:val="0"/>
      <w:divBdr>
        <w:top w:val="none" w:sz="0" w:space="0" w:color="auto"/>
        <w:left w:val="none" w:sz="0" w:space="0" w:color="auto"/>
        <w:bottom w:val="none" w:sz="0" w:space="0" w:color="auto"/>
        <w:right w:val="none" w:sz="0" w:space="0" w:color="auto"/>
      </w:divBdr>
    </w:div>
    <w:div w:id="575550215">
      <w:bodyDiv w:val="1"/>
      <w:marLeft w:val="0"/>
      <w:marRight w:val="0"/>
      <w:marTop w:val="0"/>
      <w:marBottom w:val="0"/>
      <w:divBdr>
        <w:top w:val="none" w:sz="0" w:space="0" w:color="auto"/>
        <w:left w:val="none" w:sz="0" w:space="0" w:color="auto"/>
        <w:bottom w:val="none" w:sz="0" w:space="0" w:color="auto"/>
        <w:right w:val="none" w:sz="0" w:space="0" w:color="auto"/>
      </w:divBdr>
    </w:div>
    <w:div w:id="593127285">
      <w:bodyDiv w:val="1"/>
      <w:marLeft w:val="0"/>
      <w:marRight w:val="0"/>
      <w:marTop w:val="0"/>
      <w:marBottom w:val="0"/>
      <w:divBdr>
        <w:top w:val="none" w:sz="0" w:space="0" w:color="auto"/>
        <w:left w:val="none" w:sz="0" w:space="0" w:color="auto"/>
        <w:bottom w:val="none" w:sz="0" w:space="0" w:color="auto"/>
        <w:right w:val="none" w:sz="0" w:space="0" w:color="auto"/>
      </w:divBdr>
    </w:div>
    <w:div w:id="617378009">
      <w:bodyDiv w:val="1"/>
      <w:marLeft w:val="0"/>
      <w:marRight w:val="0"/>
      <w:marTop w:val="0"/>
      <w:marBottom w:val="0"/>
      <w:divBdr>
        <w:top w:val="none" w:sz="0" w:space="0" w:color="auto"/>
        <w:left w:val="none" w:sz="0" w:space="0" w:color="auto"/>
        <w:bottom w:val="none" w:sz="0" w:space="0" w:color="auto"/>
        <w:right w:val="none" w:sz="0" w:space="0" w:color="auto"/>
      </w:divBdr>
    </w:div>
    <w:div w:id="669480319">
      <w:bodyDiv w:val="1"/>
      <w:marLeft w:val="0"/>
      <w:marRight w:val="0"/>
      <w:marTop w:val="0"/>
      <w:marBottom w:val="0"/>
      <w:divBdr>
        <w:top w:val="none" w:sz="0" w:space="0" w:color="auto"/>
        <w:left w:val="none" w:sz="0" w:space="0" w:color="auto"/>
        <w:bottom w:val="none" w:sz="0" w:space="0" w:color="auto"/>
        <w:right w:val="none" w:sz="0" w:space="0" w:color="auto"/>
      </w:divBdr>
    </w:div>
    <w:div w:id="722946095">
      <w:bodyDiv w:val="1"/>
      <w:marLeft w:val="0"/>
      <w:marRight w:val="0"/>
      <w:marTop w:val="0"/>
      <w:marBottom w:val="0"/>
      <w:divBdr>
        <w:top w:val="none" w:sz="0" w:space="0" w:color="auto"/>
        <w:left w:val="none" w:sz="0" w:space="0" w:color="auto"/>
        <w:bottom w:val="none" w:sz="0" w:space="0" w:color="auto"/>
        <w:right w:val="none" w:sz="0" w:space="0" w:color="auto"/>
      </w:divBdr>
      <w:divsChild>
        <w:div w:id="297730754">
          <w:marLeft w:val="806"/>
          <w:marRight w:val="0"/>
          <w:marTop w:val="0"/>
          <w:marBottom w:val="0"/>
          <w:divBdr>
            <w:top w:val="none" w:sz="0" w:space="0" w:color="auto"/>
            <w:left w:val="none" w:sz="0" w:space="0" w:color="auto"/>
            <w:bottom w:val="none" w:sz="0" w:space="0" w:color="auto"/>
            <w:right w:val="none" w:sz="0" w:space="0" w:color="auto"/>
          </w:divBdr>
        </w:div>
        <w:div w:id="426852212">
          <w:marLeft w:val="806"/>
          <w:marRight w:val="0"/>
          <w:marTop w:val="0"/>
          <w:marBottom w:val="0"/>
          <w:divBdr>
            <w:top w:val="none" w:sz="0" w:space="0" w:color="auto"/>
            <w:left w:val="none" w:sz="0" w:space="0" w:color="auto"/>
            <w:bottom w:val="none" w:sz="0" w:space="0" w:color="auto"/>
            <w:right w:val="none" w:sz="0" w:space="0" w:color="auto"/>
          </w:divBdr>
        </w:div>
        <w:div w:id="710374366">
          <w:marLeft w:val="806"/>
          <w:marRight w:val="0"/>
          <w:marTop w:val="0"/>
          <w:marBottom w:val="0"/>
          <w:divBdr>
            <w:top w:val="none" w:sz="0" w:space="0" w:color="auto"/>
            <w:left w:val="none" w:sz="0" w:space="0" w:color="auto"/>
            <w:bottom w:val="none" w:sz="0" w:space="0" w:color="auto"/>
            <w:right w:val="none" w:sz="0" w:space="0" w:color="auto"/>
          </w:divBdr>
        </w:div>
        <w:div w:id="1024207868">
          <w:marLeft w:val="806"/>
          <w:marRight w:val="0"/>
          <w:marTop w:val="0"/>
          <w:marBottom w:val="0"/>
          <w:divBdr>
            <w:top w:val="none" w:sz="0" w:space="0" w:color="auto"/>
            <w:left w:val="none" w:sz="0" w:space="0" w:color="auto"/>
            <w:bottom w:val="none" w:sz="0" w:space="0" w:color="auto"/>
            <w:right w:val="none" w:sz="0" w:space="0" w:color="auto"/>
          </w:divBdr>
        </w:div>
      </w:divsChild>
    </w:div>
    <w:div w:id="796412995">
      <w:bodyDiv w:val="1"/>
      <w:marLeft w:val="0"/>
      <w:marRight w:val="0"/>
      <w:marTop w:val="0"/>
      <w:marBottom w:val="0"/>
      <w:divBdr>
        <w:top w:val="none" w:sz="0" w:space="0" w:color="auto"/>
        <w:left w:val="none" w:sz="0" w:space="0" w:color="auto"/>
        <w:bottom w:val="none" w:sz="0" w:space="0" w:color="auto"/>
        <w:right w:val="none" w:sz="0" w:space="0" w:color="auto"/>
      </w:divBdr>
    </w:div>
    <w:div w:id="879635314">
      <w:bodyDiv w:val="1"/>
      <w:marLeft w:val="0"/>
      <w:marRight w:val="0"/>
      <w:marTop w:val="0"/>
      <w:marBottom w:val="0"/>
      <w:divBdr>
        <w:top w:val="none" w:sz="0" w:space="0" w:color="auto"/>
        <w:left w:val="none" w:sz="0" w:space="0" w:color="auto"/>
        <w:bottom w:val="none" w:sz="0" w:space="0" w:color="auto"/>
        <w:right w:val="none" w:sz="0" w:space="0" w:color="auto"/>
      </w:divBdr>
    </w:div>
    <w:div w:id="887030652">
      <w:bodyDiv w:val="1"/>
      <w:marLeft w:val="0"/>
      <w:marRight w:val="0"/>
      <w:marTop w:val="0"/>
      <w:marBottom w:val="0"/>
      <w:divBdr>
        <w:top w:val="none" w:sz="0" w:space="0" w:color="auto"/>
        <w:left w:val="none" w:sz="0" w:space="0" w:color="auto"/>
        <w:bottom w:val="none" w:sz="0" w:space="0" w:color="auto"/>
        <w:right w:val="none" w:sz="0" w:space="0" w:color="auto"/>
      </w:divBdr>
    </w:div>
    <w:div w:id="909656121">
      <w:bodyDiv w:val="1"/>
      <w:marLeft w:val="0"/>
      <w:marRight w:val="0"/>
      <w:marTop w:val="0"/>
      <w:marBottom w:val="0"/>
      <w:divBdr>
        <w:top w:val="none" w:sz="0" w:space="0" w:color="auto"/>
        <w:left w:val="none" w:sz="0" w:space="0" w:color="auto"/>
        <w:bottom w:val="none" w:sz="0" w:space="0" w:color="auto"/>
        <w:right w:val="none" w:sz="0" w:space="0" w:color="auto"/>
      </w:divBdr>
    </w:div>
    <w:div w:id="972296239">
      <w:bodyDiv w:val="1"/>
      <w:marLeft w:val="0"/>
      <w:marRight w:val="0"/>
      <w:marTop w:val="0"/>
      <w:marBottom w:val="0"/>
      <w:divBdr>
        <w:top w:val="none" w:sz="0" w:space="0" w:color="auto"/>
        <w:left w:val="none" w:sz="0" w:space="0" w:color="auto"/>
        <w:bottom w:val="none" w:sz="0" w:space="0" w:color="auto"/>
        <w:right w:val="none" w:sz="0" w:space="0" w:color="auto"/>
      </w:divBdr>
    </w:div>
    <w:div w:id="980303921">
      <w:bodyDiv w:val="1"/>
      <w:marLeft w:val="0"/>
      <w:marRight w:val="0"/>
      <w:marTop w:val="0"/>
      <w:marBottom w:val="0"/>
      <w:divBdr>
        <w:top w:val="none" w:sz="0" w:space="0" w:color="auto"/>
        <w:left w:val="none" w:sz="0" w:space="0" w:color="auto"/>
        <w:bottom w:val="none" w:sz="0" w:space="0" w:color="auto"/>
        <w:right w:val="none" w:sz="0" w:space="0" w:color="auto"/>
      </w:divBdr>
    </w:div>
    <w:div w:id="996569844">
      <w:bodyDiv w:val="1"/>
      <w:marLeft w:val="0"/>
      <w:marRight w:val="0"/>
      <w:marTop w:val="0"/>
      <w:marBottom w:val="0"/>
      <w:divBdr>
        <w:top w:val="none" w:sz="0" w:space="0" w:color="auto"/>
        <w:left w:val="none" w:sz="0" w:space="0" w:color="auto"/>
        <w:bottom w:val="none" w:sz="0" w:space="0" w:color="auto"/>
        <w:right w:val="none" w:sz="0" w:space="0" w:color="auto"/>
      </w:divBdr>
      <w:divsChild>
        <w:div w:id="1608854015">
          <w:marLeft w:val="0"/>
          <w:marRight w:val="0"/>
          <w:marTop w:val="0"/>
          <w:marBottom w:val="0"/>
          <w:divBdr>
            <w:top w:val="none" w:sz="0" w:space="0" w:color="auto"/>
            <w:left w:val="none" w:sz="0" w:space="0" w:color="auto"/>
            <w:bottom w:val="none" w:sz="0" w:space="0" w:color="auto"/>
            <w:right w:val="none" w:sz="0" w:space="0" w:color="auto"/>
          </w:divBdr>
          <w:divsChild>
            <w:div w:id="1124468392">
              <w:marLeft w:val="0"/>
              <w:marRight w:val="0"/>
              <w:marTop w:val="0"/>
              <w:marBottom w:val="0"/>
              <w:divBdr>
                <w:top w:val="none" w:sz="0" w:space="0" w:color="auto"/>
                <w:left w:val="none" w:sz="0" w:space="0" w:color="auto"/>
                <w:bottom w:val="none" w:sz="0" w:space="0" w:color="auto"/>
                <w:right w:val="none" w:sz="0" w:space="0" w:color="auto"/>
              </w:divBdr>
              <w:divsChild>
                <w:div w:id="398526243">
                  <w:marLeft w:val="0"/>
                  <w:marRight w:val="0"/>
                  <w:marTop w:val="0"/>
                  <w:marBottom w:val="0"/>
                  <w:divBdr>
                    <w:top w:val="none" w:sz="0" w:space="0" w:color="auto"/>
                    <w:left w:val="none" w:sz="0" w:space="0" w:color="auto"/>
                    <w:bottom w:val="none" w:sz="0" w:space="0" w:color="auto"/>
                    <w:right w:val="none" w:sz="0" w:space="0" w:color="auto"/>
                  </w:divBdr>
                  <w:divsChild>
                    <w:div w:id="2135755317">
                      <w:marLeft w:val="300"/>
                      <w:marRight w:val="0"/>
                      <w:marTop w:val="0"/>
                      <w:marBottom w:val="0"/>
                      <w:divBdr>
                        <w:top w:val="none" w:sz="0" w:space="0" w:color="auto"/>
                        <w:left w:val="none" w:sz="0" w:space="0" w:color="auto"/>
                        <w:bottom w:val="none" w:sz="0" w:space="0" w:color="auto"/>
                        <w:right w:val="none" w:sz="0" w:space="0" w:color="auto"/>
                      </w:divBdr>
                      <w:divsChild>
                        <w:div w:id="420033263">
                          <w:marLeft w:val="-300"/>
                          <w:marRight w:val="0"/>
                          <w:marTop w:val="0"/>
                          <w:marBottom w:val="0"/>
                          <w:divBdr>
                            <w:top w:val="none" w:sz="0" w:space="0" w:color="auto"/>
                            <w:left w:val="none" w:sz="0" w:space="0" w:color="auto"/>
                            <w:bottom w:val="none" w:sz="0" w:space="0" w:color="auto"/>
                            <w:right w:val="none" w:sz="0" w:space="0" w:color="auto"/>
                          </w:divBdr>
                          <w:divsChild>
                            <w:div w:id="1400130232">
                              <w:marLeft w:val="0"/>
                              <w:marRight w:val="0"/>
                              <w:marTop w:val="0"/>
                              <w:marBottom w:val="0"/>
                              <w:divBdr>
                                <w:top w:val="none" w:sz="0" w:space="0" w:color="auto"/>
                                <w:left w:val="none" w:sz="0" w:space="0" w:color="auto"/>
                                <w:bottom w:val="none" w:sz="0" w:space="0" w:color="auto"/>
                                <w:right w:val="none" w:sz="0" w:space="0" w:color="auto"/>
                              </w:divBdr>
                              <w:divsChild>
                                <w:div w:id="1928077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996613825">
      <w:bodyDiv w:val="1"/>
      <w:marLeft w:val="0"/>
      <w:marRight w:val="0"/>
      <w:marTop w:val="0"/>
      <w:marBottom w:val="0"/>
      <w:divBdr>
        <w:top w:val="none" w:sz="0" w:space="0" w:color="auto"/>
        <w:left w:val="none" w:sz="0" w:space="0" w:color="auto"/>
        <w:bottom w:val="none" w:sz="0" w:space="0" w:color="auto"/>
        <w:right w:val="none" w:sz="0" w:space="0" w:color="auto"/>
      </w:divBdr>
    </w:div>
    <w:div w:id="1010179634">
      <w:bodyDiv w:val="1"/>
      <w:marLeft w:val="0"/>
      <w:marRight w:val="0"/>
      <w:marTop w:val="0"/>
      <w:marBottom w:val="0"/>
      <w:divBdr>
        <w:top w:val="none" w:sz="0" w:space="0" w:color="auto"/>
        <w:left w:val="none" w:sz="0" w:space="0" w:color="auto"/>
        <w:bottom w:val="none" w:sz="0" w:space="0" w:color="auto"/>
        <w:right w:val="none" w:sz="0" w:space="0" w:color="auto"/>
      </w:divBdr>
      <w:divsChild>
        <w:div w:id="476268856">
          <w:marLeft w:val="0"/>
          <w:marRight w:val="0"/>
          <w:marTop w:val="0"/>
          <w:marBottom w:val="0"/>
          <w:divBdr>
            <w:top w:val="none" w:sz="0" w:space="0" w:color="auto"/>
            <w:left w:val="none" w:sz="0" w:space="0" w:color="auto"/>
            <w:bottom w:val="none" w:sz="0" w:space="0" w:color="auto"/>
            <w:right w:val="none" w:sz="0" w:space="0" w:color="auto"/>
          </w:divBdr>
        </w:div>
        <w:div w:id="719670339">
          <w:marLeft w:val="0"/>
          <w:marRight w:val="0"/>
          <w:marTop w:val="0"/>
          <w:marBottom w:val="0"/>
          <w:divBdr>
            <w:top w:val="none" w:sz="0" w:space="0" w:color="auto"/>
            <w:left w:val="none" w:sz="0" w:space="0" w:color="auto"/>
            <w:bottom w:val="none" w:sz="0" w:space="0" w:color="auto"/>
            <w:right w:val="none" w:sz="0" w:space="0" w:color="auto"/>
          </w:divBdr>
        </w:div>
        <w:div w:id="811144561">
          <w:marLeft w:val="0"/>
          <w:marRight w:val="0"/>
          <w:marTop w:val="0"/>
          <w:marBottom w:val="0"/>
          <w:divBdr>
            <w:top w:val="none" w:sz="0" w:space="0" w:color="auto"/>
            <w:left w:val="none" w:sz="0" w:space="0" w:color="auto"/>
            <w:bottom w:val="none" w:sz="0" w:space="0" w:color="auto"/>
            <w:right w:val="none" w:sz="0" w:space="0" w:color="auto"/>
          </w:divBdr>
        </w:div>
        <w:div w:id="969552914">
          <w:marLeft w:val="0"/>
          <w:marRight w:val="0"/>
          <w:marTop w:val="0"/>
          <w:marBottom w:val="0"/>
          <w:divBdr>
            <w:top w:val="none" w:sz="0" w:space="0" w:color="auto"/>
            <w:left w:val="none" w:sz="0" w:space="0" w:color="auto"/>
            <w:bottom w:val="none" w:sz="0" w:space="0" w:color="auto"/>
            <w:right w:val="none" w:sz="0" w:space="0" w:color="auto"/>
          </w:divBdr>
        </w:div>
        <w:div w:id="989410685">
          <w:marLeft w:val="0"/>
          <w:marRight w:val="0"/>
          <w:marTop w:val="0"/>
          <w:marBottom w:val="0"/>
          <w:divBdr>
            <w:top w:val="none" w:sz="0" w:space="0" w:color="auto"/>
            <w:left w:val="none" w:sz="0" w:space="0" w:color="auto"/>
            <w:bottom w:val="none" w:sz="0" w:space="0" w:color="auto"/>
            <w:right w:val="none" w:sz="0" w:space="0" w:color="auto"/>
          </w:divBdr>
        </w:div>
        <w:div w:id="997880201">
          <w:marLeft w:val="0"/>
          <w:marRight w:val="0"/>
          <w:marTop w:val="0"/>
          <w:marBottom w:val="0"/>
          <w:divBdr>
            <w:top w:val="none" w:sz="0" w:space="0" w:color="auto"/>
            <w:left w:val="none" w:sz="0" w:space="0" w:color="auto"/>
            <w:bottom w:val="none" w:sz="0" w:space="0" w:color="auto"/>
            <w:right w:val="none" w:sz="0" w:space="0" w:color="auto"/>
          </w:divBdr>
        </w:div>
        <w:div w:id="1013648694">
          <w:marLeft w:val="0"/>
          <w:marRight w:val="0"/>
          <w:marTop w:val="0"/>
          <w:marBottom w:val="0"/>
          <w:divBdr>
            <w:top w:val="none" w:sz="0" w:space="0" w:color="auto"/>
            <w:left w:val="none" w:sz="0" w:space="0" w:color="auto"/>
            <w:bottom w:val="none" w:sz="0" w:space="0" w:color="auto"/>
            <w:right w:val="none" w:sz="0" w:space="0" w:color="auto"/>
          </w:divBdr>
        </w:div>
        <w:div w:id="1439180775">
          <w:marLeft w:val="0"/>
          <w:marRight w:val="0"/>
          <w:marTop w:val="0"/>
          <w:marBottom w:val="0"/>
          <w:divBdr>
            <w:top w:val="none" w:sz="0" w:space="0" w:color="auto"/>
            <w:left w:val="none" w:sz="0" w:space="0" w:color="auto"/>
            <w:bottom w:val="none" w:sz="0" w:space="0" w:color="auto"/>
            <w:right w:val="none" w:sz="0" w:space="0" w:color="auto"/>
          </w:divBdr>
        </w:div>
        <w:div w:id="1583642734">
          <w:marLeft w:val="0"/>
          <w:marRight w:val="0"/>
          <w:marTop w:val="0"/>
          <w:marBottom w:val="0"/>
          <w:divBdr>
            <w:top w:val="none" w:sz="0" w:space="0" w:color="auto"/>
            <w:left w:val="none" w:sz="0" w:space="0" w:color="auto"/>
            <w:bottom w:val="none" w:sz="0" w:space="0" w:color="auto"/>
            <w:right w:val="none" w:sz="0" w:space="0" w:color="auto"/>
          </w:divBdr>
        </w:div>
        <w:div w:id="1636174977">
          <w:marLeft w:val="0"/>
          <w:marRight w:val="0"/>
          <w:marTop w:val="0"/>
          <w:marBottom w:val="0"/>
          <w:divBdr>
            <w:top w:val="none" w:sz="0" w:space="0" w:color="auto"/>
            <w:left w:val="none" w:sz="0" w:space="0" w:color="auto"/>
            <w:bottom w:val="none" w:sz="0" w:space="0" w:color="auto"/>
            <w:right w:val="none" w:sz="0" w:space="0" w:color="auto"/>
          </w:divBdr>
        </w:div>
        <w:div w:id="2072535323">
          <w:marLeft w:val="0"/>
          <w:marRight w:val="0"/>
          <w:marTop w:val="0"/>
          <w:marBottom w:val="0"/>
          <w:divBdr>
            <w:top w:val="none" w:sz="0" w:space="0" w:color="auto"/>
            <w:left w:val="none" w:sz="0" w:space="0" w:color="auto"/>
            <w:bottom w:val="none" w:sz="0" w:space="0" w:color="auto"/>
            <w:right w:val="none" w:sz="0" w:space="0" w:color="auto"/>
          </w:divBdr>
        </w:div>
      </w:divsChild>
    </w:div>
    <w:div w:id="1027870387">
      <w:bodyDiv w:val="1"/>
      <w:marLeft w:val="0"/>
      <w:marRight w:val="0"/>
      <w:marTop w:val="0"/>
      <w:marBottom w:val="0"/>
      <w:divBdr>
        <w:top w:val="none" w:sz="0" w:space="0" w:color="auto"/>
        <w:left w:val="none" w:sz="0" w:space="0" w:color="auto"/>
        <w:bottom w:val="none" w:sz="0" w:space="0" w:color="auto"/>
        <w:right w:val="none" w:sz="0" w:space="0" w:color="auto"/>
      </w:divBdr>
      <w:divsChild>
        <w:div w:id="2138329385">
          <w:marLeft w:val="-720"/>
          <w:marRight w:val="0"/>
          <w:marTop w:val="0"/>
          <w:marBottom w:val="0"/>
          <w:divBdr>
            <w:top w:val="none" w:sz="0" w:space="0" w:color="auto"/>
            <w:left w:val="none" w:sz="0" w:space="0" w:color="auto"/>
            <w:bottom w:val="none" w:sz="0" w:space="0" w:color="auto"/>
            <w:right w:val="none" w:sz="0" w:space="0" w:color="auto"/>
          </w:divBdr>
        </w:div>
      </w:divsChild>
    </w:div>
    <w:div w:id="1045179417">
      <w:bodyDiv w:val="1"/>
      <w:marLeft w:val="0"/>
      <w:marRight w:val="0"/>
      <w:marTop w:val="0"/>
      <w:marBottom w:val="0"/>
      <w:divBdr>
        <w:top w:val="none" w:sz="0" w:space="0" w:color="auto"/>
        <w:left w:val="none" w:sz="0" w:space="0" w:color="auto"/>
        <w:bottom w:val="none" w:sz="0" w:space="0" w:color="auto"/>
        <w:right w:val="none" w:sz="0" w:space="0" w:color="auto"/>
      </w:divBdr>
    </w:div>
    <w:div w:id="1051929442">
      <w:bodyDiv w:val="1"/>
      <w:marLeft w:val="0"/>
      <w:marRight w:val="0"/>
      <w:marTop w:val="0"/>
      <w:marBottom w:val="0"/>
      <w:divBdr>
        <w:top w:val="none" w:sz="0" w:space="0" w:color="auto"/>
        <w:left w:val="none" w:sz="0" w:space="0" w:color="auto"/>
        <w:bottom w:val="none" w:sz="0" w:space="0" w:color="auto"/>
        <w:right w:val="none" w:sz="0" w:space="0" w:color="auto"/>
      </w:divBdr>
    </w:div>
    <w:div w:id="1091856696">
      <w:bodyDiv w:val="1"/>
      <w:marLeft w:val="0"/>
      <w:marRight w:val="0"/>
      <w:marTop w:val="0"/>
      <w:marBottom w:val="0"/>
      <w:divBdr>
        <w:top w:val="none" w:sz="0" w:space="0" w:color="auto"/>
        <w:left w:val="none" w:sz="0" w:space="0" w:color="auto"/>
        <w:bottom w:val="none" w:sz="0" w:space="0" w:color="auto"/>
        <w:right w:val="none" w:sz="0" w:space="0" w:color="auto"/>
      </w:divBdr>
      <w:divsChild>
        <w:div w:id="233130362">
          <w:marLeft w:val="547"/>
          <w:marRight w:val="0"/>
          <w:marTop w:val="0"/>
          <w:marBottom w:val="160"/>
          <w:divBdr>
            <w:top w:val="none" w:sz="0" w:space="0" w:color="auto"/>
            <w:left w:val="none" w:sz="0" w:space="0" w:color="auto"/>
            <w:bottom w:val="none" w:sz="0" w:space="0" w:color="auto"/>
            <w:right w:val="none" w:sz="0" w:space="0" w:color="auto"/>
          </w:divBdr>
        </w:div>
        <w:div w:id="319819198">
          <w:marLeft w:val="547"/>
          <w:marRight w:val="0"/>
          <w:marTop w:val="0"/>
          <w:marBottom w:val="160"/>
          <w:divBdr>
            <w:top w:val="none" w:sz="0" w:space="0" w:color="auto"/>
            <w:left w:val="none" w:sz="0" w:space="0" w:color="auto"/>
            <w:bottom w:val="none" w:sz="0" w:space="0" w:color="auto"/>
            <w:right w:val="none" w:sz="0" w:space="0" w:color="auto"/>
          </w:divBdr>
        </w:div>
        <w:div w:id="576405792">
          <w:marLeft w:val="547"/>
          <w:marRight w:val="0"/>
          <w:marTop w:val="0"/>
          <w:marBottom w:val="160"/>
          <w:divBdr>
            <w:top w:val="none" w:sz="0" w:space="0" w:color="auto"/>
            <w:left w:val="none" w:sz="0" w:space="0" w:color="auto"/>
            <w:bottom w:val="none" w:sz="0" w:space="0" w:color="auto"/>
            <w:right w:val="none" w:sz="0" w:space="0" w:color="auto"/>
          </w:divBdr>
        </w:div>
        <w:div w:id="999696000">
          <w:marLeft w:val="547"/>
          <w:marRight w:val="0"/>
          <w:marTop w:val="0"/>
          <w:marBottom w:val="160"/>
          <w:divBdr>
            <w:top w:val="none" w:sz="0" w:space="0" w:color="auto"/>
            <w:left w:val="none" w:sz="0" w:space="0" w:color="auto"/>
            <w:bottom w:val="none" w:sz="0" w:space="0" w:color="auto"/>
            <w:right w:val="none" w:sz="0" w:space="0" w:color="auto"/>
          </w:divBdr>
        </w:div>
        <w:div w:id="1340502281">
          <w:marLeft w:val="547"/>
          <w:marRight w:val="0"/>
          <w:marTop w:val="0"/>
          <w:marBottom w:val="160"/>
          <w:divBdr>
            <w:top w:val="none" w:sz="0" w:space="0" w:color="auto"/>
            <w:left w:val="none" w:sz="0" w:space="0" w:color="auto"/>
            <w:bottom w:val="none" w:sz="0" w:space="0" w:color="auto"/>
            <w:right w:val="none" w:sz="0" w:space="0" w:color="auto"/>
          </w:divBdr>
        </w:div>
        <w:div w:id="2133741824">
          <w:marLeft w:val="547"/>
          <w:marRight w:val="0"/>
          <w:marTop w:val="0"/>
          <w:marBottom w:val="160"/>
          <w:divBdr>
            <w:top w:val="none" w:sz="0" w:space="0" w:color="auto"/>
            <w:left w:val="none" w:sz="0" w:space="0" w:color="auto"/>
            <w:bottom w:val="none" w:sz="0" w:space="0" w:color="auto"/>
            <w:right w:val="none" w:sz="0" w:space="0" w:color="auto"/>
          </w:divBdr>
        </w:div>
      </w:divsChild>
    </w:div>
    <w:div w:id="1185748498">
      <w:bodyDiv w:val="1"/>
      <w:marLeft w:val="0"/>
      <w:marRight w:val="0"/>
      <w:marTop w:val="0"/>
      <w:marBottom w:val="0"/>
      <w:divBdr>
        <w:top w:val="none" w:sz="0" w:space="0" w:color="auto"/>
        <w:left w:val="none" w:sz="0" w:space="0" w:color="auto"/>
        <w:bottom w:val="none" w:sz="0" w:space="0" w:color="auto"/>
        <w:right w:val="none" w:sz="0" w:space="0" w:color="auto"/>
      </w:divBdr>
    </w:div>
    <w:div w:id="1220751500">
      <w:bodyDiv w:val="1"/>
      <w:marLeft w:val="0"/>
      <w:marRight w:val="0"/>
      <w:marTop w:val="0"/>
      <w:marBottom w:val="0"/>
      <w:divBdr>
        <w:top w:val="none" w:sz="0" w:space="0" w:color="auto"/>
        <w:left w:val="none" w:sz="0" w:space="0" w:color="auto"/>
        <w:bottom w:val="none" w:sz="0" w:space="0" w:color="auto"/>
        <w:right w:val="none" w:sz="0" w:space="0" w:color="auto"/>
      </w:divBdr>
      <w:divsChild>
        <w:div w:id="309941893">
          <w:marLeft w:val="-720"/>
          <w:marRight w:val="0"/>
          <w:marTop w:val="0"/>
          <w:marBottom w:val="0"/>
          <w:divBdr>
            <w:top w:val="none" w:sz="0" w:space="0" w:color="auto"/>
            <w:left w:val="none" w:sz="0" w:space="0" w:color="auto"/>
            <w:bottom w:val="none" w:sz="0" w:space="0" w:color="auto"/>
            <w:right w:val="none" w:sz="0" w:space="0" w:color="auto"/>
          </w:divBdr>
        </w:div>
      </w:divsChild>
    </w:div>
    <w:div w:id="1259944545">
      <w:bodyDiv w:val="1"/>
      <w:marLeft w:val="0"/>
      <w:marRight w:val="0"/>
      <w:marTop w:val="0"/>
      <w:marBottom w:val="0"/>
      <w:divBdr>
        <w:top w:val="none" w:sz="0" w:space="0" w:color="auto"/>
        <w:left w:val="none" w:sz="0" w:space="0" w:color="auto"/>
        <w:bottom w:val="none" w:sz="0" w:space="0" w:color="auto"/>
        <w:right w:val="none" w:sz="0" w:space="0" w:color="auto"/>
      </w:divBdr>
    </w:div>
    <w:div w:id="1281956353">
      <w:bodyDiv w:val="1"/>
      <w:marLeft w:val="0"/>
      <w:marRight w:val="0"/>
      <w:marTop w:val="0"/>
      <w:marBottom w:val="0"/>
      <w:divBdr>
        <w:top w:val="none" w:sz="0" w:space="0" w:color="auto"/>
        <w:left w:val="none" w:sz="0" w:space="0" w:color="auto"/>
        <w:bottom w:val="none" w:sz="0" w:space="0" w:color="auto"/>
        <w:right w:val="none" w:sz="0" w:space="0" w:color="auto"/>
      </w:divBdr>
      <w:divsChild>
        <w:div w:id="443422533">
          <w:marLeft w:val="-720"/>
          <w:marRight w:val="0"/>
          <w:marTop w:val="0"/>
          <w:marBottom w:val="0"/>
          <w:divBdr>
            <w:top w:val="none" w:sz="0" w:space="0" w:color="auto"/>
            <w:left w:val="none" w:sz="0" w:space="0" w:color="auto"/>
            <w:bottom w:val="none" w:sz="0" w:space="0" w:color="auto"/>
            <w:right w:val="none" w:sz="0" w:space="0" w:color="auto"/>
          </w:divBdr>
        </w:div>
      </w:divsChild>
    </w:div>
    <w:div w:id="1284535995">
      <w:bodyDiv w:val="1"/>
      <w:marLeft w:val="0"/>
      <w:marRight w:val="0"/>
      <w:marTop w:val="0"/>
      <w:marBottom w:val="0"/>
      <w:divBdr>
        <w:top w:val="none" w:sz="0" w:space="0" w:color="auto"/>
        <w:left w:val="none" w:sz="0" w:space="0" w:color="auto"/>
        <w:bottom w:val="none" w:sz="0" w:space="0" w:color="auto"/>
        <w:right w:val="none" w:sz="0" w:space="0" w:color="auto"/>
      </w:divBdr>
    </w:div>
    <w:div w:id="1306352869">
      <w:bodyDiv w:val="1"/>
      <w:marLeft w:val="0"/>
      <w:marRight w:val="0"/>
      <w:marTop w:val="0"/>
      <w:marBottom w:val="0"/>
      <w:divBdr>
        <w:top w:val="none" w:sz="0" w:space="0" w:color="auto"/>
        <w:left w:val="none" w:sz="0" w:space="0" w:color="auto"/>
        <w:bottom w:val="none" w:sz="0" w:space="0" w:color="auto"/>
        <w:right w:val="none" w:sz="0" w:space="0" w:color="auto"/>
      </w:divBdr>
      <w:divsChild>
        <w:div w:id="406195743">
          <w:marLeft w:val="-720"/>
          <w:marRight w:val="0"/>
          <w:marTop w:val="0"/>
          <w:marBottom w:val="0"/>
          <w:divBdr>
            <w:top w:val="none" w:sz="0" w:space="0" w:color="auto"/>
            <w:left w:val="none" w:sz="0" w:space="0" w:color="auto"/>
            <w:bottom w:val="none" w:sz="0" w:space="0" w:color="auto"/>
            <w:right w:val="none" w:sz="0" w:space="0" w:color="auto"/>
          </w:divBdr>
        </w:div>
      </w:divsChild>
    </w:div>
    <w:div w:id="1306470102">
      <w:bodyDiv w:val="1"/>
      <w:marLeft w:val="0"/>
      <w:marRight w:val="0"/>
      <w:marTop w:val="0"/>
      <w:marBottom w:val="0"/>
      <w:divBdr>
        <w:top w:val="none" w:sz="0" w:space="0" w:color="auto"/>
        <w:left w:val="none" w:sz="0" w:space="0" w:color="auto"/>
        <w:bottom w:val="none" w:sz="0" w:space="0" w:color="auto"/>
        <w:right w:val="none" w:sz="0" w:space="0" w:color="auto"/>
      </w:divBdr>
    </w:div>
    <w:div w:id="1324158423">
      <w:bodyDiv w:val="1"/>
      <w:marLeft w:val="0"/>
      <w:marRight w:val="0"/>
      <w:marTop w:val="0"/>
      <w:marBottom w:val="0"/>
      <w:divBdr>
        <w:top w:val="none" w:sz="0" w:space="0" w:color="auto"/>
        <w:left w:val="none" w:sz="0" w:space="0" w:color="auto"/>
        <w:bottom w:val="none" w:sz="0" w:space="0" w:color="auto"/>
        <w:right w:val="none" w:sz="0" w:space="0" w:color="auto"/>
      </w:divBdr>
    </w:div>
    <w:div w:id="1333141192">
      <w:bodyDiv w:val="1"/>
      <w:marLeft w:val="0"/>
      <w:marRight w:val="0"/>
      <w:marTop w:val="0"/>
      <w:marBottom w:val="0"/>
      <w:divBdr>
        <w:top w:val="none" w:sz="0" w:space="0" w:color="auto"/>
        <w:left w:val="none" w:sz="0" w:space="0" w:color="auto"/>
        <w:bottom w:val="none" w:sz="0" w:space="0" w:color="auto"/>
        <w:right w:val="none" w:sz="0" w:space="0" w:color="auto"/>
      </w:divBdr>
    </w:div>
    <w:div w:id="1333676410">
      <w:bodyDiv w:val="1"/>
      <w:marLeft w:val="0"/>
      <w:marRight w:val="0"/>
      <w:marTop w:val="0"/>
      <w:marBottom w:val="0"/>
      <w:divBdr>
        <w:top w:val="none" w:sz="0" w:space="0" w:color="auto"/>
        <w:left w:val="none" w:sz="0" w:space="0" w:color="auto"/>
        <w:bottom w:val="none" w:sz="0" w:space="0" w:color="auto"/>
        <w:right w:val="none" w:sz="0" w:space="0" w:color="auto"/>
      </w:divBdr>
    </w:div>
    <w:div w:id="1374650283">
      <w:bodyDiv w:val="1"/>
      <w:marLeft w:val="0"/>
      <w:marRight w:val="0"/>
      <w:marTop w:val="0"/>
      <w:marBottom w:val="0"/>
      <w:divBdr>
        <w:top w:val="none" w:sz="0" w:space="0" w:color="auto"/>
        <w:left w:val="none" w:sz="0" w:space="0" w:color="auto"/>
        <w:bottom w:val="none" w:sz="0" w:space="0" w:color="auto"/>
        <w:right w:val="none" w:sz="0" w:space="0" w:color="auto"/>
      </w:divBdr>
    </w:div>
    <w:div w:id="1403404700">
      <w:bodyDiv w:val="1"/>
      <w:marLeft w:val="0"/>
      <w:marRight w:val="0"/>
      <w:marTop w:val="0"/>
      <w:marBottom w:val="0"/>
      <w:divBdr>
        <w:top w:val="none" w:sz="0" w:space="0" w:color="auto"/>
        <w:left w:val="none" w:sz="0" w:space="0" w:color="auto"/>
        <w:bottom w:val="none" w:sz="0" w:space="0" w:color="auto"/>
        <w:right w:val="none" w:sz="0" w:space="0" w:color="auto"/>
      </w:divBdr>
    </w:div>
    <w:div w:id="1425226399">
      <w:bodyDiv w:val="1"/>
      <w:marLeft w:val="0"/>
      <w:marRight w:val="0"/>
      <w:marTop w:val="0"/>
      <w:marBottom w:val="0"/>
      <w:divBdr>
        <w:top w:val="none" w:sz="0" w:space="0" w:color="auto"/>
        <w:left w:val="none" w:sz="0" w:space="0" w:color="auto"/>
        <w:bottom w:val="none" w:sz="0" w:space="0" w:color="auto"/>
        <w:right w:val="none" w:sz="0" w:space="0" w:color="auto"/>
      </w:divBdr>
    </w:div>
    <w:div w:id="1425491920">
      <w:bodyDiv w:val="1"/>
      <w:marLeft w:val="0"/>
      <w:marRight w:val="0"/>
      <w:marTop w:val="0"/>
      <w:marBottom w:val="0"/>
      <w:divBdr>
        <w:top w:val="none" w:sz="0" w:space="0" w:color="auto"/>
        <w:left w:val="none" w:sz="0" w:space="0" w:color="auto"/>
        <w:bottom w:val="none" w:sz="0" w:space="0" w:color="auto"/>
        <w:right w:val="none" w:sz="0" w:space="0" w:color="auto"/>
      </w:divBdr>
    </w:div>
    <w:div w:id="1429693760">
      <w:bodyDiv w:val="1"/>
      <w:marLeft w:val="0"/>
      <w:marRight w:val="0"/>
      <w:marTop w:val="0"/>
      <w:marBottom w:val="0"/>
      <w:divBdr>
        <w:top w:val="none" w:sz="0" w:space="0" w:color="auto"/>
        <w:left w:val="none" w:sz="0" w:space="0" w:color="auto"/>
        <w:bottom w:val="none" w:sz="0" w:space="0" w:color="auto"/>
        <w:right w:val="none" w:sz="0" w:space="0" w:color="auto"/>
      </w:divBdr>
    </w:div>
    <w:div w:id="1482234628">
      <w:bodyDiv w:val="1"/>
      <w:marLeft w:val="0"/>
      <w:marRight w:val="0"/>
      <w:marTop w:val="0"/>
      <w:marBottom w:val="0"/>
      <w:divBdr>
        <w:top w:val="none" w:sz="0" w:space="0" w:color="auto"/>
        <w:left w:val="none" w:sz="0" w:space="0" w:color="auto"/>
        <w:bottom w:val="none" w:sz="0" w:space="0" w:color="auto"/>
        <w:right w:val="none" w:sz="0" w:space="0" w:color="auto"/>
      </w:divBdr>
      <w:divsChild>
        <w:div w:id="783574262">
          <w:marLeft w:val="-720"/>
          <w:marRight w:val="0"/>
          <w:marTop w:val="0"/>
          <w:marBottom w:val="0"/>
          <w:divBdr>
            <w:top w:val="none" w:sz="0" w:space="0" w:color="auto"/>
            <w:left w:val="none" w:sz="0" w:space="0" w:color="auto"/>
            <w:bottom w:val="none" w:sz="0" w:space="0" w:color="auto"/>
            <w:right w:val="none" w:sz="0" w:space="0" w:color="auto"/>
          </w:divBdr>
        </w:div>
      </w:divsChild>
    </w:div>
    <w:div w:id="1487478854">
      <w:bodyDiv w:val="1"/>
      <w:marLeft w:val="0"/>
      <w:marRight w:val="0"/>
      <w:marTop w:val="0"/>
      <w:marBottom w:val="0"/>
      <w:divBdr>
        <w:top w:val="none" w:sz="0" w:space="0" w:color="auto"/>
        <w:left w:val="none" w:sz="0" w:space="0" w:color="auto"/>
        <w:bottom w:val="none" w:sz="0" w:space="0" w:color="auto"/>
        <w:right w:val="none" w:sz="0" w:space="0" w:color="auto"/>
      </w:divBdr>
      <w:divsChild>
        <w:div w:id="64839769">
          <w:marLeft w:val="547"/>
          <w:marRight w:val="0"/>
          <w:marTop w:val="0"/>
          <w:marBottom w:val="160"/>
          <w:divBdr>
            <w:top w:val="none" w:sz="0" w:space="0" w:color="auto"/>
            <w:left w:val="none" w:sz="0" w:space="0" w:color="auto"/>
            <w:bottom w:val="none" w:sz="0" w:space="0" w:color="auto"/>
            <w:right w:val="none" w:sz="0" w:space="0" w:color="auto"/>
          </w:divBdr>
        </w:div>
        <w:div w:id="1244876688">
          <w:marLeft w:val="547"/>
          <w:marRight w:val="0"/>
          <w:marTop w:val="0"/>
          <w:marBottom w:val="160"/>
          <w:divBdr>
            <w:top w:val="none" w:sz="0" w:space="0" w:color="auto"/>
            <w:left w:val="none" w:sz="0" w:space="0" w:color="auto"/>
            <w:bottom w:val="none" w:sz="0" w:space="0" w:color="auto"/>
            <w:right w:val="none" w:sz="0" w:space="0" w:color="auto"/>
          </w:divBdr>
        </w:div>
        <w:div w:id="1512180860">
          <w:marLeft w:val="547"/>
          <w:marRight w:val="0"/>
          <w:marTop w:val="0"/>
          <w:marBottom w:val="160"/>
          <w:divBdr>
            <w:top w:val="none" w:sz="0" w:space="0" w:color="auto"/>
            <w:left w:val="none" w:sz="0" w:space="0" w:color="auto"/>
            <w:bottom w:val="none" w:sz="0" w:space="0" w:color="auto"/>
            <w:right w:val="none" w:sz="0" w:space="0" w:color="auto"/>
          </w:divBdr>
        </w:div>
      </w:divsChild>
    </w:div>
    <w:div w:id="1505584228">
      <w:bodyDiv w:val="1"/>
      <w:marLeft w:val="0"/>
      <w:marRight w:val="0"/>
      <w:marTop w:val="0"/>
      <w:marBottom w:val="0"/>
      <w:divBdr>
        <w:top w:val="none" w:sz="0" w:space="0" w:color="auto"/>
        <w:left w:val="none" w:sz="0" w:space="0" w:color="auto"/>
        <w:bottom w:val="none" w:sz="0" w:space="0" w:color="auto"/>
        <w:right w:val="none" w:sz="0" w:space="0" w:color="auto"/>
      </w:divBdr>
    </w:div>
    <w:div w:id="1542553301">
      <w:bodyDiv w:val="1"/>
      <w:marLeft w:val="0"/>
      <w:marRight w:val="0"/>
      <w:marTop w:val="0"/>
      <w:marBottom w:val="0"/>
      <w:divBdr>
        <w:top w:val="none" w:sz="0" w:space="0" w:color="auto"/>
        <w:left w:val="none" w:sz="0" w:space="0" w:color="auto"/>
        <w:bottom w:val="none" w:sz="0" w:space="0" w:color="auto"/>
        <w:right w:val="none" w:sz="0" w:space="0" w:color="auto"/>
      </w:divBdr>
      <w:divsChild>
        <w:div w:id="913471659">
          <w:marLeft w:val="-720"/>
          <w:marRight w:val="0"/>
          <w:marTop w:val="0"/>
          <w:marBottom w:val="0"/>
          <w:divBdr>
            <w:top w:val="none" w:sz="0" w:space="0" w:color="auto"/>
            <w:left w:val="none" w:sz="0" w:space="0" w:color="auto"/>
            <w:bottom w:val="none" w:sz="0" w:space="0" w:color="auto"/>
            <w:right w:val="none" w:sz="0" w:space="0" w:color="auto"/>
          </w:divBdr>
        </w:div>
      </w:divsChild>
    </w:div>
    <w:div w:id="1565683420">
      <w:bodyDiv w:val="1"/>
      <w:marLeft w:val="0"/>
      <w:marRight w:val="0"/>
      <w:marTop w:val="0"/>
      <w:marBottom w:val="0"/>
      <w:divBdr>
        <w:top w:val="none" w:sz="0" w:space="0" w:color="auto"/>
        <w:left w:val="none" w:sz="0" w:space="0" w:color="auto"/>
        <w:bottom w:val="none" w:sz="0" w:space="0" w:color="auto"/>
        <w:right w:val="none" w:sz="0" w:space="0" w:color="auto"/>
      </w:divBdr>
    </w:div>
    <w:div w:id="1567033057">
      <w:bodyDiv w:val="1"/>
      <w:marLeft w:val="0"/>
      <w:marRight w:val="0"/>
      <w:marTop w:val="0"/>
      <w:marBottom w:val="0"/>
      <w:divBdr>
        <w:top w:val="none" w:sz="0" w:space="0" w:color="auto"/>
        <w:left w:val="none" w:sz="0" w:space="0" w:color="auto"/>
        <w:bottom w:val="none" w:sz="0" w:space="0" w:color="auto"/>
        <w:right w:val="none" w:sz="0" w:space="0" w:color="auto"/>
      </w:divBdr>
      <w:divsChild>
        <w:div w:id="1131483500">
          <w:marLeft w:val="-720"/>
          <w:marRight w:val="0"/>
          <w:marTop w:val="0"/>
          <w:marBottom w:val="0"/>
          <w:divBdr>
            <w:top w:val="none" w:sz="0" w:space="0" w:color="auto"/>
            <w:left w:val="none" w:sz="0" w:space="0" w:color="auto"/>
            <w:bottom w:val="none" w:sz="0" w:space="0" w:color="auto"/>
            <w:right w:val="none" w:sz="0" w:space="0" w:color="auto"/>
          </w:divBdr>
        </w:div>
      </w:divsChild>
    </w:div>
    <w:div w:id="1616712127">
      <w:bodyDiv w:val="1"/>
      <w:marLeft w:val="0"/>
      <w:marRight w:val="0"/>
      <w:marTop w:val="0"/>
      <w:marBottom w:val="0"/>
      <w:divBdr>
        <w:top w:val="none" w:sz="0" w:space="0" w:color="auto"/>
        <w:left w:val="none" w:sz="0" w:space="0" w:color="auto"/>
        <w:bottom w:val="none" w:sz="0" w:space="0" w:color="auto"/>
        <w:right w:val="none" w:sz="0" w:space="0" w:color="auto"/>
      </w:divBdr>
    </w:div>
    <w:div w:id="1652249543">
      <w:bodyDiv w:val="1"/>
      <w:marLeft w:val="0"/>
      <w:marRight w:val="0"/>
      <w:marTop w:val="0"/>
      <w:marBottom w:val="0"/>
      <w:divBdr>
        <w:top w:val="none" w:sz="0" w:space="0" w:color="auto"/>
        <w:left w:val="none" w:sz="0" w:space="0" w:color="auto"/>
        <w:bottom w:val="none" w:sz="0" w:space="0" w:color="auto"/>
        <w:right w:val="none" w:sz="0" w:space="0" w:color="auto"/>
      </w:divBdr>
    </w:div>
    <w:div w:id="1652715350">
      <w:bodyDiv w:val="1"/>
      <w:marLeft w:val="0"/>
      <w:marRight w:val="0"/>
      <w:marTop w:val="0"/>
      <w:marBottom w:val="0"/>
      <w:divBdr>
        <w:top w:val="none" w:sz="0" w:space="0" w:color="auto"/>
        <w:left w:val="none" w:sz="0" w:space="0" w:color="auto"/>
        <w:bottom w:val="none" w:sz="0" w:space="0" w:color="auto"/>
        <w:right w:val="none" w:sz="0" w:space="0" w:color="auto"/>
      </w:divBdr>
      <w:divsChild>
        <w:div w:id="1065954900">
          <w:marLeft w:val="-720"/>
          <w:marRight w:val="0"/>
          <w:marTop w:val="0"/>
          <w:marBottom w:val="0"/>
          <w:divBdr>
            <w:top w:val="none" w:sz="0" w:space="0" w:color="auto"/>
            <w:left w:val="none" w:sz="0" w:space="0" w:color="auto"/>
            <w:bottom w:val="none" w:sz="0" w:space="0" w:color="auto"/>
            <w:right w:val="none" w:sz="0" w:space="0" w:color="auto"/>
          </w:divBdr>
        </w:div>
      </w:divsChild>
    </w:div>
    <w:div w:id="1661737090">
      <w:bodyDiv w:val="1"/>
      <w:marLeft w:val="0"/>
      <w:marRight w:val="0"/>
      <w:marTop w:val="0"/>
      <w:marBottom w:val="0"/>
      <w:divBdr>
        <w:top w:val="none" w:sz="0" w:space="0" w:color="auto"/>
        <w:left w:val="none" w:sz="0" w:space="0" w:color="auto"/>
        <w:bottom w:val="none" w:sz="0" w:space="0" w:color="auto"/>
        <w:right w:val="none" w:sz="0" w:space="0" w:color="auto"/>
      </w:divBdr>
    </w:div>
    <w:div w:id="1673754933">
      <w:bodyDiv w:val="1"/>
      <w:marLeft w:val="0"/>
      <w:marRight w:val="0"/>
      <w:marTop w:val="0"/>
      <w:marBottom w:val="0"/>
      <w:divBdr>
        <w:top w:val="none" w:sz="0" w:space="0" w:color="auto"/>
        <w:left w:val="none" w:sz="0" w:space="0" w:color="auto"/>
        <w:bottom w:val="none" w:sz="0" w:space="0" w:color="auto"/>
        <w:right w:val="none" w:sz="0" w:space="0" w:color="auto"/>
      </w:divBdr>
    </w:div>
    <w:div w:id="1700621941">
      <w:bodyDiv w:val="1"/>
      <w:marLeft w:val="0"/>
      <w:marRight w:val="0"/>
      <w:marTop w:val="0"/>
      <w:marBottom w:val="0"/>
      <w:divBdr>
        <w:top w:val="none" w:sz="0" w:space="0" w:color="auto"/>
        <w:left w:val="none" w:sz="0" w:space="0" w:color="auto"/>
        <w:bottom w:val="none" w:sz="0" w:space="0" w:color="auto"/>
        <w:right w:val="none" w:sz="0" w:space="0" w:color="auto"/>
      </w:divBdr>
    </w:div>
    <w:div w:id="1711563194">
      <w:bodyDiv w:val="1"/>
      <w:marLeft w:val="0"/>
      <w:marRight w:val="0"/>
      <w:marTop w:val="0"/>
      <w:marBottom w:val="0"/>
      <w:divBdr>
        <w:top w:val="none" w:sz="0" w:space="0" w:color="auto"/>
        <w:left w:val="none" w:sz="0" w:space="0" w:color="auto"/>
        <w:bottom w:val="none" w:sz="0" w:space="0" w:color="auto"/>
        <w:right w:val="none" w:sz="0" w:space="0" w:color="auto"/>
      </w:divBdr>
    </w:div>
    <w:div w:id="1716659569">
      <w:bodyDiv w:val="1"/>
      <w:marLeft w:val="0"/>
      <w:marRight w:val="0"/>
      <w:marTop w:val="0"/>
      <w:marBottom w:val="0"/>
      <w:divBdr>
        <w:top w:val="none" w:sz="0" w:space="0" w:color="auto"/>
        <w:left w:val="none" w:sz="0" w:space="0" w:color="auto"/>
        <w:bottom w:val="none" w:sz="0" w:space="0" w:color="auto"/>
        <w:right w:val="none" w:sz="0" w:space="0" w:color="auto"/>
      </w:divBdr>
    </w:div>
    <w:div w:id="1723794267">
      <w:bodyDiv w:val="1"/>
      <w:marLeft w:val="0"/>
      <w:marRight w:val="0"/>
      <w:marTop w:val="0"/>
      <w:marBottom w:val="0"/>
      <w:divBdr>
        <w:top w:val="none" w:sz="0" w:space="0" w:color="auto"/>
        <w:left w:val="none" w:sz="0" w:space="0" w:color="auto"/>
        <w:bottom w:val="none" w:sz="0" w:space="0" w:color="auto"/>
        <w:right w:val="none" w:sz="0" w:space="0" w:color="auto"/>
      </w:divBdr>
    </w:div>
    <w:div w:id="1751002163">
      <w:bodyDiv w:val="1"/>
      <w:marLeft w:val="0"/>
      <w:marRight w:val="0"/>
      <w:marTop w:val="0"/>
      <w:marBottom w:val="0"/>
      <w:divBdr>
        <w:top w:val="none" w:sz="0" w:space="0" w:color="auto"/>
        <w:left w:val="none" w:sz="0" w:space="0" w:color="auto"/>
        <w:bottom w:val="none" w:sz="0" w:space="0" w:color="auto"/>
        <w:right w:val="none" w:sz="0" w:space="0" w:color="auto"/>
      </w:divBdr>
      <w:divsChild>
        <w:div w:id="1717192601">
          <w:marLeft w:val="-720"/>
          <w:marRight w:val="0"/>
          <w:marTop w:val="0"/>
          <w:marBottom w:val="0"/>
          <w:divBdr>
            <w:top w:val="none" w:sz="0" w:space="0" w:color="auto"/>
            <w:left w:val="none" w:sz="0" w:space="0" w:color="auto"/>
            <w:bottom w:val="none" w:sz="0" w:space="0" w:color="auto"/>
            <w:right w:val="none" w:sz="0" w:space="0" w:color="auto"/>
          </w:divBdr>
        </w:div>
      </w:divsChild>
    </w:div>
    <w:div w:id="1762070216">
      <w:bodyDiv w:val="1"/>
      <w:marLeft w:val="0"/>
      <w:marRight w:val="0"/>
      <w:marTop w:val="0"/>
      <w:marBottom w:val="0"/>
      <w:divBdr>
        <w:top w:val="none" w:sz="0" w:space="0" w:color="auto"/>
        <w:left w:val="none" w:sz="0" w:space="0" w:color="auto"/>
        <w:bottom w:val="none" w:sz="0" w:space="0" w:color="auto"/>
        <w:right w:val="none" w:sz="0" w:space="0" w:color="auto"/>
      </w:divBdr>
    </w:div>
    <w:div w:id="1767379243">
      <w:bodyDiv w:val="1"/>
      <w:marLeft w:val="0"/>
      <w:marRight w:val="0"/>
      <w:marTop w:val="0"/>
      <w:marBottom w:val="0"/>
      <w:divBdr>
        <w:top w:val="none" w:sz="0" w:space="0" w:color="auto"/>
        <w:left w:val="none" w:sz="0" w:space="0" w:color="auto"/>
        <w:bottom w:val="none" w:sz="0" w:space="0" w:color="auto"/>
        <w:right w:val="none" w:sz="0" w:space="0" w:color="auto"/>
      </w:divBdr>
    </w:div>
    <w:div w:id="1817992746">
      <w:bodyDiv w:val="1"/>
      <w:marLeft w:val="0"/>
      <w:marRight w:val="0"/>
      <w:marTop w:val="0"/>
      <w:marBottom w:val="0"/>
      <w:divBdr>
        <w:top w:val="none" w:sz="0" w:space="0" w:color="auto"/>
        <w:left w:val="none" w:sz="0" w:space="0" w:color="auto"/>
        <w:bottom w:val="none" w:sz="0" w:space="0" w:color="auto"/>
        <w:right w:val="none" w:sz="0" w:space="0" w:color="auto"/>
      </w:divBdr>
    </w:div>
    <w:div w:id="1831167096">
      <w:bodyDiv w:val="1"/>
      <w:marLeft w:val="0"/>
      <w:marRight w:val="0"/>
      <w:marTop w:val="0"/>
      <w:marBottom w:val="0"/>
      <w:divBdr>
        <w:top w:val="none" w:sz="0" w:space="0" w:color="auto"/>
        <w:left w:val="none" w:sz="0" w:space="0" w:color="auto"/>
        <w:bottom w:val="none" w:sz="0" w:space="0" w:color="auto"/>
        <w:right w:val="none" w:sz="0" w:space="0" w:color="auto"/>
      </w:divBdr>
    </w:div>
    <w:div w:id="1913394355">
      <w:bodyDiv w:val="1"/>
      <w:marLeft w:val="0"/>
      <w:marRight w:val="0"/>
      <w:marTop w:val="0"/>
      <w:marBottom w:val="0"/>
      <w:divBdr>
        <w:top w:val="none" w:sz="0" w:space="0" w:color="auto"/>
        <w:left w:val="none" w:sz="0" w:space="0" w:color="auto"/>
        <w:bottom w:val="none" w:sz="0" w:space="0" w:color="auto"/>
        <w:right w:val="none" w:sz="0" w:space="0" w:color="auto"/>
      </w:divBdr>
    </w:div>
    <w:div w:id="1920553347">
      <w:bodyDiv w:val="1"/>
      <w:marLeft w:val="0"/>
      <w:marRight w:val="0"/>
      <w:marTop w:val="0"/>
      <w:marBottom w:val="0"/>
      <w:divBdr>
        <w:top w:val="none" w:sz="0" w:space="0" w:color="auto"/>
        <w:left w:val="none" w:sz="0" w:space="0" w:color="auto"/>
        <w:bottom w:val="none" w:sz="0" w:space="0" w:color="auto"/>
        <w:right w:val="none" w:sz="0" w:space="0" w:color="auto"/>
      </w:divBdr>
    </w:div>
    <w:div w:id="1921982001">
      <w:bodyDiv w:val="1"/>
      <w:marLeft w:val="0"/>
      <w:marRight w:val="0"/>
      <w:marTop w:val="0"/>
      <w:marBottom w:val="0"/>
      <w:divBdr>
        <w:top w:val="none" w:sz="0" w:space="0" w:color="auto"/>
        <w:left w:val="none" w:sz="0" w:space="0" w:color="auto"/>
        <w:bottom w:val="none" w:sz="0" w:space="0" w:color="auto"/>
        <w:right w:val="none" w:sz="0" w:space="0" w:color="auto"/>
      </w:divBdr>
    </w:div>
    <w:div w:id="1933473043">
      <w:bodyDiv w:val="1"/>
      <w:marLeft w:val="0"/>
      <w:marRight w:val="0"/>
      <w:marTop w:val="0"/>
      <w:marBottom w:val="0"/>
      <w:divBdr>
        <w:top w:val="none" w:sz="0" w:space="0" w:color="auto"/>
        <w:left w:val="none" w:sz="0" w:space="0" w:color="auto"/>
        <w:bottom w:val="none" w:sz="0" w:space="0" w:color="auto"/>
        <w:right w:val="none" w:sz="0" w:space="0" w:color="auto"/>
      </w:divBdr>
      <w:divsChild>
        <w:div w:id="449512805">
          <w:marLeft w:val="-720"/>
          <w:marRight w:val="0"/>
          <w:marTop w:val="0"/>
          <w:marBottom w:val="0"/>
          <w:divBdr>
            <w:top w:val="none" w:sz="0" w:space="0" w:color="auto"/>
            <w:left w:val="none" w:sz="0" w:space="0" w:color="auto"/>
            <w:bottom w:val="none" w:sz="0" w:space="0" w:color="auto"/>
            <w:right w:val="none" w:sz="0" w:space="0" w:color="auto"/>
          </w:divBdr>
        </w:div>
      </w:divsChild>
    </w:div>
    <w:div w:id="2036423568">
      <w:bodyDiv w:val="1"/>
      <w:marLeft w:val="0"/>
      <w:marRight w:val="0"/>
      <w:marTop w:val="0"/>
      <w:marBottom w:val="0"/>
      <w:divBdr>
        <w:top w:val="none" w:sz="0" w:space="0" w:color="auto"/>
        <w:left w:val="none" w:sz="0" w:space="0" w:color="auto"/>
        <w:bottom w:val="none" w:sz="0" w:space="0" w:color="auto"/>
        <w:right w:val="none" w:sz="0" w:space="0" w:color="auto"/>
      </w:divBdr>
    </w:div>
    <w:div w:id="2056998534">
      <w:bodyDiv w:val="1"/>
      <w:marLeft w:val="0"/>
      <w:marRight w:val="0"/>
      <w:marTop w:val="0"/>
      <w:marBottom w:val="0"/>
      <w:divBdr>
        <w:top w:val="none" w:sz="0" w:space="0" w:color="auto"/>
        <w:left w:val="none" w:sz="0" w:space="0" w:color="auto"/>
        <w:bottom w:val="none" w:sz="0" w:space="0" w:color="auto"/>
        <w:right w:val="none" w:sz="0" w:space="0" w:color="auto"/>
      </w:divBdr>
    </w:div>
    <w:div w:id="2087801321">
      <w:bodyDiv w:val="1"/>
      <w:marLeft w:val="0"/>
      <w:marRight w:val="0"/>
      <w:marTop w:val="0"/>
      <w:marBottom w:val="0"/>
      <w:divBdr>
        <w:top w:val="none" w:sz="0" w:space="0" w:color="auto"/>
        <w:left w:val="none" w:sz="0" w:space="0" w:color="auto"/>
        <w:bottom w:val="none" w:sz="0" w:space="0" w:color="auto"/>
        <w:right w:val="none" w:sz="0" w:space="0" w:color="auto"/>
      </w:divBdr>
    </w:div>
    <w:div w:id="2116123045">
      <w:bodyDiv w:val="1"/>
      <w:marLeft w:val="0"/>
      <w:marRight w:val="0"/>
      <w:marTop w:val="0"/>
      <w:marBottom w:val="0"/>
      <w:divBdr>
        <w:top w:val="none" w:sz="0" w:space="0" w:color="auto"/>
        <w:left w:val="none" w:sz="0" w:space="0" w:color="auto"/>
        <w:bottom w:val="none" w:sz="0" w:space="0" w:color="auto"/>
        <w:right w:val="none" w:sz="0" w:space="0" w:color="auto"/>
      </w:divBdr>
    </w:div>
    <w:div w:id="2126073352">
      <w:bodyDiv w:val="1"/>
      <w:marLeft w:val="0"/>
      <w:marRight w:val="0"/>
      <w:marTop w:val="0"/>
      <w:marBottom w:val="0"/>
      <w:divBdr>
        <w:top w:val="none" w:sz="0" w:space="0" w:color="auto"/>
        <w:left w:val="none" w:sz="0" w:space="0" w:color="auto"/>
        <w:bottom w:val="none" w:sz="0" w:space="0" w:color="auto"/>
        <w:right w:val="none" w:sz="0" w:space="0" w:color="auto"/>
      </w:divBdr>
      <w:divsChild>
        <w:div w:id="979572407">
          <w:marLeft w:val="-720"/>
          <w:marRight w:val="0"/>
          <w:marTop w:val="0"/>
          <w:marBottom w:val="0"/>
          <w:divBdr>
            <w:top w:val="none" w:sz="0" w:space="0" w:color="auto"/>
            <w:left w:val="none" w:sz="0" w:space="0" w:color="auto"/>
            <w:bottom w:val="none" w:sz="0" w:space="0" w:color="auto"/>
            <w:right w:val="none" w:sz="0" w:space="0" w:color="auto"/>
          </w:divBdr>
        </w:div>
      </w:divsChild>
    </w:div>
    <w:div w:id="2137337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abc.net.au/news/2021-02-20/protests-against-covid-19-vaccination-around-australia/13175296" TargetMode="External"/><Relationship Id="rId13" Type="http://schemas.openxmlformats.org/officeDocument/2006/relationships/hyperlink" Target="https://www.amnesty.org/en/what-we-do/sexual-and-reproductive-rights/abortion-facts/" TargetMode="External"/><Relationship Id="rId18" Type="http://schemas.openxmlformats.org/officeDocument/2006/relationships/hyperlink" Target="https://doi.org/10.4324/9781351053143-7" TargetMode="External"/><Relationship Id="rId26" Type="http://schemas.openxmlformats.org/officeDocument/2006/relationships/hyperlink" Target="https://www.abc.net.au/news/science/2018-06-29/nestle-suspended-sustainable-palm-oil/9923238" TargetMode="External"/><Relationship Id="rId39" Type="http://schemas.openxmlformats.org/officeDocument/2006/relationships/hyperlink" Target="https://www.ohchr.org/Documents/Events/COVID-19_AccessVaccines_Guidance.pdf" TargetMode="External"/><Relationship Id="rId3" Type="http://schemas.openxmlformats.org/officeDocument/2006/relationships/styles" Target="styles.xml"/><Relationship Id="rId21" Type="http://schemas.openxmlformats.org/officeDocument/2006/relationships/hyperlink" Target="https://doi.org/10.1016/j.chbr.2022.100173" TargetMode="External"/><Relationship Id="rId34" Type="http://schemas.openxmlformats.org/officeDocument/2006/relationships/hyperlink" Target="https://www.news.com.au/national/nsw-act/news/hundreds-turn-out-to-antivaccine-mandate-protest-in-western-sydney/news-story/4ad61478a77808871fac62d3c85a9d60" TargetMode="External"/><Relationship Id="rId42" Type="http://schemas.openxmlformats.org/officeDocument/2006/relationships/hyperlink" Target="https://theconversation.com/roe-v-wade-a-philosopher-on-the-true-meaning-of-my-body-my-choice-186145" TargetMode="External"/><Relationship Id="rId7" Type="http://schemas.openxmlformats.org/officeDocument/2006/relationships/endnotes" Target="endnotes.xml"/><Relationship Id="rId12" Type="http://schemas.openxmlformats.org/officeDocument/2006/relationships/hyperlink" Target="https://www.amnesty.org/en/get-involved/my-body-my-rights/" TargetMode="External"/><Relationship Id="rId17" Type="http://schemas.openxmlformats.org/officeDocument/2006/relationships/hyperlink" Target="https://www.nzherald.co.nz/hawkes-bay-today/news/opinion-troubled-by-triumphant-ending-to-protest/MPJZI64LIOA5XKJ7OBUTCXJDPQ/" TargetMode="External"/><Relationship Id="rId25" Type="http://schemas.openxmlformats.org/officeDocument/2006/relationships/hyperlink" Target="https://www.forbes.com/sites/kashmirhill/2012/07/19/greenpeaces-shell-hoax/" TargetMode="External"/><Relationship Id="rId33" Type="http://schemas.openxmlformats.org/officeDocument/2006/relationships/hyperlink" Target="https://theconversation.com/what-is-the-australian-merchant-navy-flag-the-red-ensign-and-why-do-anti-government-groups-use-it-170270" TargetMode="External"/><Relationship Id="rId38" Type="http://schemas.openxmlformats.org/officeDocument/2006/relationships/hyperlink" Target="https://doi.org/10.1080/02650487.2020.1766232" TargetMode="Externa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2105/AJPH.2021.306504" TargetMode="External"/><Relationship Id="rId20" Type="http://schemas.openxmlformats.org/officeDocument/2006/relationships/hyperlink" Target="https://doi.org/10.1111/j.1460-2466.1993.tb01304.x" TargetMode="External"/><Relationship Id="rId29" Type="http://schemas.openxmlformats.org/officeDocument/2006/relationships/hyperlink" Target="https://doi.org/10.1007/s10865-022-00333-2" TargetMode="External"/><Relationship Id="rId41" Type="http://schemas.openxmlformats.org/officeDocument/2006/relationships/hyperlink" Target="https://doi.org/10.1016/j.pubrev.2023.102316"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oi.org/10.1080/19434472.2024.2340492" TargetMode="External"/><Relationship Id="rId24" Type="http://schemas.openxmlformats.org/officeDocument/2006/relationships/hyperlink" Target="https://www.newshub.co.nz/home/new-zealand/2021/10/covid-19-auckland-anti-lockdown-protest-in-pictures.html" TargetMode="External"/><Relationship Id="rId32" Type="http://schemas.openxmlformats.org/officeDocument/2006/relationships/hyperlink" Target="https://quod.lib.umich.edu/e/evans/N02782.0001.001/1:2?rgn=div1;view=fulltext" TargetMode="External"/><Relationship Id="rId37" Type="http://schemas.openxmlformats.org/officeDocument/2006/relationships/hyperlink" Target="https://www.theguardian.com/environment/gallery/2012/jul/19/greenpeace-shell-arctic-ready-in-pictures" TargetMode="External"/><Relationship Id="rId40" Type="http://schemas.openxmlformats.org/officeDocument/2006/relationships/hyperlink" Target="https://doi.org/10.1080/14742837.2022.2084065" TargetMode="External"/><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hdl.handle.net/1959.11/1735" TargetMode="External"/><Relationship Id="rId23" Type="http://schemas.openxmlformats.org/officeDocument/2006/relationships/hyperlink" Target="https://doi.org/10.4324/9781351053143-18" TargetMode="External"/><Relationship Id="rId28" Type="http://schemas.openxmlformats.org/officeDocument/2006/relationships/hyperlink" Target="https://doi.org/10.1080/1369118X.2020.1822904" TargetMode="External"/><Relationship Id="rId36" Type="http://schemas.openxmlformats.org/officeDocument/2006/relationships/hyperlink" Target="https://doi.org/10.1080/09581596.2023.2284633" TargetMode="External"/><Relationship Id="rId10" Type="http://schemas.openxmlformats.org/officeDocument/2006/relationships/hyperlink" Target="https://www.1news.co.nz/2021/11/03/ardern-abandons-scheduled-event-in-whanganui-due-to-protesters/" TargetMode="External"/><Relationship Id="rId19" Type="http://schemas.openxmlformats.org/officeDocument/2006/relationships/hyperlink" Target="https://www.edelman.com/trust/2025/trust-barometer" TargetMode="External"/><Relationship Id="rId31" Type="http://schemas.openxmlformats.org/officeDocument/2006/relationships/hyperlink" Target="https://theconversation.com/with-abortion-heading-back-to-the-supreme-court-is-it-time-to-retire-the-my-body-my-choice-slogan-163770"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www.abc.net.au/news/2021-10-16/wa-covid-protest-perth-forrest-place-anti-vaccines/100545066" TargetMode="External"/><Relationship Id="rId14" Type="http://schemas.openxmlformats.org/officeDocument/2006/relationships/hyperlink" Target="https://doi.org/10.1177/2046147X19863838" TargetMode="External"/><Relationship Id="rId22" Type="http://schemas.openxmlformats.org/officeDocument/2006/relationships/hyperlink" Target="https://doi.org/10.1145/3359198" TargetMode="External"/><Relationship Id="rId27" Type="http://schemas.openxmlformats.org/officeDocument/2006/relationships/hyperlink" Target="https://doi.org/10.1016/S0140-6736(21)02873-7" TargetMode="External"/><Relationship Id="rId30" Type="http://schemas.openxmlformats.org/officeDocument/2006/relationships/hyperlink" Target="https://www.nytimes.com/2021/12/10/world/europe/vaccine-mandates-civil-liberties.html" TargetMode="External"/><Relationship Id="rId35" Type="http://schemas.openxmlformats.org/officeDocument/2006/relationships/hyperlink" Target="https://www.nydailynews.com/2012/07/18/greenpeace-ad-campaign-targeting-shell-oil-is-an-online-spoof-that-everyone-keeps-falling-for/" TargetMode="External"/><Relationship Id="rId43"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1ADC10-C2E3-4508-862A-5516294F23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34</Pages>
  <Words>7568</Words>
  <Characters>53128</Characters>
  <Application>Microsoft Office Word</Application>
  <DocSecurity>0</DocSecurity>
  <Lines>442</Lines>
  <Paragraphs>121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60575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2025-05-07T02:30:00Z</dcterms:created>
  <dcterms:modified xsi:type="dcterms:W3CDTF">2025-05-07T02:30:00Z</dcterms:modified>
</cp:coreProperties>
</file>