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280" w:line="240"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Crafting the Grotesque: Mutation and Imagination in </w:t>
      </w:r>
      <w:r w:rsidDel="00000000" w:rsidR="00000000" w:rsidRPr="00000000">
        <w:rPr>
          <w:rFonts w:ascii="Times New Roman" w:cs="Times New Roman" w:eastAsia="Times New Roman" w:hAnsi="Times New Roman"/>
          <w:b w:val="1"/>
          <w:i w:val="1"/>
          <w:rtl w:val="0"/>
        </w:rPr>
        <w:t xml:space="preserve">Face Off</w:t>
      </w:r>
      <w:r w:rsidDel="00000000" w:rsidR="00000000" w:rsidRPr="00000000">
        <w:rPr>
          <w:rtl w:val="0"/>
        </w:rPr>
      </w:r>
    </w:p>
    <w:p w:rsidR="00000000" w:rsidDel="00000000" w:rsidP="00000000" w:rsidRDefault="00000000" w:rsidRPr="00000000" w14:paraId="00000002">
      <w:pPr>
        <w:spacing w:after="280" w:before="280" w:line="240"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Abstract: </w:t>
      </w:r>
    </w:p>
    <w:p w:rsidR="00000000" w:rsidDel="00000000" w:rsidP="00000000" w:rsidRDefault="00000000" w:rsidRPr="00000000" w14:paraId="00000003">
      <w:pPr>
        <w:spacing w:after="280" w:before="28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article examines how the reality television series </w:t>
      </w:r>
      <w:r w:rsidDel="00000000" w:rsidR="00000000" w:rsidRPr="00000000">
        <w:rPr>
          <w:rFonts w:ascii="Times New Roman" w:cs="Times New Roman" w:eastAsia="Times New Roman" w:hAnsi="Times New Roman"/>
          <w:i w:val="1"/>
          <w:rtl w:val="0"/>
        </w:rPr>
        <w:t xml:space="preserve">Face Off </w:t>
      </w:r>
      <w:r w:rsidDel="00000000" w:rsidR="00000000" w:rsidRPr="00000000">
        <w:rPr>
          <w:rFonts w:ascii="Times New Roman" w:cs="Times New Roman" w:eastAsia="Times New Roman" w:hAnsi="Times New Roman"/>
          <w:rtl w:val="0"/>
        </w:rPr>
        <w:t xml:space="preserve">(2011–2018) visualizes mutation through special effects (SFX) makeup, focusing on two episodes—“Freaks of Nature” and “Frightening Families.” Analyzing the aesthetic and conceptual strategies of competing artists, the study reveals how mutation is frequently represented as grotesque, monstrous, or abject, drawing from entrenched genre tropes and cultural anxieties around the body and identity. Time constraints and genre expectations often lead contestants to equate mutation with visual shorthand for deviance or horror, reinforcing stigmatizing narratives—particularly when disability or animalistic traits are used to signal otherness. Despite these ethical concerns, the article also acknowledges the creative freedom and professional innovation that the monstrous enables, offering insights into the pressures and expectations that shape SFX design. Ultimately, </w:t>
      </w:r>
      <w:r w:rsidDel="00000000" w:rsidR="00000000" w:rsidRPr="00000000">
        <w:rPr>
          <w:rFonts w:ascii="Times New Roman" w:cs="Times New Roman" w:eastAsia="Times New Roman" w:hAnsi="Times New Roman"/>
          <w:i w:val="1"/>
          <w:rtl w:val="0"/>
        </w:rPr>
        <w:t xml:space="preserve">Face Off </w:t>
      </w:r>
      <w:r w:rsidDel="00000000" w:rsidR="00000000" w:rsidRPr="00000000">
        <w:rPr>
          <w:rFonts w:ascii="Times New Roman" w:cs="Times New Roman" w:eastAsia="Times New Roman" w:hAnsi="Times New Roman"/>
          <w:rtl w:val="0"/>
        </w:rPr>
        <w:t xml:space="preserve">serves as a cultural site where imagination, genre convention, and social norms converge, revealing the complexities of representing biological transformation in popular media.</w:t>
      </w:r>
    </w:p>
    <w:p w:rsidR="00000000" w:rsidDel="00000000" w:rsidP="00000000" w:rsidRDefault="00000000" w:rsidRPr="00000000" w14:paraId="00000004">
      <w:pPr>
        <w:spacing w:after="280" w:before="280" w:line="240"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Biography: </w:t>
      </w:r>
    </w:p>
    <w:p w:rsidR="00000000" w:rsidDel="00000000" w:rsidP="00000000" w:rsidRDefault="00000000" w:rsidRPr="00000000" w14:paraId="00000005">
      <w:pPr>
        <w:spacing w:after="280" w:before="280" w:line="240"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Dr Angelique Nairn is an Associate Professor in the School of Communication Studies (SCS) at Auckland University of Technology. As a graduate of the Bachelor of Communication Studies, she went on to complete a BCS Honours (first class) and her PhD all at Auckland University of Technology. Angelique has been involved in a myriad of research projects that have hinged on organisational communication, identity construction, rhetoric, and/or the creative industries. She is also interested in popular culture and particularly the representation of women, creative people and morality as they appear on screen. Her recent work has explored issues of racism, sexism, and technological determinism. </w:t>
      </w:r>
      <w:hyperlink r:id="rId7">
        <w:r w:rsidDel="00000000" w:rsidR="00000000" w:rsidRPr="00000000">
          <w:rPr>
            <w:rFonts w:ascii="Times New Roman" w:cs="Times New Roman" w:eastAsia="Times New Roman" w:hAnsi="Times New Roman"/>
            <w:b w:val="1"/>
            <w:color w:val="1155cc"/>
            <w:u w:val="single"/>
            <w:rtl w:val="0"/>
          </w:rPr>
          <w:t xml:space="preserve">https://orcid.org/0000-0001-5609-2627</w:t>
        </w:r>
      </w:hyperlink>
      <w:r w:rsidDel="00000000" w:rsidR="00000000" w:rsidRPr="00000000">
        <w:rPr>
          <w:rtl w:val="0"/>
        </w:rPr>
      </w:r>
    </w:p>
    <w:p w:rsidR="00000000" w:rsidDel="00000000" w:rsidP="00000000" w:rsidRDefault="00000000" w:rsidRPr="00000000" w14:paraId="00000006">
      <w:pPr>
        <w:spacing w:after="280" w:line="240" w:lineRule="auto"/>
        <w:rPr>
          <w:rFonts w:ascii="Times New Roman" w:cs="Times New Roman" w:eastAsia="Times New Roman" w:hAnsi="Times New Roman"/>
          <w:b w:val="1"/>
        </w:rPr>
      </w:pPr>
      <w:r w:rsidDel="00000000" w:rsidR="00000000" w:rsidRPr="00000000">
        <w:br w:type="page"/>
      </w:r>
      <w:r w:rsidDel="00000000" w:rsidR="00000000" w:rsidRPr="00000000">
        <w:rPr>
          <w:rtl w:val="0"/>
        </w:rPr>
      </w:r>
    </w:p>
    <w:p w:rsidR="00000000" w:rsidDel="00000000" w:rsidP="00000000" w:rsidRDefault="00000000" w:rsidRPr="00000000" w14:paraId="00000007">
      <w:pPr>
        <w:spacing w:after="28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Crafting the Grotesque: Mutation and Imagination in </w:t>
      </w:r>
      <w:r w:rsidDel="00000000" w:rsidR="00000000" w:rsidRPr="00000000">
        <w:rPr>
          <w:rFonts w:ascii="Times New Roman" w:cs="Times New Roman" w:eastAsia="Times New Roman" w:hAnsi="Times New Roman"/>
          <w:b w:val="1"/>
          <w:i w:val="1"/>
          <w:rtl w:val="0"/>
        </w:rPr>
        <w:t xml:space="preserve">Face Off</w:t>
      </w:r>
      <w:r w:rsidDel="00000000" w:rsidR="00000000" w:rsidRPr="00000000">
        <w:rPr>
          <w:rtl w:val="0"/>
        </w:rPr>
      </w:r>
    </w:p>
    <w:p w:rsidR="00000000" w:rsidDel="00000000" w:rsidP="00000000" w:rsidRDefault="00000000" w:rsidRPr="00000000" w14:paraId="00000008">
      <w:pPr>
        <w:spacing w:after="280" w:before="280" w:line="240"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Introduction</w:t>
      </w:r>
    </w:p>
    <w:p w:rsidR="00000000" w:rsidDel="00000000" w:rsidP="00000000" w:rsidRDefault="00000000" w:rsidRPr="00000000" w14:paraId="00000009">
      <w:pPr>
        <w:spacing w:after="280" w:before="28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Special effects (SFX) makeup has long been a powerful tool in the world of performance, used to transform, distort, and reimagine the human form in service of storytelling. From the eerie creatures of horror to the fantastical beings of science fiction, prosthetic makeup plays a crucial role in shaping the visual language of genre media. The American television show </w:t>
      </w:r>
      <w:r w:rsidDel="00000000" w:rsidR="00000000" w:rsidRPr="00000000">
        <w:rPr>
          <w:rFonts w:ascii="Times New Roman" w:cs="Times New Roman" w:eastAsia="Times New Roman" w:hAnsi="Times New Roman"/>
          <w:i w:val="1"/>
          <w:rtl w:val="0"/>
        </w:rPr>
        <w:t xml:space="preserve">Face Off</w:t>
      </w:r>
      <w:r w:rsidDel="00000000" w:rsidR="00000000" w:rsidRPr="00000000">
        <w:rPr>
          <w:rFonts w:ascii="Times New Roman" w:cs="Times New Roman" w:eastAsia="Times New Roman" w:hAnsi="Times New Roman"/>
          <w:rtl w:val="0"/>
        </w:rPr>
        <w:t xml:space="preserve"> (2011-2018) brought this behind-the-scenes artistry to the forefront, offering viewers an in-depth look at the creative processes of professional special effects and prosthetic makeup artists. Running for 13 seasons, the competition-style reality series tasked contestants with complex challenges inspired by film and television genres, giving audiences a rare opportunity to witness the full arc of character creation—from initial brainstorming and conceptualization to sculpting, moulding, and the climactic final reveal, known as “last looks.” Judged by industry veterans Glenn Hetrick, Ve Neill, and Neville Page, </w:t>
      </w:r>
      <w:r w:rsidDel="00000000" w:rsidR="00000000" w:rsidRPr="00000000">
        <w:rPr>
          <w:rFonts w:ascii="Times New Roman" w:cs="Times New Roman" w:eastAsia="Times New Roman" w:hAnsi="Times New Roman"/>
          <w:i w:val="1"/>
          <w:rtl w:val="0"/>
        </w:rPr>
        <w:t xml:space="preserve">Face Off</w:t>
      </w:r>
      <w:r w:rsidDel="00000000" w:rsidR="00000000" w:rsidRPr="00000000">
        <w:rPr>
          <w:rFonts w:ascii="Times New Roman" w:cs="Times New Roman" w:eastAsia="Times New Roman" w:hAnsi="Times New Roman"/>
          <w:rtl w:val="0"/>
        </w:rPr>
        <w:t xml:space="preserve"> provided not just entertainment, but a compelling platform for examining the craft and imagination behind creature design.</w:t>
      </w:r>
    </w:p>
    <w:p w:rsidR="00000000" w:rsidDel="00000000" w:rsidP="00000000" w:rsidRDefault="00000000" w:rsidRPr="00000000" w14:paraId="0000000A">
      <w:pPr>
        <w:spacing w:after="280" w:before="28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article explores how Face Off represents the concept of mutation within the visual and narrative framework of special effects makeup. Focusing on two key episodes—Season 6, Episode 11 ("Freaks of Nature") and Season 11, Episode 9 ("Frightening Families")—the analysis considers how contestants interpreted and visualized the idea of mutation in their designs. By examining the aesthetic choices, symbolic meanings, and creative decisions made in these episodes, this article seeks to understand how the artists navigate the intersection of genre, biology, and imagination. Ultimately, this investigation highlights how the visual language of mutation is shaped not only by the demands of competition but also by deeper genre conventions and cultural anxieties about the body, transformation, and identity.</w:t>
      </w:r>
    </w:p>
    <w:p w:rsidR="00000000" w:rsidDel="00000000" w:rsidP="00000000" w:rsidRDefault="00000000" w:rsidRPr="00000000" w14:paraId="0000000B">
      <w:pPr>
        <w:spacing w:after="280" w:before="280" w:line="240" w:lineRule="auto"/>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C">
      <w:pPr>
        <w:spacing w:after="280" w:before="280" w:line="240"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Making and Moulding Mutants</w:t>
      </w:r>
    </w:p>
    <w:p w:rsidR="00000000" w:rsidDel="00000000" w:rsidP="00000000" w:rsidRDefault="00000000" w:rsidRPr="00000000" w14:paraId="0000000D">
      <w:pPr>
        <w:spacing w:after="280" w:before="28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two episodes in question focus on how SFX artists interpret the concept of mutation. In the episode ‘Freaks of Nature’, six participants are assigned a specific genetic mutation and tasked with representing it through special effects makeup. The mutations included: impenetrable skin, panoramic vision, elasticity, magnetism, wall-crawling and tunneling. Before beginning their physical transformations, each artist collaborated with a visual effects designer to create a digital rendering of their intended look to ensure the “mutated DNA” produces a “radically alter[ed] physical appearance”. That is, the characters that are crafted needed to “physically manifest that [selected] trait”. As the collaboration begins, it becomes clear that, despite the fact that the assigned mutations were not inherently monstrous or disfiguring, all six artists independently chose to depict their creations as disfigured, or physically abnormal in some way, with the general consensus amongst the artists that mutation meant developing “villains”.</w:t>
      </w:r>
    </w:p>
    <w:p w:rsidR="00000000" w:rsidDel="00000000" w:rsidP="00000000" w:rsidRDefault="00000000" w:rsidRPr="00000000" w14:paraId="0000000E">
      <w:pPr>
        <w:spacing w:after="280" w:before="28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decision to draw equate mutation with monstrosity is telling and not entirely surprising given the structure of the competition. The time constraints under which these artists operate—often only having three days to design, sculpt, mould, paint, and apply complex prosthetics—encourage them to rely on core competencies and visual shorthand that are deeply rooted in genre conventions. Faced with limited time to conceptualize and execute a design, artists revert to what they know best and what has been normalized in the broader cultural and cinematic discourse. The choice to emphasise the monstrous of mutation, then, is evidence that, perhaps in response to heuristic processing, the SFX artists are leaning into the stereotypes that they have been exposed to through the production and consumption of popular culture. As Chaiken and Ledgerwood suggest, heuristic processing is where people rely on easily understood cues to interpret material, which can shape judgements that are easily accessed but not necessarily reliable. Applying such a perception to the SFX artists's work in </w:t>
      </w:r>
      <w:r w:rsidDel="00000000" w:rsidR="00000000" w:rsidRPr="00000000">
        <w:rPr>
          <w:rFonts w:ascii="Times New Roman" w:cs="Times New Roman" w:eastAsia="Times New Roman" w:hAnsi="Times New Roman"/>
          <w:i w:val="1"/>
          <w:rtl w:val="0"/>
        </w:rPr>
        <w:t xml:space="preserve">Face Off</w:t>
      </w:r>
      <w:r w:rsidDel="00000000" w:rsidR="00000000" w:rsidRPr="00000000">
        <w:rPr>
          <w:rFonts w:ascii="Times New Roman" w:cs="Times New Roman" w:eastAsia="Times New Roman" w:hAnsi="Times New Roman"/>
          <w:rtl w:val="0"/>
        </w:rPr>
        <w:t xml:space="preserve">, it would appear that the artist's creative instincts are shaped by a visual and narrative lexicon that equates mutation with the grotesque, even when mutation can be more broadly applied and understood. Rather than deeply engaging with the concept of mutation, the quick turnaround reinforces a kind of genre muscle memory, where certain visual metaphors become default modes of expression.</w:t>
      </w:r>
    </w:p>
    <w:p w:rsidR="00000000" w:rsidDel="00000000" w:rsidP="00000000" w:rsidRDefault="00000000" w:rsidRPr="00000000" w14:paraId="0000000F">
      <w:pPr>
        <w:spacing w:after="280" w:before="28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Mutation, particularly in the realm of visual media and popular culture, then, is frequently equated with an error or monstrous body. As Mantle posits, discussions of the mutated body have tended to focus on “moral concerns” and more pressingly “a body that deviates from a norm”. Accordingly, scholarly discussions have pointed to how mutated characters can often be depicted as transgressive, deviant, or othered (Gittinger), engaging in body horror that marks the mutant as monstrous (Pheasant-Kelly). Discussing science fiction films, as examples, Pheasant-Kelly contends that mutations can produce characters that are “almost beyond recognition as humanoid[s]” (238), citing Cronenberg’s remake of </w:t>
      </w:r>
      <w:r w:rsidDel="00000000" w:rsidR="00000000" w:rsidRPr="00000000">
        <w:rPr>
          <w:rFonts w:ascii="Times New Roman" w:cs="Times New Roman" w:eastAsia="Times New Roman" w:hAnsi="Times New Roman"/>
          <w:i w:val="1"/>
          <w:rtl w:val="0"/>
        </w:rPr>
        <w:t xml:space="preserve">The Fly</w:t>
      </w:r>
      <w:r w:rsidDel="00000000" w:rsidR="00000000" w:rsidRPr="00000000">
        <w:rPr>
          <w:rFonts w:ascii="Times New Roman" w:cs="Times New Roman" w:eastAsia="Times New Roman" w:hAnsi="Times New Roman"/>
          <w:rtl w:val="0"/>
        </w:rPr>
        <w:t xml:space="preserve"> as typifying mutations that emphasise “fluidity, disgust, infiltration and physical decomposition” (239). Even when the mutated characters do reflect more human representations, such as the superhero mutants of the X-Men franchise, their otherness or difference is elevated, to show they diverge from the norm or expected (Lopez). Thus, the decision of the SFX artists in </w:t>
      </w:r>
      <w:r w:rsidDel="00000000" w:rsidR="00000000" w:rsidRPr="00000000">
        <w:rPr>
          <w:rFonts w:ascii="Times New Roman" w:cs="Times New Roman" w:eastAsia="Times New Roman" w:hAnsi="Times New Roman"/>
          <w:i w:val="1"/>
          <w:rtl w:val="0"/>
        </w:rPr>
        <w:t xml:space="preserve">Face Off </w:t>
      </w:r>
      <w:r w:rsidDel="00000000" w:rsidR="00000000" w:rsidRPr="00000000">
        <w:rPr>
          <w:rFonts w:ascii="Times New Roman" w:cs="Times New Roman" w:eastAsia="Times New Roman" w:hAnsi="Times New Roman"/>
          <w:rtl w:val="0"/>
        </w:rPr>
        <w:t xml:space="preserve">to create characters that emphasise abjection is not unexpected. Rather than portraying mutation as a neutral or even beneficial change in an organism’s DNA, the artists defaulted to representing it as something grotesque or unsettling. Their interpretations emphasize the social and cultural narratives that construct mutation as a form of deviance.</w:t>
      </w:r>
    </w:p>
    <w:p w:rsidR="00000000" w:rsidDel="00000000" w:rsidP="00000000" w:rsidRDefault="00000000" w:rsidRPr="00000000" w14:paraId="00000010">
      <w:pPr>
        <w:spacing w:after="280" w:before="28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 ‘Frightening Families’, the trend towards mutation being synonymous with otherness, abjection and monstrosity continues. In this case, the task is even more explicitly coded as horrific: the makeup artists are asked to create “a sadistic family of three deranged mutants” that would be found in horror productions, and this is a tonal shift from the previous tasks of season eleven, which had largely been centred on light-hearted or “pretty” themes. Contestant Cig even expresses excitement at finally being able to create something “creepy and grotesque,” nine episodes into the season. This framing indicates that mutation, in this context, is not just creatively freeing but inherently tied to horror. One group designs a family disfigured by a nuclear incident, while the other team imagines a family mutated into grotesque circus performers due to genetic malformations. </w:t>
      </w:r>
    </w:p>
    <w:p w:rsidR="00000000" w:rsidDel="00000000" w:rsidP="00000000" w:rsidRDefault="00000000" w:rsidRPr="00000000" w14:paraId="00000011">
      <w:pPr>
        <w:spacing w:after="280" w:before="28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Both interpretations in the episode are steeped in visual horror and physical distortion, but what becomes particularly troubling is the decision by the circus-themed SFX team to construct a young character with the real-world condition of hydrocephalus. As Aschoff et al. explain, hydrocephalus is an “anatomical-pathological” (68) condition in which fluid collects in the brain, causing not only symptoms such as “headache, vomiting, visual disturbances… [and] epileptic seizures” (67) but also the potential for the brain to grow to “abnormal proportions” (69). Although the character design is praised by the judges—particularly the paint work that mimics the veiny, sallow texture of the skin and what guest judge Marcus describes as “nice radial stretching”—this praise, summarised as “disgusting and fantastic” by judge Ve, underlines a more insidious problem: the rendering of a real and often debilitating medical condition as a spectacle for entertainment. </w:t>
      </w:r>
    </w:p>
    <w:p w:rsidR="00000000" w:rsidDel="00000000" w:rsidP="00000000" w:rsidRDefault="00000000" w:rsidRPr="00000000" w14:paraId="00000012">
      <w:pPr>
        <w:spacing w:after="280" w:before="28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Scholarship has consistently demonstrated that disabilities have been appropriated by popular culture as mechanisms for delineating norms, marginalizing those who do not ‘fit’ ideological constructs of normalcy (Diamond and Poharec; Hadley). While such portrayals have perpetuated stereotypes that do a disservice to individuals with disabilities, these representations were not always perceived negatively. Bogdan, for instance, argues that the ‘freak show’ was once an accepted form of popular culture in America, where displaying extraordinary bodies was not solely characterized by callous exploitation but also functioned as a means of interpreting difference. The “freak,” as scholars like Fielder and Garland-Thomson have examined, was constructed as a spectacle of the extraordinary: a figure that incited curiosity, fueled speculation, and captivated audiences, functioning as both a spectacle of novelty and a lucrative commodity (Bogdan; Fielder). This duality allowed some performers with disabilities to achieve a measure of fame, suggesting that cultural perceptions of the freak body were complex and multifaceted.</w:t>
      </w:r>
    </w:p>
    <w:p w:rsidR="00000000" w:rsidDel="00000000" w:rsidP="00000000" w:rsidRDefault="00000000" w:rsidRPr="00000000" w14:paraId="00000013">
      <w:pPr>
        <w:spacing w:after="280" w:before="28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However, as society evolved and cultural narratives reshaped, the perception of the ‘freak’ or disabled body shifted from a symbol of “wonder to one of error” (Garland-Thomson, 3). This cultural shift is evident in the contemporary SFX competition show </w:t>
      </w:r>
      <w:r w:rsidDel="00000000" w:rsidR="00000000" w:rsidRPr="00000000">
        <w:rPr>
          <w:rFonts w:ascii="Times New Roman" w:cs="Times New Roman" w:eastAsia="Times New Roman" w:hAnsi="Times New Roman"/>
          <w:i w:val="1"/>
          <w:rtl w:val="0"/>
        </w:rPr>
        <w:t xml:space="preserve">Face Off</w:t>
      </w:r>
      <w:r w:rsidDel="00000000" w:rsidR="00000000" w:rsidRPr="00000000">
        <w:rPr>
          <w:rFonts w:ascii="Times New Roman" w:cs="Times New Roman" w:eastAsia="Times New Roman" w:hAnsi="Times New Roman"/>
          <w:rtl w:val="0"/>
        </w:rPr>
        <w:t xml:space="preserve">, where the depiction of a character with hydrocephalus draws upon early freak show portrayals by placing the character within a circus family—a narrative decision that evokes the historical spectacle of the freak while reinforcing contemporary stigmatizing narratives. The dual-edged portrayal underlines how the exploitation of disability as spectacle persists in modern media, yet it is now reframed through a lens of exploitation, framing the affliction as a grotesque spectacle rather than presenting it as a complex human experience.</w:t>
      </w:r>
    </w:p>
    <w:p w:rsidR="00000000" w:rsidDel="00000000" w:rsidP="00000000" w:rsidRDefault="00000000" w:rsidRPr="00000000" w14:paraId="00000014">
      <w:pPr>
        <w:spacing w:after="280" w:before="28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Such a decision, whether intentional or not, however reinforces a long-standing cultural pattern in which the disabled body is framed as othered, uncanny, or monstrous. As Diamond and Poharec argue, “according to humanist ideals, human subjects are white, male, able-bodied, conventionally attractive, heterosexual and cisgender, and rationally mature citizens” (403). To deviate from this narrow standard is to be marked as abnormal, and in media representations, such divergence frequently becomes the object of spectacle. The audience is invited to gaze at the difference, not with empathy, but with fascination or horror, effectively reducing the disabled figure to an object of curiosity or fear (Diamond and Poharec).</w:t>
      </w:r>
    </w:p>
    <w:p w:rsidR="00000000" w:rsidDel="00000000" w:rsidP="00000000" w:rsidRDefault="00000000" w:rsidRPr="00000000" w14:paraId="00000015">
      <w:pPr>
        <w:spacing w:after="280" w:before="28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Portraying disabled people as spectacles or presenting their bodies as threatening to the ‘norm’ is what Hadley considers a consistent problem in media: that is, disabled individuals are often represented as either pitiable or terrifying, rather than as complex, fully realized human beings. These portrayals do not just misrepresent disability; they actively contribute to a social hierarchy in which disabled lives are seen as less valuable or less human. By turning a condition like hydrocephalus into a visual shorthand for otherness or horror, the show </w:t>
      </w:r>
      <w:r w:rsidDel="00000000" w:rsidR="00000000" w:rsidRPr="00000000">
        <w:rPr>
          <w:rFonts w:ascii="Times New Roman" w:cs="Times New Roman" w:eastAsia="Times New Roman" w:hAnsi="Times New Roman"/>
          <w:i w:val="1"/>
          <w:rtl w:val="0"/>
        </w:rPr>
        <w:t xml:space="preserve">Face Off</w:t>
      </w:r>
      <w:r w:rsidDel="00000000" w:rsidR="00000000" w:rsidRPr="00000000">
        <w:rPr>
          <w:rFonts w:ascii="Times New Roman" w:cs="Times New Roman" w:eastAsia="Times New Roman" w:hAnsi="Times New Roman"/>
          <w:rtl w:val="0"/>
        </w:rPr>
        <w:t xml:space="preserve"> participates in a representational logic that perpetuates structures of inequity and maltreatment. Rather than challenging societal prejudices about disability, such depictions reinforce them—subtly teaching audiences that physical difference is something to be feared, fixed, or excluded, especially when the artists are applauded for the authentic dribbling and “creepy” tone of the character. In fact, judge Glenn goes as far as to say that it is contestant Ben’s best work, legitimising the treatment of disability and difference as laudable. </w:t>
      </w:r>
    </w:p>
    <w:p w:rsidR="00000000" w:rsidDel="00000000" w:rsidP="00000000" w:rsidRDefault="00000000" w:rsidRPr="00000000" w14:paraId="00000016">
      <w:pPr>
        <w:spacing w:after="280" w:before="28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choice to focus on a medical condition as evidence of mutation may also reflect how, under pressure, artists draw from familiar representations that they know will have immediate visual impact. In a challenge that must be completed in a matter of days, the use of such an extreme visual cue may have felt like a practical decision to quickly convey a disturbing and memorable character, drawing perhaps from the stereotypes that they had gleaned from the myriad of popular cultural offerings that position mutation as abject (Domaradzki; Mantle; Peasant-Kelly). While this might raise important ethical concerns, it also illustrates how the time constraints of the competition push contestants to prioritize recognizable visual tropes over nuanced representations</w:t>
      </w:r>
    </w:p>
    <w:p w:rsidR="00000000" w:rsidDel="00000000" w:rsidP="00000000" w:rsidRDefault="00000000" w:rsidRPr="00000000" w14:paraId="00000017">
      <w:pPr>
        <w:spacing w:after="280" w:before="28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8">
      <w:pPr>
        <w:spacing w:after="280" w:before="280" w:line="240"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The Animal-Human Hybrid</w:t>
      </w:r>
    </w:p>
    <w:p w:rsidR="00000000" w:rsidDel="00000000" w:rsidP="00000000" w:rsidRDefault="00000000" w:rsidRPr="00000000" w14:paraId="00000019">
      <w:pPr>
        <w:spacing w:after="280" w:before="28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 ‘Freaks of Nature’, the fact that half of the </w:t>
      </w:r>
      <w:r w:rsidDel="00000000" w:rsidR="00000000" w:rsidRPr="00000000">
        <w:rPr>
          <w:rFonts w:ascii="Times New Roman" w:cs="Times New Roman" w:eastAsia="Times New Roman" w:hAnsi="Times New Roman"/>
          <w:i w:val="1"/>
          <w:rtl w:val="0"/>
        </w:rPr>
        <w:t xml:space="preserve">Face Off</w:t>
      </w:r>
      <w:r w:rsidDel="00000000" w:rsidR="00000000" w:rsidRPr="00000000">
        <w:rPr>
          <w:rFonts w:ascii="Times New Roman" w:cs="Times New Roman" w:eastAsia="Times New Roman" w:hAnsi="Times New Roman"/>
          <w:rtl w:val="0"/>
        </w:rPr>
        <w:t xml:space="preserve"> artists deferred to animal traits in constructing their physical representations of mutation was not unexpected. Animal-human hybrids are a long-standing and culturally pervasive narrative device, especially within science fiction and horror genres, making them a familiar visual shorthand for transformation and difference (Cruz; Domaradzki). These hybrids are not merely imaginative constructs but are rooted in real-world scientific practices. Genetic testing on animals—including gene splicing and the deliberate induction of mutations—has long served as a foundation for medical advancement (Anderson; Dunn et al.; Singh and Seed), and these experiments have in turn inspired screen narratives that explore the limits and ethics of biological manipulation.</w:t>
      </w:r>
    </w:p>
    <w:p w:rsidR="00000000" w:rsidDel="00000000" w:rsidP="00000000" w:rsidRDefault="00000000" w:rsidRPr="00000000" w14:paraId="0000001A">
      <w:pPr>
        <w:spacing w:after="280" w:before="28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i w:val="1"/>
          <w:rtl w:val="0"/>
        </w:rPr>
        <w:t xml:space="preserve">Face Off</w:t>
      </w:r>
      <w:r w:rsidDel="00000000" w:rsidR="00000000" w:rsidRPr="00000000">
        <w:rPr>
          <w:rFonts w:ascii="Times New Roman" w:cs="Times New Roman" w:eastAsia="Times New Roman" w:hAnsi="Times New Roman"/>
          <w:rtl w:val="0"/>
        </w:rPr>
        <w:t xml:space="preserve"> operates directly within this representational tradition. Even when the characters were not constructed as overtly monstrous, they were often designed as amalgamations or animal-human hybrids. These hybrids were used to communicate specific abilities linked to the assigned mutations—abilities that could have been represented in a variety of ways but were instead visually anchored in the non-human or the abject. For instance, an octopus—with its multiple tentacles—was used to convey elasticity, a fly’s capacity to climb vertical surfaces inspired another design, and a mole rat informed the concept of a tunneling mutant. These choices suggest that even when monstrosity or non-human traits were not explicitly chosen as the aesthetic direction, the animalistic was still a dominant trope. Here, the hybrid becomes not just a symbol of altered biology but a marker of otherness, particularly when the boundaries around what constitutes the human becomes increasingly blurred in law and animal experimentation (Vining).</w:t>
      </w:r>
    </w:p>
    <w:p w:rsidR="00000000" w:rsidDel="00000000" w:rsidP="00000000" w:rsidRDefault="00000000" w:rsidRPr="00000000" w14:paraId="0000001B">
      <w:pPr>
        <w:spacing w:after="280" w:before="28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integration of animal traits into the characters developed by the SFX artists can subtly signal a tendency to use creativity to explore broader cultural anxieties around hybridity. As Cruz observes, “Interspecies hybrids are abnormal and undesirable not only in the sense that their creation does not occur naturally, but also in that they are essentially evolutionary dead-ends” (162). Within this logic, hybrids do not represent progress or potential but aberration and stasis. In fact, Cruz argues that “The uncertainty of what will be produced by the unnatural union is what frightens” (162). It is precisely the unpredictability—the inability to control or fully know the outcome of genetic fusion—that makes such depictions so resonant within horror and sci-fi aesthetics. The animal-human hybrid becomes a vessel for projecting fears about scientific overreach and the destabilization of natural order. As Cruz notes, “what is most frightening about genetics is our loss of power” (164).</w:t>
      </w:r>
    </w:p>
    <w:p w:rsidR="00000000" w:rsidDel="00000000" w:rsidP="00000000" w:rsidRDefault="00000000" w:rsidRPr="00000000" w14:paraId="0000001C">
      <w:pPr>
        <w:spacing w:after="280" w:before="28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artists of </w:t>
      </w:r>
      <w:r w:rsidDel="00000000" w:rsidR="00000000" w:rsidRPr="00000000">
        <w:rPr>
          <w:rFonts w:ascii="Times New Roman" w:cs="Times New Roman" w:eastAsia="Times New Roman" w:hAnsi="Times New Roman"/>
          <w:i w:val="1"/>
          <w:rtl w:val="0"/>
        </w:rPr>
        <w:t xml:space="preserve">Face Off</w:t>
      </w:r>
      <w:r w:rsidDel="00000000" w:rsidR="00000000" w:rsidRPr="00000000">
        <w:rPr>
          <w:rFonts w:ascii="Times New Roman" w:cs="Times New Roman" w:eastAsia="Times New Roman" w:hAnsi="Times New Roman"/>
          <w:rtl w:val="0"/>
        </w:rPr>
        <w:t xml:space="preserve"> alignment with this darker lineage of hybrid representation accentuates how deeply entrenched these ideas about mutation and hybridity are in the cultural imagination. As Domaradzki argues, the preoccupation of popular culture with mutation and hybrid forms is closely tied to the rapid development of biotechnologies, which provoke both fascination and fear. Media texts, then, like </w:t>
      </w:r>
      <w:r w:rsidDel="00000000" w:rsidR="00000000" w:rsidRPr="00000000">
        <w:rPr>
          <w:rFonts w:ascii="Times New Roman" w:cs="Times New Roman" w:eastAsia="Times New Roman" w:hAnsi="Times New Roman"/>
          <w:i w:val="1"/>
          <w:rtl w:val="0"/>
        </w:rPr>
        <w:t xml:space="preserve">Face Off,</w:t>
      </w:r>
      <w:r w:rsidDel="00000000" w:rsidR="00000000" w:rsidRPr="00000000">
        <w:rPr>
          <w:rFonts w:ascii="Times New Roman" w:cs="Times New Roman" w:eastAsia="Times New Roman" w:hAnsi="Times New Roman"/>
          <w:rtl w:val="0"/>
        </w:rPr>
        <w:t xml:space="preserve"> function as interpretive tools that help audiences navigate the ethical and existential uncertainties posed by these technologies. Yet even as they offer a space for creative exploration, they also tend to reproduce dominant narratives that equate difference—especially biological difference—with monstrosity or otherness.</w:t>
      </w:r>
    </w:p>
    <w:p w:rsidR="00000000" w:rsidDel="00000000" w:rsidP="00000000" w:rsidRDefault="00000000" w:rsidRPr="00000000" w14:paraId="0000001D">
      <w:pPr>
        <w:spacing w:after="280" w:before="280" w:line="240" w:lineRule="auto"/>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E">
      <w:pPr>
        <w:spacing w:after="280" w:before="280" w:line="240"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Creativity and the Mutant Agenda</w:t>
      </w:r>
    </w:p>
    <w:p w:rsidR="00000000" w:rsidDel="00000000" w:rsidP="00000000" w:rsidRDefault="00000000" w:rsidRPr="00000000" w14:paraId="0000001F">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decision of the SFX artists across both episodes to lean into the monstrous when interpreting mutation may also have been a strategic and creative one. By choosing to represent mutations through incongruous and transgressive forms, the special effects artists in ‘Freaks of Nature’, for example, had a wider range of aesthetic possibilities, with which to respond to the request of judge, Neville Page, to “push themselves creatively”. The monstrous body, unlike a conventionally beautiful or subtle transformation, invites experimentation. As contestant George states in ‘Frightening Families’, “Finally, we’ve done all this pretty shit and now we get to do something scary and bloody and snotty, which is so awesome”. It enables artists to work with exaggerated forms, unfamiliar textures, and extreme alterations to human anatomy that can produce hedonistic responses in audiences (Baltacioglu). </w:t>
      </w:r>
    </w:p>
    <w:p w:rsidR="00000000" w:rsidDel="00000000" w:rsidP="00000000" w:rsidRDefault="00000000" w:rsidRPr="00000000" w14:paraId="00000020">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These creative challenges allowed the participants to push the limits of their materials and methods, from prosthetics and latex shaping to airbrushing, sculpting, and layering. In this sense, the monstrous was not just a default aesthetic, but also a space for showcasing technical prowess. For example, the winner of the mutation challenge in ‘Freaks of Nature’, contestant Tyler,</w:t>
      </w:r>
      <w:r w:rsidDel="00000000" w:rsidR="00000000" w:rsidRPr="00000000">
        <w:rPr>
          <w:rFonts w:ascii="Times New Roman" w:cs="Times New Roman" w:eastAsia="Times New Roman" w:hAnsi="Times New Roman"/>
          <w:i w:val="1"/>
          <w:rtl w:val="0"/>
        </w:rPr>
        <w:t xml:space="preserve"> </w:t>
      </w:r>
      <w:r w:rsidDel="00000000" w:rsidR="00000000" w:rsidRPr="00000000">
        <w:rPr>
          <w:rFonts w:ascii="Times New Roman" w:cs="Times New Roman" w:eastAsia="Times New Roman" w:hAnsi="Times New Roman"/>
          <w:rtl w:val="0"/>
        </w:rPr>
        <w:t xml:space="preserve">was conscious that his wall-crawler needed to visually reflect the unique characteristics of a fly, and thus, he opted to mimic hair follicles by burning rubber tubes that would then look stiff and spiky: a creative approach that was deemed a marker of authenticity by the judges.  </w:t>
      </w:r>
      <w:r w:rsidDel="00000000" w:rsidR="00000000" w:rsidRPr="00000000">
        <w:rPr>
          <w:rFonts w:ascii="Times New Roman" w:cs="Times New Roman" w:eastAsia="Times New Roman" w:hAnsi="Times New Roman"/>
          <w:i w:val="1"/>
          <w:rtl w:val="0"/>
        </w:rPr>
        <w:t xml:space="preserve"> </w:t>
      </w:r>
      <w:r w:rsidDel="00000000" w:rsidR="00000000" w:rsidRPr="00000000">
        <w:rPr>
          <w:rtl w:val="0"/>
        </w:rPr>
      </w:r>
    </w:p>
    <w:p w:rsidR="00000000" w:rsidDel="00000000" w:rsidP="00000000" w:rsidRDefault="00000000" w:rsidRPr="00000000" w14:paraId="00000021">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While grotesque designs were expected in a mutant makeup challenge, contestants were still encouraged to push creative boundaries. In ‘</w:t>
      </w:r>
      <w:r w:rsidDel="00000000" w:rsidR="00000000" w:rsidRPr="00000000">
        <w:rPr>
          <w:rFonts w:ascii="Times New Roman" w:cs="Times New Roman" w:eastAsia="Times New Roman" w:hAnsi="Times New Roman"/>
          <w:i w:val="0"/>
          <w:rtl w:val="0"/>
        </w:rPr>
        <w:t xml:space="preserve">Frightening Families’</w:t>
      </w:r>
      <w:r w:rsidDel="00000000" w:rsidR="00000000" w:rsidRPr="00000000">
        <w:rPr>
          <w:rFonts w:ascii="Times New Roman" w:cs="Times New Roman" w:eastAsia="Times New Roman" w:hAnsi="Times New Roman"/>
          <w:rtl w:val="0"/>
        </w:rPr>
        <w:t xml:space="preserve">, contestant Adam challenged his team’s “conceptually bland” direction by proposing a character swap—casting a six-foot man as the “little girl” and a shorter woman as the father. This risk, ultimately praised by the judges, exemplifies how artists were encouraged to break from conventional representations. Rather than being confined to more mundane or restrained depictions—such as minor physical anomalies or internal genetic shifts that might not lend themselves to visual storytelling—the artists were given the opportunity to expand the visual language of mutation. This freedom encouraged out-of-the-box thinking and provided a platform to challenge traditional aesthetic paradigms within their discipline.</w:t>
      </w:r>
    </w:p>
    <w:p w:rsidR="00000000" w:rsidDel="00000000" w:rsidP="00000000" w:rsidRDefault="00000000" w:rsidRPr="00000000" w14:paraId="00000022">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pressure to engage in out-of-the-box thinking was central to the development of mutants in the </w:t>
      </w:r>
      <w:r w:rsidDel="00000000" w:rsidR="00000000" w:rsidRPr="00000000">
        <w:rPr>
          <w:rFonts w:ascii="Times New Roman" w:cs="Times New Roman" w:eastAsia="Times New Roman" w:hAnsi="Times New Roman"/>
          <w:i w:val="1"/>
          <w:rtl w:val="0"/>
        </w:rPr>
        <w:t xml:space="preserve">Face Off</w:t>
      </w:r>
      <w:r w:rsidDel="00000000" w:rsidR="00000000" w:rsidRPr="00000000">
        <w:rPr>
          <w:rFonts w:ascii="Times New Roman" w:cs="Times New Roman" w:eastAsia="Times New Roman" w:hAnsi="Times New Roman"/>
          <w:rtl w:val="0"/>
        </w:rPr>
        <w:t xml:space="preserve"> episode ‘Freaks of Nature.’ Contestants openly discussed how they could not play it “too safe” or “too simple,” emphasizing that the judges would “appreciate originality.” Creativity was not just encouraged—it was expected as a professional standard. The demand for innovation meant that even within a theme as imaginative as mutation, artists were pushed to take conceptual and aesthetic risks. Simply defaulting to the familiar, even when it fits the brief, could result in elimination. This became evident in the case of contestant Graham, who chose to develop a mole rat-inspired design to represent a tunneling mutant. Although his choice was conceptually logical—grounded in the real-world biology of an animal known for its burrowing—his execution was criticized for being too predictable. The judges were unanimous in their disappointment, calling the concept the “obvious choice” and the “lowest hanging fruit.” Despite technical competency, his failure to stretch the imaginative possibilities of mutation cost him his place in the competition. Graham’s experience signals what creativity scholars have long argued, that what constitutes creativity may be subjective (Caves) but ultimately, to have success is to generate novel ideas (Amabile). </w:t>
      </w:r>
    </w:p>
    <w:p w:rsidR="00000000" w:rsidDel="00000000" w:rsidP="00000000" w:rsidRDefault="00000000" w:rsidRPr="00000000" w14:paraId="00000023">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Professional expectations on </w:t>
      </w:r>
      <w:r w:rsidDel="00000000" w:rsidR="00000000" w:rsidRPr="00000000">
        <w:rPr>
          <w:rFonts w:ascii="Times New Roman" w:cs="Times New Roman" w:eastAsia="Times New Roman" w:hAnsi="Times New Roman"/>
          <w:i w:val="1"/>
          <w:rtl w:val="0"/>
        </w:rPr>
        <w:t xml:space="preserve">Face Off</w:t>
      </w:r>
      <w:r w:rsidDel="00000000" w:rsidR="00000000" w:rsidRPr="00000000">
        <w:rPr>
          <w:rFonts w:ascii="Times New Roman" w:cs="Times New Roman" w:eastAsia="Times New Roman" w:hAnsi="Times New Roman"/>
          <w:rtl w:val="0"/>
        </w:rPr>
        <w:t xml:space="preserve"> required contestants to uphold high standards across multiple domains: innovative concept development, strong narrative cohesion, and meticulous technical execution. Risk-taking was a valued part of the process. Even when monstrosity and mutation already lent themselves to creativity, the bar was raised—contestants had to go beyond the expected, challenge the visual language of the grotesque, and surprise the judges with fresh interpretations. Bilton contends that creative people thrive on bounded creativity, where, for example, they are confined by genre or brief, but use that as a means to challenge parameters. These SFX artists typify Bilton’s thinking as they sought to push the boundaries of character design through cohesive storytelling, problem-solving on the fly, and aligning their work with the discipline’s aesthetic values: subtle paintwork, organic form, clean lines, and anatomical believability. </w:t>
      </w:r>
    </w:p>
    <w:p w:rsidR="00000000" w:rsidDel="00000000" w:rsidP="00000000" w:rsidRDefault="00000000" w:rsidRPr="00000000" w14:paraId="00000024">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SFX artists, then, were expected to not only craft compelling mutant characters but also to reinvent how mutation itself could be visualized. Failing to do so—even when working within a monstrous framework—was enough to be dismissed. While the monstrous or hybrid may be a reliable fallback under time pressure, contestants are still expected to push beyond those tropes. However, the show’s structure simultaneously demands rapid execution and novelty—a difficult balance that often leads artists to return to core motifs that are both professionally learned and socially reinforced. The result is a show where pushing aesthetic and conceptual boundaries was both a creative imperative and a professional necessity.</w:t>
      </w:r>
    </w:p>
    <w:p w:rsidR="00000000" w:rsidDel="00000000" w:rsidP="00000000" w:rsidRDefault="00000000" w:rsidRPr="00000000" w14:paraId="00000025">
      <w:pPr>
        <w:spacing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6">
      <w:pPr>
        <w:spacing w:line="240"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Conclusion</w:t>
      </w:r>
    </w:p>
    <w:p w:rsidR="00000000" w:rsidDel="00000000" w:rsidP="00000000" w:rsidRDefault="00000000" w:rsidRPr="00000000" w14:paraId="00000027">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depiction of mutation in </w:t>
      </w:r>
      <w:r w:rsidDel="00000000" w:rsidR="00000000" w:rsidRPr="00000000">
        <w:rPr>
          <w:rFonts w:ascii="Times New Roman" w:cs="Times New Roman" w:eastAsia="Times New Roman" w:hAnsi="Times New Roman"/>
          <w:i w:val="1"/>
          <w:rtl w:val="0"/>
        </w:rPr>
        <w:t xml:space="preserve">Face Off</w:t>
      </w:r>
      <w:r w:rsidDel="00000000" w:rsidR="00000000" w:rsidRPr="00000000">
        <w:rPr>
          <w:rFonts w:ascii="Times New Roman" w:cs="Times New Roman" w:eastAsia="Times New Roman" w:hAnsi="Times New Roman"/>
          <w:rtl w:val="0"/>
        </w:rPr>
        <w:t xml:space="preserve"> offers an interesting window into how special effects artists grapple with the visual, narrative, and ideological dimensions of biological transformation. Across the two episodes analyzed, mutation emerges not as a neutral or scientific concept, but as a rich aesthetic and cultural symbol—one that is frequently aligned with monstrosity, deviance, and otherness. Whether drawing on animal traits or real-world medical conditions, the artists consistently leaned into the grotesque, creating characters that disturb and transfix in equal measure. While this tendency reveals how entrenched certain genre tropes are, it also points out the professional and creative demands placed on SFX artists to innovate within those boundaries.</w:t>
      </w:r>
    </w:p>
    <w:p w:rsidR="00000000" w:rsidDel="00000000" w:rsidP="00000000" w:rsidRDefault="00000000" w:rsidRPr="00000000" w14:paraId="00000028">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mutation challenges, much like the alien, monster-focused, and creature-based challenges of the discussed seasons, emphasized the grotesque and deviated from conventional aesthetics. This contrast became particularly apparent when placed alongside the more visually pleasing and ethereal challenges, such as the Snow Queens, angels, and fantasy duos, where beauty and attractiveness served as constraining parameters. In contrast, the grotesque-themed challenges permitted greater exploration beyond the boundaries of normalcy. Despite these thematic differences, all challenges demanded similar techniques and approaches, reinforcing the expectation that special effects artists would expand their skill sets and refine their repertoires as the seasons progressed.</w:t>
      </w:r>
    </w:p>
    <w:p w:rsidR="00000000" w:rsidDel="00000000" w:rsidP="00000000" w:rsidRDefault="00000000" w:rsidRPr="00000000" w14:paraId="00000029">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Ultimately, </w:t>
      </w:r>
      <w:r w:rsidDel="00000000" w:rsidR="00000000" w:rsidRPr="00000000">
        <w:rPr>
          <w:rFonts w:ascii="Times New Roman" w:cs="Times New Roman" w:eastAsia="Times New Roman" w:hAnsi="Times New Roman"/>
          <w:i w:val="1"/>
          <w:rtl w:val="0"/>
        </w:rPr>
        <w:t xml:space="preserve">Face Off</w:t>
      </w:r>
      <w:r w:rsidDel="00000000" w:rsidR="00000000" w:rsidRPr="00000000">
        <w:rPr>
          <w:rFonts w:ascii="Times New Roman" w:cs="Times New Roman" w:eastAsia="Times New Roman" w:hAnsi="Times New Roman"/>
          <w:rtl w:val="0"/>
        </w:rPr>
        <w:t xml:space="preserve"> becomes more than a reality competition; it is a site where contemporary anxieties about the body, identity, and transformation are played out through latex, prosthetics, and paint. The show’s mutant challenges highlight both the imaginative potential and the ethical complexities of visual storytelling in genre media. In making the monstrous beautiful—or at least compelling—the artists on </w:t>
      </w:r>
      <w:r w:rsidDel="00000000" w:rsidR="00000000" w:rsidRPr="00000000">
        <w:rPr>
          <w:rFonts w:ascii="Times New Roman" w:cs="Times New Roman" w:eastAsia="Times New Roman" w:hAnsi="Times New Roman"/>
          <w:i w:val="1"/>
          <w:rtl w:val="0"/>
        </w:rPr>
        <w:t xml:space="preserve">Face Off</w:t>
      </w:r>
      <w:r w:rsidDel="00000000" w:rsidR="00000000" w:rsidRPr="00000000">
        <w:rPr>
          <w:rFonts w:ascii="Times New Roman" w:cs="Times New Roman" w:eastAsia="Times New Roman" w:hAnsi="Times New Roman"/>
          <w:rtl w:val="0"/>
        </w:rPr>
        <w:t xml:space="preserve"> not only expand the possibilities of special effects makeup but also offer insight into the cultural narratives that continue to shape our understanding of the altered body.</w:t>
      </w:r>
    </w:p>
    <w:p w:rsidR="00000000" w:rsidDel="00000000" w:rsidP="00000000" w:rsidRDefault="00000000" w:rsidRPr="00000000" w14:paraId="0000002A">
      <w:pPr>
        <w:spacing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B">
      <w:pPr>
        <w:spacing w:line="240"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References</w:t>
      </w:r>
    </w:p>
    <w:p w:rsidR="00000000" w:rsidDel="00000000" w:rsidP="00000000" w:rsidRDefault="00000000" w:rsidRPr="00000000" w14:paraId="0000002C">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Amabile, Teresa M. "Entrepreneurial creativity through motivational synergy." </w:t>
      </w:r>
      <w:r w:rsidDel="00000000" w:rsidR="00000000" w:rsidRPr="00000000">
        <w:rPr>
          <w:rFonts w:ascii="Times New Roman" w:cs="Times New Roman" w:eastAsia="Times New Roman" w:hAnsi="Times New Roman"/>
          <w:i w:val="1"/>
          <w:rtl w:val="0"/>
        </w:rPr>
        <w:t xml:space="preserve">The Journal of Creative Behavior</w:t>
      </w:r>
      <w:r w:rsidDel="00000000" w:rsidR="00000000" w:rsidRPr="00000000">
        <w:rPr>
          <w:rFonts w:ascii="Times New Roman" w:cs="Times New Roman" w:eastAsia="Times New Roman" w:hAnsi="Times New Roman"/>
          <w:rtl w:val="0"/>
        </w:rPr>
        <w:t xml:space="preserve"> 31.1 (1997): 18-26.</w:t>
      </w:r>
    </w:p>
    <w:p w:rsidR="00000000" w:rsidDel="00000000" w:rsidP="00000000" w:rsidRDefault="00000000" w:rsidRPr="00000000" w14:paraId="0000002D">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Anderson, W. French. "Prospects for human gene therapy." </w:t>
      </w:r>
      <w:r w:rsidDel="00000000" w:rsidR="00000000" w:rsidRPr="00000000">
        <w:rPr>
          <w:rFonts w:ascii="Times New Roman" w:cs="Times New Roman" w:eastAsia="Times New Roman" w:hAnsi="Times New Roman"/>
          <w:i w:val="1"/>
          <w:rtl w:val="0"/>
        </w:rPr>
        <w:t xml:space="preserve">Science</w:t>
      </w:r>
      <w:r w:rsidDel="00000000" w:rsidR="00000000" w:rsidRPr="00000000">
        <w:rPr>
          <w:rFonts w:ascii="Times New Roman" w:cs="Times New Roman" w:eastAsia="Times New Roman" w:hAnsi="Times New Roman"/>
          <w:rtl w:val="0"/>
        </w:rPr>
        <w:t xml:space="preserve"> 226.4673 (1984): 401-409.</w:t>
      </w:r>
    </w:p>
    <w:p w:rsidR="00000000" w:rsidDel="00000000" w:rsidP="00000000" w:rsidRDefault="00000000" w:rsidRPr="00000000" w14:paraId="0000002E">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Baltacioglu, Yesim Alrsoy. “Views of State Theatre Actors on Theatrical Makeup.” </w:t>
      </w:r>
      <w:r w:rsidDel="00000000" w:rsidR="00000000" w:rsidRPr="00000000">
        <w:rPr>
          <w:rFonts w:ascii="Times New Roman" w:cs="Times New Roman" w:eastAsia="Times New Roman" w:hAnsi="Times New Roman"/>
          <w:i w:val="1"/>
          <w:rtl w:val="0"/>
        </w:rPr>
        <w:t xml:space="preserve">New Trends and Issues Proceedings on Humanities and Social Sciences</w:t>
      </w:r>
      <w:r w:rsidDel="00000000" w:rsidR="00000000" w:rsidRPr="00000000">
        <w:rPr>
          <w:rFonts w:ascii="Times New Roman" w:cs="Times New Roman" w:eastAsia="Times New Roman" w:hAnsi="Times New Roman"/>
          <w:rtl w:val="0"/>
        </w:rPr>
        <w:t xml:space="preserve"> 5.6 (2018): 118–127. </w:t>
      </w:r>
      <w:hyperlink r:id="rId8">
        <w:r w:rsidDel="00000000" w:rsidR="00000000" w:rsidRPr="00000000">
          <w:rPr>
            <w:rFonts w:ascii="Times New Roman" w:cs="Times New Roman" w:eastAsia="Times New Roman" w:hAnsi="Times New Roman"/>
            <w:color w:val="0000ff"/>
            <w:u w:val="single"/>
            <w:rtl w:val="0"/>
          </w:rPr>
          <w:t xml:space="preserve">http://www.prosoc.eu</w:t>
        </w:r>
      </w:hyperlink>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2F">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Bilton, Chris. </w:t>
      </w:r>
      <w:r w:rsidDel="00000000" w:rsidR="00000000" w:rsidRPr="00000000">
        <w:rPr>
          <w:rFonts w:ascii="Times New Roman" w:cs="Times New Roman" w:eastAsia="Times New Roman" w:hAnsi="Times New Roman"/>
          <w:i w:val="1"/>
          <w:rtl w:val="0"/>
        </w:rPr>
        <w:t xml:space="preserve">Management and creativity: From creative industries to creative management</w:t>
      </w:r>
      <w:r w:rsidDel="00000000" w:rsidR="00000000" w:rsidRPr="00000000">
        <w:rPr>
          <w:rFonts w:ascii="Times New Roman" w:cs="Times New Roman" w:eastAsia="Times New Roman" w:hAnsi="Times New Roman"/>
          <w:rtl w:val="0"/>
        </w:rPr>
        <w:t xml:space="preserve">. Blackwell Publishing, 2007.</w:t>
      </w:r>
    </w:p>
    <w:p w:rsidR="00000000" w:rsidDel="00000000" w:rsidP="00000000" w:rsidRDefault="00000000" w:rsidRPr="00000000" w14:paraId="00000030">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Bogdan, Robert. </w:t>
      </w:r>
      <w:r w:rsidDel="00000000" w:rsidR="00000000" w:rsidRPr="00000000">
        <w:rPr>
          <w:rFonts w:ascii="Times New Roman" w:cs="Times New Roman" w:eastAsia="Times New Roman" w:hAnsi="Times New Roman"/>
          <w:i w:val="1"/>
          <w:rtl w:val="0"/>
        </w:rPr>
        <w:t xml:space="preserve">Freak Show: Presenting Human Oddities for Amusement and Profit. </w:t>
      </w:r>
      <w:r w:rsidDel="00000000" w:rsidR="00000000" w:rsidRPr="00000000">
        <w:rPr>
          <w:rFonts w:ascii="Times New Roman" w:cs="Times New Roman" w:eastAsia="Times New Roman" w:hAnsi="Times New Roman"/>
          <w:rtl w:val="0"/>
        </w:rPr>
        <w:t xml:space="preserve">The U of Chicago P, 1988.</w:t>
      </w:r>
    </w:p>
    <w:p w:rsidR="00000000" w:rsidDel="00000000" w:rsidP="00000000" w:rsidRDefault="00000000" w:rsidRPr="00000000" w14:paraId="00000031">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Caves, Richard E. "Contracts between art and commerce." </w:t>
      </w:r>
      <w:r w:rsidDel="00000000" w:rsidR="00000000" w:rsidRPr="00000000">
        <w:rPr>
          <w:rFonts w:ascii="Times New Roman" w:cs="Times New Roman" w:eastAsia="Times New Roman" w:hAnsi="Times New Roman"/>
          <w:i w:val="1"/>
          <w:rtl w:val="0"/>
        </w:rPr>
        <w:t xml:space="preserve">Journal of Economic Perspectives</w:t>
      </w:r>
      <w:r w:rsidDel="00000000" w:rsidR="00000000" w:rsidRPr="00000000">
        <w:rPr>
          <w:rFonts w:ascii="Times New Roman" w:cs="Times New Roman" w:eastAsia="Times New Roman" w:hAnsi="Times New Roman"/>
          <w:rtl w:val="0"/>
        </w:rPr>
        <w:t xml:space="preserve"> 17.2 (2003): 73-83.</w:t>
      </w:r>
    </w:p>
    <w:p w:rsidR="00000000" w:rsidDel="00000000" w:rsidP="00000000" w:rsidRDefault="00000000" w:rsidRPr="00000000" w14:paraId="00000032">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Chaiken, Shelly, and Alison Ledgerwood. “A Theory of Heuristic and Systematic Information Processing”. </w:t>
      </w:r>
      <w:r w:rsidDel="00000000" w:rsidR="00000000" w:rsidRPr="00000000">
        <w:rPr>
          <w:rFonts w:ascii="Times New Roman" w:cs="Times New Roman" w:eastAsia="Times New Roman" w:hAnsi="Times New Roman"/>
          <w:i w:val="1"/>
          <w:rtl w:val="0"/>
        </w:rPr>
        <w:t xml:space="preserve">Handbook of Theories of Social Psychology, </w:t>
      </w:r>
      <w:r w:rsidDel="00000000" w:rsidR="00000000" w:rsidRPr="00000000">
        <w:rPr>
          <w:rFonts w:ascii="Times New Roman" w:cs="Times New Roman" w:eastAsia="Times New Roman" w:hAnsi="Times New Roman"/>
          <w:rtl w:val="0"/>
        </w:rPr>
        <w:t xml:space="preserve">edited by P.A.M Van Lange, A.W. Kruglanski and E.T. Higgins. Sage, 2012, pp. 246-265.</w:t>
      </w:r>
    </w:p>
    <w:p w:rsidR="00000000" w:rsidDel="00000000" w:rsidP="00000000" w:rsidRDefault="00000000" w:rsidRPr="00000000" w14:paraId="00000033">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Cronenberg, David, director. </w:t>
      </w:r>
      <w:r w:rsidDel="00000000" w:rsidR="00000000" w:rsidRPr="00000000">
        <w:rPr>
          <w:rFonts w:ascii="Times New Roman" w:cs="Times New Roman" w:eastAsia="Times New Roman" w:hAnsi="Times New Roman"/>
          <w:i w:val="1"/>
          <w:rtl w:val="0"/>
        </w:rPr>
        <w:t xml:space="preserve">The Proteus Mutation</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i w:val="1"/>
          <w:rtl w:val="0"/>
        </w:rPr>
        <w:t xml:space="preserve">a.k.a. Proteus</w:t>
      </w:r>
      <w:r w:rsidDel="00000000" w:rsidR="00000000" w:rsidRPr="00000000">
        <w:rPr>
          <w:rFonts w:ascii="Times New Roman" w:cs="Times New Roman" w:eastAsia="Times New Roman" w:hAnsi="Times New Roman"/>
          <w:rtl w:val="0"/>
        </w:rPr>
        <w:t xml:space="preserve">]. Lightning Pictures, 1995.</w:t>
      </w:r>
    </w:p>
    <w:p w:rsidR="00000000" w:rsidDel="00000000" w:rsidP="00000000" w:rsidRDefault="00000000" w:rsidRPr="00000000" w14:paraId="00000034">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Cruz, Ronald Allan Lopez. “Mutations and Metamorphoses: Body Horror Is Biological Horror.” </w:t>
      </w:r>
      <w:r w:rsidDel="00000000" w:rsidR="00000000" w:rsidRPr="00000000">
        <w:rPr>
          <w:rFonts w:ascii="Times New Roman" w:cs="Times New Roman" w:eastAsia="Times New Roman" w:hAnsi="Times New Roman"/>
          <w:i w:val="1"/>
          <w:rtl w:val="0"/>
        </w:rPr>
        <w:t xml:space="preserve">Journal of Popular Film and Television</w:t>
      </w:r>
      <w:r w:rsidDel="00000000" w:rsidR="00000000" w:rsidRPr="00000000">
        <w:rPr>
          <w:rFonts w:ascii="Times New Roman" w:cs="Times New Roman" w:eastAsia="Times New Roman" w:hAnsi="Times New Roman"/>
          <w:rtl w:val="0"/>
        </w:rPr>
        <w:t xml:space="preserve"> 40.4 (2012): 160–168. </w:t>
      </w:r>
      <w:hyperlink r:id="rId9">
        <w:r w:rsidDel="00000000" w:rsidR="00000000" w:rsidRPr="00000000">
          <w:rPr>
            <w:rFonts w:ascii="Times New Roman" w:cs="Times New Roman" w:eastAsia="Times New Roman" w:hAnsi="Times New Roman"/>
            <w:color w:val="0000ff"/>
            <w:u w:val="single"/>
            <w:rtl w:val="0"/>
          </w:rPr>
          <w:t xml:space="preserve">https://doi.org/10.1080/01956051.2012.654521</w:t>
        </w:r>
      </w:hyperlink>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35">
      <w:pPr>
        <w:spacing w:after="280" w:before="28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Diamond, Aidan, and Lauranne Poharec. “Introduction: Freaked and Othered Bodies in Comics.” </w:t>
      </w:r>
      <w:r w:rsidDel="00000000" w:rsidR="00000000" w:rsidRPr="00000000">
        <w:rPr>
          <w:rFonts w:ascii="Times New Roman" w:cs="Times New Roman" w:eastAsia="Times New Roman" w:hAnsi="Times New Roman"/>
          <w:i w:val="1"/>
          <w:rtl w:val="0"/>
        </w:rPr>
        <w:t xml:space="preserve">Journal of Graphic Novels and Comics</w:t>
      </w:r>
      <w:r w:rsidDel="00000000" w:rsidR="00000000" w:rsidRPr="00000000">
        <w:rPr>
          <w:rFonts w:ascii="Times New Roman" w:cs="Times New Roman" w:eastAsia="Times New Roman" w:hAnsi="Times New Roman"/>
          <w:rtl w:val="0"/>
        </w:rPr>
        <w:t xml:space="preserve"> 8.5 (2017): 402–416. </w:t>
      </w:r>
      <w:hyperlink r:id="rId10">
        <w:r w:rsidDel="00000000" w:rsidR="00000000" w:rsidRPr="00000000">
          <w:rPr>
            <w:rFonts w:ascii="Times New Roman" w:cs="Times New Roman" w:eastAsia="Times New Roman" w:hAnsi="Times New Roman"/>
            <w:color w:val="0000ff"/>
            <w:u w:val="single"/>
            <w:rtl w:val="0"/>
          </w:rPr>
          <w:t xml:space="preserve">https://doi.org/10.1080/21504857.2017.1355833</w:t>
        </w:r>
      </w:hyperlink>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36">
      <w:pPr>
        <w:spacing w:after="280" w:before="28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Domaradzki, Jan. “Popular Culture and Genetics.” </w:t>
      </w:r>
      <w:r w:rsidDel="00000000" w:rsidR="00000000" w:rsidRPr="00000000">
        <w:rPr>
          <w:rFonts w:ascii="Times New Roman" w:cs="Times New Roman" w:eastAsia="Times New Roman" w:hAnsi="Times New Roman"/>
          <w:i w:val="1"/>
          <w:rtl w:val="0"/>
        </w:rPr>
        <w:t xml:space="preserve">Polish Sociological Review</w:t>
      </w:r>
      <w:r w:rsidDel="00000000" w:rsidR="00000000" w:rsidRPr="00000000">
        <w:rPr>
          <w:rFonts w:ascii="Times New Roman" w:cs="Times New Roman" w:eastAsia="Times New Roman" w:hAnsi="Times New Roman"/>
          <w:rtl w:val="0"/>
        </w:rPr>
        <w:t xml:space="preserve"> 215 (2021): 281–310. </w:t>
      </w:r>
      <w:hyperlink r:id="rId11">
        <w:r w:rsidDel="00000000" w:rsidR="00000000" w:rsidRPr="00000000">
          <w:rPr>
            <w:rFonts w:ascii="Times New Roman" w:cs="Times New Roman" w:eastAsia="Times New Roman" w:hAnsi="Times New Roman"/>
            <w:color w:val="0000ff"/>
            <w:u w:val="single"/>
            <w:rtl w:val="0"/>
          </w:rPr>
          <w:t xml:space="preserve">https://www.jstor.org/stable/10.2307/27093115</w:t>
        </w:r>
      </w:hyperlink>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37">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Dunn, David A., Matthew V. Cannon, Michael H. Irwin, and Carl A. Pinkert. “Animal Models of Human Mitochondrial DNA Mutations.” </w:t>
      </w:r>
      <w:r w:rsidDel="00000000" w:rsidR="00000000" w:rsidRPr="00000000">
        <w:rPr>
          <w:rFonts w:ascii="Times New Roman" w:cs="Times New Roman" w:eastAsia="Times New Roman" w:hAnsi="Times New Roman"/>
          <w:i w:val="1"/>
          <w:rtl w:val="0"/>
        </w:rPr>
        <w:t xml:space="preserve">Biochomica et Biophysica Acta</w:t>
      </w:r>
      <w:r w:rsidDel="00000000" w:rsidR="00000000" w:rsidRPr="00000000">
        <w:rPr>
          <w:rFonts w:ascii="Times New Roman" w:cs="Times New Roman" w:eastAsia="Times New Roman" w:hAnsi="Times New Roman"/>
          <w:rtl w:val="0"/>
        </w:rPr>
        <w:t xml:space="preserve">, vol. 1820. 5, (2012): pp. 839–848. doi:10.1016/j.mito.2011.06.004. </w:t>
      </w:r>
    </w:p>
    <w:p w:rsidR="00000000" w:rsidDel="00000000" w:rsidP="00000000" w:rsidRDefault="00000000" w:rsidRPr="00000000" w14:paraId="00000038">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i w:val="1"/>
          <w:rtl w:val="0"/>
        </w:rPr>
        <w:t xml:space="preserve">Face Off</w:t>
      </w:r>
      <w:r w:rsidDel="00000000" w:rsidR="00000000" w:rsidRPr="00000000">
        <w:rPr>
          <w:rFonts w:ascii="Times New Roman" w:cs="Times New Roman" w:eastAsia="Times New Roman" w:hAnsi="Times New Roman"/>
          <w:rtl w:val="0"/>
        </w:rPr>
        <w:t xml:space="preserve">. TV series. Exec. prods. D. J. Viola, Dwight D. Smith, and Michael Agbabian. Syfy, 2011–2018.</w:t>
      </w:r>
    </w:p>
    <w:p w:rsidR="00000000" w:rsidDel="00000000" w:rsidP="00000000" w:rsidRDefault="00000000" w:rsidRPr="00000000" w14:paraId="00000039">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Fielder, Leslie A. “Pity and Fear: Images of the Disabled in Literature and the Popular Arts.” </w:t>
      </w:r>
      <w:r w:rsidDel="00000000" w:rsidR="00000000" w:rsidRPr="00000000">
        <w:rPr>
          <w:rFonts w:ascii="Times New Roman" w:cs="Times New Roman" w:eastAsia="Times New Roman" w:hAnsi="Times New Roman"/>
          <w:i w:val="1"/>
          <w:rtl w:val="0"/>
        </w:rPr>
        <w:t xml:space="preserve">Salmnagungi </w:t>
      </w:r>
      <w:r w:rsidDel="00000000" w:rsidR="00000000" w:rsidRPr="00000000">
        <w:rPr>
          <w:rFonts w:ascii="Times New Roman" w:cs="Times New Roman" w:eastAsia="Times New Roman" w:hAnsi="Times New Roman"/>
          <w:rtl w:val="0"/>
        </w:rPr>
        <w:t xml:space="preserve">57 (1982). </w:t>
      </w:r>
    </w:p>
    <w:p w:rsidR="00000000" w:rsidDel="00000000" w:rsidP="00000000" w:rsidRDefault="00000000" w:rsidRPr="00000000" w14:paraId="0000003A">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Garland-Thomson, Rosemarie. “Introduction: From Wonder to Error—A Genealogy of Freak Discourse in Modernity.” </w:t>
      </w:r>
      <w:r w:rsidDel="00000000" w:rsidR="00000000" w:rsidRPr="00000000">
        <w:rPr>
          <w:rFonts w:ascii="Times New Roman" w:cs="Times New Roman" w:eastAsia="Times New Roman" w:hAnsi="Times New Roman"/>
          <w:i w:val="1"/>
          <w:rtl w:val="0"/>
        </w:rPr>
        <w:t xml:space="preserve">Freakery: Cultural Spectacles of the Extraordinary Body, </w:t>
      </w:r>
      <w:r w:rsidDel="00000000" w:rsidR="00000000" w:rsidRPr="00000000">
        <w:rPr>
          <w:rFonts w:ascii="Times New Roman" w:cs="Times New Roman" w:eastAsia="Times New Roman" w:hAnsi="Times New Roman"/>
          <w:rtl w:val="0"/>
        </w:rPr>
        <w:t xml:space="preserve">edited by R. Garland-Thomson, New York UP, 1996, pp. 1-22.</w:t>
      </w:r>
    </w:p>
    <w:p w:rsidR="00000000" w:rsidDel="00000000" w:rsidP="00000000" w:rsidRDefault="00000000" w:rsidRPr="00000000" w14:paraId="0000003B">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Gittinger, Judi L. </w:t>
      </w:r>
      <w:r w:rsidDel="00000000" w:rsidR="00000000" w:rsidRPr="00000000">
        <w:rPr>
          <w:rFonts w:ascii="Times New Roman" w:cs="Times New Roman" w:eastAsia="Times New Roman" w:hAnsi="Times New Roman"/>
          <w:i w:val="1"/>
          <w:rtl w:val="0"/>
        </w:rPr>
        <w:t xml:space="preserve">Personhood in Science Fiction. </w:t>
      </w:r>
      <w:r w:rsidDel="00000000" w:rsidR="00000000" w:rsidRPr="00000000">
        <w:rPr>
          <w:rFonts w:ascii="Times New Roman" w:cs="Times New Roman" w:eastAsia="Times New Roman" w:hAnsi="Times New Roman"/>
          <w:rtl w:val="0"/>
        </w:rPr>
        <w:t xml:space="preserve">Palgrave Macmillan, 2019.</w:t>
      </w:r>
    </w:p>
    <w:p w:rsidR="00000000" w:rsidDel="00000000" w:rsidP="00000000" w:rsidRDefault="00000000" w:rsidRPr="00000000" w14:paraId="0000003C">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Hadley, Bree. </w:t>
      </w:r>
      <w:r w:rsidDel="00000000" w:rsidR="00000000" w:rsidRPr="00000000">
        <w:rPr>
          <w:rFonts w:ascii="Times New Roman" w:cs="Times New Roman" w:eastAsia="Times New Roman" w:hAnsi="Times New Roman"/>
          <w:i w:val="1"/>
          <w:rtl w:val="0"/>
        </w:rPr>
        <w:t xml:space="preserve">Disability, Public Space Performance and Spectatorship: Unconscious Performers</w:t>
      </w:r>
      <w:r w:rsidDel="00000000" w:rsidR="00000000" w:rsidRPr="00000000">
        <w:rPr>
          <w:rFonts w:ascii="Times New Roman" w:cs="Times New Roman" w:eastAsia="Times New Roman" w:hAnsi="Times New Roman"/>
          <w:rtl w:val="0"/>
        </w:rPr>
        <w:t xml:space="preserve">. Palgrave Macmillan, 2014.</w:t>
      </w:r>
    </w:p>
    <w:p w:rsidR="00000000" w:rsidDel="00000000" w:rsidP="00000000" w:rsidRDefault="00000000" w:rsidRPr="00000000" w14:paraId="0000003D">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Lopez, Francesca. “X-Men: The Normative System Disguised as Mutant.” </w:t>
      </w:r>
      <w:r w:rsidDel="00000000" w:rsidR="00000000" w:rsidRPr="00000000">
        <w:rPr>
          <w:rFonts w:ascii="Times New Roman" w:cs="Times New Roman" w:eastAsia="Times New Roman" w:hAnsi="Times New Roman"/>
          <w:i w:val="1"/>
          <w:rtl w:val="0"/>
        </w:rPr>
        <w:t xml:space="preserve">Interdisciplinary Essays on Monsters and the Monstrous</w:t>
      </w:r>
      <w:r w:rsidDel="00000000" w:rsidR="00000000" w:rsidRPr="00000000">
        <w:rPr>
          <w:rFonts w:ascii="Times New Roman" w:cs="Times New Roman" w:eastAsia="Times New Roman" w:hAnsi="Times New Roman"/>
          <w:rtl w:val="0"/>
        </w:rPr>
        <w:t xml:space="preserve">, edited by M. S. Schotanus, Emerald Publishing Limited, 2022, pp. 121–139. </w:t>
      </w:r>
    </w:p>
    <w:p w:rsidR="00000000" w:rsidDel="00000000" w:rsidP="00000000" w:rsidRDefault="00000000" w:rsidRPr="00000000" w14:paraId="0000003E">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Mantle, Martin. “‘Have You Tried Not Being a Mutant?’: Genetic Mutation and the Acquisition of Extra-Ordinary Ability.” </w:t>
      </w:r>
      <w:r w:rsidDel="00000000" w:rsidR="00000000" w:rsidRPr="00000000">
        <w:rPr>
          <w:rFonts w:ascii="Times New Roman" w:cs="Times New Roman" w:eastAsia="Times New Roman" w:hAnsi="Times New Roman"/>
          <w:i w:val="1"/>
          <w:rtl w:val="0"/>
        </w:rPr>
        <w:t xml:space="preserve">M/C Journal</w:t>
      </w:r>
      <w:r w:rsidDel="00000000" w:rsidR="00000000" w:rsidRPr="00000000">
        <w:rPr>
          <w:rFonts w:ascii="Times New Roman" w:cs="Times New Roman" w:eastAsia="Times New Roman" w:hAnsi="Times New Roman"/>
          <w:rtl w:val="0"/>
        </w:rPr>
        <w:t xml:space="preserve"> 10.5 (2007). </w:t>
      </w:r>
      <w:hyperlink r:id="rId12">
        <w:r w:rsidDel="00000000" w:rsidR="00000000" w:rsidRPr="00000000">
          <w:rPr>
            <w:rFonts w:ascii="Times New Roman" w:cs="Times New Roman" w:eastAsia="Times New Roman" w:hAnsi="Times New Roman"/>
            <w:color w:val="0000ff"/>
            <w:u w:val="single"/>
            <w:rtl w:val="0"/>
          </w:rPr>
          <w:t xml:space="preserve">https://doi.org/10.5204/mcj.2712</w:t>
        </w:r>
      </w:hyperlink>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3F">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Pheasant-Kelly, Frances. "Towards a structure of feeling: abjection and allegories of disease in science fiction ‘mutation’ films." </w:t>
      </w:r>
      <w:r w:rsidDel="00000000" w:rsidR="00000000" w:rsidRPr="00000000">
        <w:rPr>
          <w:rFonts w:ascii="Times New Roman" w:cs="Times New Roman" w:eastAsia="Times New Roman" w:hAnsi="Times New Roman"/>
          <w:i w:val="1"/>
          <w:rtl w:val="0"/>
        </w:rPr>
        <w:t xml:space="preserve">Medical Humanities</w:t>
      </w:r>
      <w:r w:rsidDel="00000000" w:rsidR="00000000" w:rsidRPr="00000000">
        <w:rPr>
          <w:rFonts w:ascii="Times New Roman" w:cs="Times New Roman" w:eastAsia="Times New Roman" w:hAnsi="Times New Roman"/>
          <w:rtl w:val="0"/>
        </w:rPr>
        <w:t xml:space="preserve"> 42.4 (2016): 238-245.</w:t>
      </w:r>
    </w:p>
    <w:p w:rsidR="00000000" w:rsidDel="00000000" w:rsidP="00000000" w:rsidRDefault="00000000" w:rsidRPr="00000000" w14:paraId="00000040">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Singh, Vijay K., and Thomas M. Seed. “How Necessary Are Animal Models for Modern Drug Discovery?” </w:t>
      </w:r>
      <w:r w:rsidDel="00000000" w:rsidR="00000000" w:rsidRPr="00000000">
        <w:rPr>
          <w:rFonts w:ascii="Times New Roman" w:cs="Times New Roman" w:eastAsia="Times New Roman" w:hAnsi="Times New Roman"/>
          <w:i w:val="1"/>
          <w:rtl w:val="0"/>
        </w:rPr>
        <w:t xml:space="preserve">Expert Opinion on Drug Discovery</w:t>
      </w:r>
      <w:r w:rsidDel="00000000" w:rsidR="00000000" w:rsidRPr="00000000">
        <w:rPr>
          <w:rFonts w:ascii="Times New Roman" w:cs="Times New Roman" w:eastAsia="Times New Roman" w:hAnsi="Times New Roman"/>
          <w:rtl w:val="0"/>
        </w:rPr>
        <w:t xml:space="preserve"> 16.12 (2021): 1391–1397. https://doi.org/10.1080/17460441.2021.1972255.</w:t>
      </w:r>
    </w:p>
    <w:p w:rsidR="00000000" w:rsidDel="00000000" w:rsidP="00000000" w:rsidRDefault="00000000" w:rsidRPr="00000000" w14:paraId="00000041">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Vining, Joseph. "Human Identity: The Question Presented by Human-Animal Hybridization." </w:t>
      </w:r>
      <w:r w:rsidDel="00000000" w:rsidR="00000000" w:rsidRPr="00000000">
        <w:rPr>
          <w:rFonts w:ascii="Times New Roman" w:cs="Times New Roman" w:eastAsia="Times New Roman" w:hAnsi="Times New Roman"/>
          <w:i w:val="1"/>
          <w:rtl w:val="0"/>
        </w:rPr>
        <w:t xml:space="preserve">Stanford Journal of Animal Law and Policy, </w:t>
      </w:r>
      <w:r w:rsidDel="00000000" w:rsidR="00000000" w:rsidRPr="00000000">
        <w:rPr>
          <w:rFonts w:ascii="Times New Roman" w:cs="Times New Roman" w:eastAsia="Times New Roman" w:hAnsi="Times New Roman"/>
          <w:rtl w:val="0"/>
        </w:rPr>
        <w:t xml:space="preserve">1, (2008): 50-68. </w:t>
      </w:r>
    </w:p>
    <w:sectPr>
      <w:footerReference r:id="rId13" w:type="default"/>
      <w:footerReference r:id="rId14" w:type="first"/>
      <w:pgSz w:h="16838" w:w="11906" w:orient="portrait"/>
      <w:pgMar w:bottom="1440" w:top="1440" w:left="1440" w:right="1440" w:header="708" w:footer="708"/>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Aptos"/>
  <w:font w:name="Play">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2">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3">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ptos" w:cs="Aptos" w:eastAsia="Aptos" w:hAnsi="Aptos"/>
        <w:sz w:val="24"/>
        <w:szCs w:val="24"/>
        <w:lang w:val="en-AU"/>
      </w:rPr>
    </w:rPrDefault>
    <w:pPrDefault>
      <w:pPr>
        <w:spacing w:after="160" w:line="278.0000000000000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80" w:before="360" w:lineRule="auto"/>
    </w:pPr>
    <w:rPr>
      <w:rFonts w:ascii="Play" w:cs="Play" w:eastAsia="Play" w:hAnsi="Play"/>
      <w:color w:val="0f4761"/>
      <w:sz w:val="40"/>
      <w:szCs w:val="40"/>
    </w:rPr>
  </w:style>
  <w:style w:type="paragraph" w:styleId="Heading2">
    <w:name w:val="heading 2"/>
    <w:basedOn w:val="Normal"/>
    <w:next w:val="Normal"/>
    <w:pPr>
      <w:keepNext w:val="1"/>
      <w:keepLines w:val="1"/>
      <w:spacing w:after="80" w:before="160" w:lineRule="auto"/>
    </w:pPr>
    <w:rPr>
      <w:rFonts w:ascii="Play" w:cs="Play" w:eastAsia="Play" w:hAnsi="Play"/>
      <w:color w:val="0f4761"/>
      <w:sz w:val="32"/>
      <w:szCs w:val="32"/>
    </w:rPr>
  </w:style>
  <w:style w:type="paragraph" w:styleId="Heading3">
    <w:name w:val="heading 3"/>
    <w:basedOn w:val="Normal"/>
    <w:next w:val="Normal"/>
    <w:pPr>
      <w:keepNext w:val="1"/>
      <w:keepLines w:val="1"/>
      <w:spacing w:after="80" w:before="160" w:lineRule="auto"/>
    </w:pPr>
    <w:rPr>
      <w:color w:val="0f4761"/>
      <w:sz w:val="28"/>
      <w:szCs w:val="28"/>
    </w:rPr>
  </w:style>
  <w:style w:type="paragraph" w:styleId="Heading4">
    <w:name w:val="heading 4"/>
    <w:basedOn w:val="Normal"/>
    <w:next w:val="Normal"/>
    <w:pPr>
      <w:keepNext w:val="1"/>
      <w:keepLines w:val="1"/>
      <w:spacing w:after="40" w:before="80" w:lineRule="auto"/>
    </w:pPr>
    <w:rPr>
      <w:i w:val="1"/>
      <w:color w:val="0f4761"/>
    </w:rPr>
  </w:style>
  <w:style w:type="paragraph" w:styleId="Heading5">
    <w:name w:val="heading 5"/>
    <w:basedOn w:val="Normal"/>
    <w:next w:val="Normal"/>
    <w:pPr>
      <w:keepNext w:val="1"/>
      <w:keepLines w:val="1"/>
      <w:spacing w:after="40" w:before="80" w:lineRule="auto"/>
    </w:pPr>
    <w:rPr>
      <w:color w:val="0f4761"/>
    </w:rPr>
  </w:style>
  <w:style w:type="paragraph" w:styleId="Heading6">
    <w:name w:val="heading 6"/>
    <w:basedOn w:val="Normal"/>
    <w:next w:val="Normal"/>
    <w:pPr>
      <w:keepNext w:val="1"/>
      <w:keepLines w:val="1"/>
      <w:spacing w:after="0" w:before="40" w:lineRule="auto"/>
    </w:pPr>
    <w:rPr>
      <w:i w:val="1"/>
      <w:color w:val="595959"/>
    </w:rPr>
  </w:style>
  <w:style w:type="paragraph" w:styleId="Title">
    <w:name w:val="Title"/>
    <w:basedOn w:val="Normal"/>
    <w:next w:val="Normal"/>
    <w:pPr>
      <w:spacing w:after="80" w:line="240" w:lineRule="auto"/>
    </w:pPr>
    <w:rPr>
      <w:rFonts w:ascii="Play" w:cs="Play" w:eastAsia="Play" w:hAnsi="Play"/>
      <w:sz w:val="56"/>
      <w:szCs w:val="56"/>
    </w:rPr>
  </w:style>
  <w:style w:type="paragraph" w:styleId="Normal" w:default="1">
    <w:name w:val="Normal"/>
    <w:qFormat w:val="1"/>
  </w:style>
  <w:style w:type="paragraph" w:styleId="Heading1">
    <w:name w:val="heading 1"/>
    <w:basedOn w:val="Normal"/>
    <w:next w:val="Normal"/>
    <w:link w:val="Heading1Char"/>
    <w:uiPriority w:val="9"/>
    <w:qFormat w:val="1"/>
    <w:rsid w:val="00A62861"/>
    <w:pPr>
      <w:keepNext w:val="1"/>
      <w:keepLines w:val="1"/>
      <w:spacing w:after="80" w:before="360"/>
      <w:outlineLvl w:val="0"/>
    </w:pPr>
    <w:rPr>
      <w:rFonts w:asciiTheme="majorHAnsi" w:cstheme="majorBidi" w:eastAsiaTheme="majorEastAsia" w:hAnsiTheme="majorHAnsi"/>
      <w:color w:val="0f4761" w:themeColor="accent1" w:themeShade="0000BF"/>
      <w:sz w:val="40"/>
      <w:szCs w:val="40"/>
    </w:rPr>
  </w:style>
  <w:style w:type="paragraph" w:styleId="Heading2">
    <w:name w:val="heading 2"/>
    <w:basedOn w:val="Normal"/>
    <w:next w:val="Normal"/>
    <w:link w:val="Heading2Char"/>
    <w:uiPriority w:val="9"/>
    <w:semiHidden w:val="1"/>
    <w:unhideWhenUsed w:val="1"/>
    <w:qFormat w:val="1"/>
    <w:rsid w:val="00A62861"/>
    <w:pPr>
      <w:keepNext w:val="1"/>
      <w:keepLines w:val="1"/>
      <w:spacing w:after="80" w:before="160"/>
      <w:outlineLvl w:val="1"/>
    </w:pPr>
    <w:rPr>
      <w:rFonts w:asciiTheme="majorHAnsi" w:cstheme="majorBidi" w:eastAsiaTheme="majorEastAsia" w:hAnsiTheme="majorHAnsi"/>
      <w:color w:val="0f4761" w:themeColor="accent1" w:themeShade="0000BF"/>
      <w:sz w:val="32"/>
      <w:szCs w:val="32"/>
    </w:rPr>
  </w:style>
  <w:style w:type="paragraph" w:styleId="Heading3">
    <w:name w:val="heading 3"/>
    <w:basedOn w:val="Normal"/>
    <w:next w:val="Normal"/>
    <w:link w:val="Heading3Char"/>
    <w:uiPriority w:val="9"/>
    <w:semiHidden w:val="1"/>
    <w:unhideWhenUsed w:val="1"/>
    <w:qFormat w:val="1"/>
    <w:rsid w:val="00A62861"/>
    <w:pPr>
      <w:keepNext w:val="1"/>
      <w:keepLines w:val="1"/>
      <w:spacing w:after="80" w:before="160"/>
      <w:outlineLvl w:val="2"/>
    </w:pPr>
    <w:rPr>
      <w:rFonts w:cstheme="majorBidi" w:eastAsiaTheme="majorEastAsia"/>
      <w:color w:val="0f4761" w:themeColor="accent1" w:themeShade="0000BF"/>
      <w:sz w:val="28"/>
      <w:szCs w:val="28"/>
    </w:rPr>
  </w:style>
  <w:style w:type="paragraph" w:styleId="Heading4">
    <w:name w:val="heading 4"/>
    <w:basedOn w:val="Normal"/>
    <w:next w:val="Normal"/>
    <w:link w:val="Heading4Char"/>
    <w:uiPriority w:val="9"/>
    <w:semiHidden w:val="1"/>
    <w:unhideWhenUsed w:val="1"/>
    <w:qFormat w:val="1"/>
    <w:rsid w:val="00A62861"/>
    <w:pPr>
      <w:keepNext w:val="1"/>
      <w:keepLines w:val="1"/>
      <w:spacing w:after="40" w:before="80"/>
      <w:outlineLvl w:val="3"/>
    </w:pPr>
    <w:rPr>
      <w:rFonts w:cstheme="majorBidi" w:eastAsiaTheme="majorEastAsia"/>
      <w:i w:val="1"/>
      <w:iCs w:val="1"/>
      <w:color w:val="0f4761" w:themeColor="accent1" w:themeShade="0000BF"/>
    </w:rPr>
  </w:style>
  <w:style w:type="paragraph" w:styleId="Heading5">
    <w:name w:val="heading 5"/>
    <w:basedOn w:val="Normal"/>
    <w:next w:val="Normal"/>
    <w:link w:val="Heading5Char"/>
    <w:uiPriority w:val="9"/>
    <w:semiHidden w:val="1"/>
    <w:unhideWhenUsed w:val="1"/>
    <w:qFormat w:val="1"/>
    <w:rsid w:val="00A62861"/>
    <w:pPr>
      <w:keepNext w:val="1"/>
      <w:keepLines w:val="1"/>
      <w:spacing w:after="40" w:before="80"/>
      <w:outlineLvl w:val="4"/>
    </w:pPr>
    <w:rPr>
      <w:rFonts w:cstheme="majorBidi" w:eastAsiaTheme="majorEastAsia"/>
      <w:color w:val="0f4761" w:themeColor="accent1" w:themeShade="0000BF"/>
    </w:rPr>
  </w:style>
  <w:style w:type="paragraph" w:styleId="Heading6">
    <w:name w:val="heading 6"/>
    <w:basedOn w:val="Normal"/>
    <w:next w:val="Normal"/>
    <w:link w:val="Heading6Char"/>
    <w:uiPriority w:val="9"/>
    <w:semiHidden w:val="1"/>
    <w:unhideWhenUsed w:val="1"/>
    <w:qFormat w:val="1"/>
    <w:rsid w:val="00A62861"/>
    <w:pPr>
      <w:keepNext w:val="1"/>
      <w:keepLines w:val="1"/>
      <w:spacing w:after="0" w:before="40"/>
      <w:outlineLvl w:val="5"/>
    </w:pPr>
    <w:rPr>
      <w:rFonts w:cstheme="majorBidi" w:eastAsiaTheme="majorEastAsia"/>
      <w:i w:val="1"/>
      <w:iCs w:val="1"/>
      <w:color w:val="595959" w:themeColor="text1" w:themeTint="0000A6"/>
    </w:rPr>
  </w:style>
  <w:style w:type="paragraph" w:styleId="Heading7">
    <w:name w:val="heading 7"/>
    <w:basedOn w:val="Normal"/>
    <w:next w:val="Normal"/>
    <w:link w:val="Heading7Char"/>
    <w:uiPriority w:val="9"/>
    <w:semiHidden w:val="1"/>
    <w:unhideWhenUsed w:val="1"/>
    <w:qFormat w:val="1"/>
    <w:rsid w:val="00A62861"/>
    <w:pPr>
      <w:keepNext w:val="1"/>
      <w:keepLines w:val="1"/>
      <w:spacing w:after="0" w:before="40"/>
      <w:outlineLvl w:val="6"/>
    </w:pPr>
    <w:rPr>
      <w:rFonts w:cstheme="majorBidi" w:eastAsiaTheme="majorEastAsia"/>
      <w:color w:val="595959" w:themeColor="text1" w:themeTint="0000A6"/>
    </w:rPr>
  </w:style>
  <w:style w:type="paragraph" w:styleId="Heading8">
    <w:name w:val="heading 8"/>
    <w:basedOn w:val="Normal"/>
    <w:next w:val="Normal"/>
    <w:link w:val="Heading8Char"/>
    <w:uiPriority w:val="9"/>
    <w:semiHidden w:val="1"/>
    <w:unhideWhenUsed w:val="1"/>
    <w:qFormat w:val="1"/>
    <w:rsid w:val="00A62861"/>
    <w:pPr>
      <w:keepNext w:val="1"/>
      <w:keepLines w:val="1"/>
      <w:spacing w:after="0"/>
      <w:outlineLvl w:val="7"/>
    </w:pPr>
    <w:rPr>
      <w:rFonts w:cstheme="majorBidi" w:eastAsiaTheme="majorEastAsia"/>
      <w:i w:val="1"/>
      <w:iCs w:val="1"/>
      <w:color w:val="272727" w:themeColor="text1" w:themeTint="0000D8"/>
    </w:rPr>
  </w:style>
  <w:style w:type="paragraph" w:styleId="Heading9">
    <w:name w:val="heading 9"/>
    <w:basedOn w:val="Normal"/>
    <w:next w:val="Normal"/>
    <w:link w:val="Heading9Char"/>
    <w:uiPriority w:val="9"/>
    <w:semiHidden w:val="1"/>
    <w:unhideWhenUsed w:val="1"/>
    <w:qFormat w:val="1"/>
    <w:rsid w:val="00A62861"/>
    <w:pPr>
      <w:keepNext w:val="1"/>
      <w:keepLines w:val="1"/>
      <w:spacing w:after="0"/>
      <w:outlineLvl w:val="8"/>
    </w:pPr>
    <w:rPr>
      <w:rFonts w:cstheme="majorBidi" w:eastAsiaTheme="majorEastAsia"/>
      <w:color w:val="272727" w:themeColor="text1" w:themeTint="0000D8"/>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1Char" w:customStyle="1">
    <w:name w:val="Heading 1 Char"/>
    <w:basedOn w:val="DefaultParagraphFont"/>
    <w:link w:val="Heading1"/>
    <w:uiPriority w:val="9"/>
    <w:rsid w:val="00A62861"/>
    <w:rPr>
      <w:rFonts w:asciiTheme="majorHAnsi" w:cstheme="majorBidi" w:eastAsiaTheme="majorEastAsia" w:hAnsiTheme="majorHAnsi"/>
      <w:color w:val="0f4761" w:themeColor="accent1" w:themeShade="0000BF"/>
      <w:sz w:val="40"/>
      <w:szCs w:val="40"/>
    </w:rPr>
  </w:style>
  <w:style w:type="character" w:styleId="Heading2Char" w:customStyle="1">
    <w:name w:val="Heading 2 Char"/>
    <w:basedOn w:val="DefaultParagraphFont"/>
    <w:link w:val="Heading2"/>
    <w:uiPriority w:val="9"/>
    <w:semiHidden w:val="1"/>
    <w:rsid w:val="00A62861"/>
    <w:rPr>
      <w:rFonts w:asciiTheme="majorHAnsi" w:cstheme="majorBidi" w:eastAsiaTheme="majorEastAsia" w:hAnsiTheme="majorHAnsi"/>
      <w:color w:val="0f4761" w:themeColor="accent1" w:themeShade="0000BF"/>
      <w:sz w:val="32"/>
      <w:szCs w:val="32"/>
    </w:rPr>
  </w:style>
  <w:style w:type="character" w:styleId="Heading3Char" w:customStyle="1">
    <w:name w:val="Heading 3 Char"/>
    <w:basedOn w:val="DefaultParagraphFont"/>
    <w:link w:val="Heading3"/>
    <w:uiPriority w:val="9"/>
    <w:semiHidden w:val="1"/>
    <w:rsid w:val="00A62861"/>
    <w:rPr>
      <w:rFonts w:cstheme="majorBidi" w:eastAsiaTheme="majorEastAsia"/>
      <w:color w:val="0f4761" w:themeColor="accent1" w:themeShade="0000BF"/>
      <w:sz w:val="28"/>
      <w:szCs w:val="28"/>
    </w:rPr>
  </w:style>
  <w:style w:type="character" w:styleId="Heading4Char" w:customStyle="1">
    <w:name w:val="Heading 4 Char"/>
    <w:basedOn w:val="DefaultParagraphFont"/>
    <w:link w:val="Heading4"/>
    <w:uiPriority w:val="9"/>
    <w:semiHidden w:val="1"/>
    <w:rsid w:val="00A62861"/>
    <w:rPr>
      <w:rFonts w:cstheme="majorBidi" w:eastAsiaTheme="majorEastAsia"/>
      <w:i w:val="1"/>
      <w:iCs w:val="1"/>
      <w:color w:val="0f4761" w:themeColor="accent1" w:themeShade="0000BF"/>
    </w:rPr>
  </w:style>
  <w:style w:type="character" w:styleId="Heading5Char" w:customStyle="1">
    <w:name w:val="Heading 5 Char"/>
    <w:basedOn w:val="DefaultParagraphFont"/>
    <w:link w:val="Heading5"/>
    <w:uiPriority w:val="9"/>
    <w:semiHidden w:val="1"/>
    <w:rsid w:val="00A62861"/>
    <w:rPr>
      <w:rFonts w:cstheme="majorBidi" w:eastAsiaTheme="majorEastAsia"/>
      <w:color w:val="0f4761" w:themeColor="accent1" w:themeShade="0000BF"/>
    </w:rPr>
  </w:style>
  <w:style w:type="character" w:styleId="Heading6Char" w:customStyle="1">
    <w:name w:val="Heading 6 Char"/>
    <w:basedOn w:val="DefaultParagraphFont"/>
    <w:link w:val="Heading6"/>
    <w:uiPriority w:val="9"/>
    <w:semiHidden w:val="1"/>
    <w:rsid w:val="00A62861"/>
    <w:rPr>
      <w:rFonts w:cstheme="majorBidi" w:eastAsiaTheme="majorEastAsia"/>
      <w:i w:val="1"/>
      <w:iCs w:val="1"/>
      <w:color w:val="595959" w:themeColor="text1" w:themeTint="0000A6"/>
    </w:rPr>
  </w:style>
  <w:style w:type="character" w:styleId="Heading7Char" w:customStyle="1">
    <w:name w:val="Heading 7 Char"/>
    <w:basedOn w:val="DefaultParagraphFont"/>
    <w:link w:val="Heading7"/>
    <w:uiPriority w:val="9"/>
    <w:semiHidden w:val="1"/>
    <w:rsid w:val="00A62861"/>
    <w:rPr>
      <w:rFonts w:cstheme="majorBidi" w:eastAsiaTheme="majorEastAsia"/>
      <w:color w:val="595959" w:themeColor="text1" w:themeTint="0000A6"/>
    </w:rPr>
  </w:style>
  <w:style w:type="character" w:styleId="Heading8Char" w:customStyle="1">
    <w:name w:val="Heading 8 Char"/>
    <w:basedOn w:val="DefaultParagraphFont"/>
    <w:link w:val="Heading8"/>
    <w:uiPriority w:val="9"/>
    <w:semiHidden w:val="1"/>
    <w:rsid w:val="00A62861"/>
    <w:rPr>
      <w:rFonts w:cstheme="majorBidi" w:eastAsiaTheme="majorEastAsia"/>
      <w:i w:val="1"/>
      <w:iCs w:val="1"/>
      <w:color w:val="272727" w:themeColor="text1" w:themeTint="0000D8"/>
    </w:rPr>
  </w:style>
  <w:style w:type="character" w:styleId="Heading9Char" w:customStyle="1">
    <w:name w:val="Heading 9 Char"/>
    <w:basedOn w:val="DefaultParagraphFont"/>
    <w:link w:val="Heading9"/>
    <w:uiPriority w:val="9"/>
    <w:semiHidden w:val="1"/>
    <w:rsid w:val="00A62861"/>
    <w:rPr>
      <w:rFonts w:cstheme="majorBidi" w:eastAsiaTheme="majorEastAsia"/>
      <w:color w:val="272727" w:themeColor="text1" w:themeTint="0000D8"/>
    </w:rPr>
  </w:style>
  <w:style w:type="paragraph" w:styleId="Title">
    <w:name w:val="Title"/>
    <w:basedOn w:val="Normal"/>
    <w:next w:val="Normal"/>
    <w:link w:val="TitleChar"/>
    <w:uiPriority w:val="10"/>
    <w:qFormat w:val="1"/>
    <w:rsid w:val="00A62861"/>
    <w:pPr>
      <w:spacing w:after="80" w:line="240" w:lineRule="auto"/>
      <w:contextualSpacing w:val="1"/>
    </w:pPr>
    <w:rPr>
      <w:rFonts w:asciiTheme="majorHAnsi" w:cstheme="majorBidi" w:eastAsiaTheme="majorEastAsia" w:hAnsiTheme="majorHAnsi"/>
      <w:spacing w:val="-10"/>
      <w:kern w:val="28"/>
      <w:sz w:val="56"/>
      <w:szCs w:val="56"/>
    </w:rPr>
  </w:style>
  <w:style w:type="character" w:styleId="TitleChar" w:customStyle="1">
    <w:name w:val="Title Char"/>
    <w:basedOn w:val="DefaultParagraphFont"/>
    <w:link w:val="Title"/>
    <w:uiPriority w:val="10"/>
    <w:rsid w:val="00A62861"/>
    <w:rPr>
      <w:rFonts w:asciiTheme="majorHAnsi" w:cstheme="majorBidi" w:eastAsiaTheme="majorEastAsia" w:hAnsiTheme="majorHAnsi"/>
      <w:spacing w:val="-10"/>
      <w:kern w:val="28"/>
      <w:sz w:val="56"/>
      <w:szCs w:val="56"/>
    </w:rPr>
  </w:style>
  <w:style w:type="paragraph" w:styleId="Subtitle">
    <w:name w:val="Subtitle"/>
    <w:basedOn w:val="Normal"/>
    <w:next w:val="Normal"/>
    <w:link w:val="SubtitleChar"/>
    <w:uiPriority w:val="11"/>
    <w:qFormat w:val="1"/>
    <w:rsid w:val="00A62861"/>
    <w:pPr>
      <w:numPr>
        <w:ilvl w:val="1"/>
      </w:numPr>
    </w:pPr>
    <w:rPr>
      <w:rFonts w:cstheme="majorBidi" w:eastAsiaTheme="majorEastAsia"/>
      <w:color w:val="595959" w:themeColor="text1" w:themeTint="0000A6"/>
      <w:spacing w:val="15"/>
      <w:sz w:val="28"/>
      <w:szCs w:val="28"/>
    </w:rPr>
  </w:style>
  <w:style w:type="character" w:styleId="SubtitleChar" w:customStyle="1">
    <w:name w:val="Subtitle Char"/>
    <w:basedOn w:val="DefaultParagraphFont"/>
    <w:link w:val="Subtitle"/>
    <w:uiPriority w:val="11"/>
    <w:rsid w:val="00A62861"/>
    <w:rPr>
      <w:rFonts w:cstheme="majorBidi" w:eastAsiaTheme="majorEastAsia"/>
      <w:color w:val="595959" w:themeColor="text1" w:themeTint="0000A6"/>
      <w:spacing w:val="15"/>
      <w:sz w:val="28"/>
      <w:szCs w:val="28"/>
    </w:rPr>
  </w:style>
  <w:style w:type="paragraph" w:styleId="Quote">
    <w:name w:val="Quote"/>
    <w:basedOn w:val="Normal"/>
    <w:next w:val="Normal"/>
    <w:link w:val="QuoteChar"/>
    <w:uiPriority w:val="29"/>
    <w:qFormat w:val="1"/>
    <w:rsid w:val="00A62861"/>
    <w:pPr>
      <w:spacing w:before="160"/>
      <w:jc w:val="center"/>
    </w:pPr>
    <w:rPr>
      <w:i w:val="1"/>
      <w:iCs w:val="1"/>
      <w:color w:val="404040" w:themeColor="text1" w:themeTint="0000BF"/>
    </w:rPr>
  </w:style>
  <w:style w:type="character" w:styleId="QuoteChar" w:customStyle="1">
    <w:name w:val="Quote Char"/>
    <w:basedOn w:val="DefaultParagraphFont"/>
    <w:link w:val="Quote"/>
    <w:uiPriority w:val="29"/>
    <w:rsid w:val="00A62861"/>
    <w:rPr>
      <w:i w:val="1"/>
      <w:iCs w:val="1"/>
      <w:color w:val="404040" w:themeColor="text1" w:themeTint="0000BF"/>
    </w:rPr>
  </w:style>
  <w:style w:type="paragraph" w:styleId="ListParagraph">
    <w:name w:val="List Paragraph"/>
    <w:basedOn w:val="Normal"/>
    <w:uiPriority w:val="34"/>
    <w:qFormat w:val="1"/>
    <w:rsid w:val="00A62861"/>
    <w:pPr>
      <w:ind w:left="720"/>
      <w:contextualSpacing w:val="1"/>
    </w:pPr>
  </w:style>
  <w:style w:type="character" w:styleId="IntenseEmphasis">
    <w:name w:val="Intense Emphasis"/>
    <w:basedOn w:val="DefaultParagraphFont"/>
    <w:uiPriority w:val="21"/>
    <w:qFormat w:val="1"/>
    <w:rsid w:val="00A62861"/>
    <w:rPr>
      <w:i w:val="1"/>
      <w:iCs w:val="1"/>
      <w:color w:val="0f4761" w:themeColor="accent1" w:themeShade="0000BF"/>
    </w:rPr>
  </w:style>
  <w:style w:type="paragraph" w:styleId="IntenseQuote">
    <w:name w:val="Intense Quote"/>
    <w:basedOn w:val="Normal"/>
    <w:next w:val="Normal"/>
    <w:link w:val="IntenseQuoteChar"/>
    <w:uiPriority w:val="30"/>
    <w:qFormat w:val="1"/>
    <w:rsid w:val="00A62861"/>
    <w:pPr>
      <w:pBdr>
        <w:top w:color="0f4761" w:space="10" w:sz="4" w:themeColor="accent1" w:themeShade="0000BF" w:val="single"/>
        <w:bottom w:color="0f4761" w:space="10" w:sz="4" w:themeColor="accent1" w:themeShade="0000BF" w:val="single"/>
      </w:pBdr>
      <w:spacing w:after="360" w:before="360"/>
      <w:ind w:left="864" w:right="864"/>
      <w:jc w:val="center"/>
    </w:pPr>
    <w:rPr>
      <w:i w:val="1"/>
      <w:iCs w:val="1"/>
      <w:color w:val="0f4761" w:themeColor="accent1" w:themeShade="0000BF"/>
    </w:rPr>
  </w:style>
  <w:style w:type="character" w:styleId="IntenseQuoteChar" w:customStyle="1">
    <w:name w:val="Intense Quote Char"/>
    <w:basedOn w:val="DefaultParagraphFont"/>
    <w:link w:val="IntenseQuote"/>
    <w:uiPriority w:val="30"/>
    <w:rsid w:val="00A62861"/>
    <w:rPr>
      <w:i w:val="1"/>
      <w:iCs w:val="1"/>
      <w:color w:val="0f4761" w:themeColor="accent1" w:themeShade="0000BF"/>
    </w:rPr>
  </w:style>
  <w:style w:type="character" w:styleId="IntenseReference">
    <w:name w:val="Intense Reference"/>
    <w:basedOn w:val="DefaultParagraphFont"/>
    <w:uiPriority w:val="32"/>
    <w:qFormat w:val="1"/>
    <w:rsid w:val="00A62861"/>
    <w:rPr>
      <w:b w:val="1"/>
      <w:bCs w:val="1"/>
      <w:smallCaps w:val="1"/>
      <w:color w:val="0f4761" w:themeColor="accent1" w:themeShade="0000BF"/>
      <w:spacing w:val="5"/>
    </w:rPr>
  </w:style>
  <w:style w:type="character" w:styleId="Emphasis">
    <w:name w:val="Emphasis"/>
    <w:basedOn w:val="DefaultParagraphFont"/>
    <w:uiPriority w:val="20"/>
    <w:qFormat w:val="1"/>
    <w:rsid w:val="00764B93"/>
    <w:rPr>
      <w:i w:val="1"/>
      <w:iCs w:val="1"/>
    </w:rPr>
  </w:style>
  <w:style w:type="character" w:styleId="Hyperlink">
    <w:name w:val="Hyperlink"/>
    <w:basedOn w:val="DefaultParagraphFont"/>
    <w:uiPriority w:val="99"/>
    <w:unhideWhenUsed w:val="1"/>
    <w:rsid w:val="00015D93"/>
    <w:rPr>
      <w:color w:val="0000ff"/>
      <w:u w:val="single"/>
    </w:rPr>
  </w:style>
  <w:style w:type="character" w:styleId="UnresolvedMention">
    <w:name w:val="Unresolved Mention"/>
    <w:basedOn w:val="DefaultParagraphFont"/>
    <w:uiPriority w:val="99"/>
    <w:semiHidden w:val="1"/>
    <w:unhideWhenUsed w:val="1"/>
    <w:rsid w:val="007A7CF5"/>
    <w:rPr>
      <w:color w:val="605e5c"/>
      <w:shd w:color="auto" w:fill="e1dfdd" w:val="clear"/>
    </w:rPr>
  </w:style>
  <w:style w:type="paragraph" w:styleId="Subtitle">
    <w:name w:val="Subtitle"/>
    <w:basedOn w:val="Normal"/>
    <w:next w:val="Normal"/>
    <w:pPr/>
    <w:rPr>
      <w:color w:val="595959"/>
      <w:sz w:val="28"/>
      <w:szCs w:val="28"/>
    </w:rPr>
  </w:style>
</w:styles>
</file>

<file path=word/_rels/document.xml.rels><?xml version="1.0" encoding="UTF-8" standalone="yes"?><Relationships xmlns="http://schemas.openxmlformats.org/package/2006/relationships"><Relationship Id="rId11" Type="http://schemas.openxmlformats.org/officeDocument/2006/relationships/hyperlink" Target="https://www.jstor.org/stable/10.2307/27093115" TargetMode="External"/><Relationship Id="rId10" Type="http://schemas.openxmlformats.org/officeDocument/2006/relationships/hyperlink" Target="https://doi.org/10.1080/21504857.2017.1355833" TargetMode="External"/><Relationship Id="rId13" Type="http://schemas.openxmlformats.org/officeDocument/2006/relationships/footer" Target="footer2.xml"/><Relationship Id="rId12" Type="http://schemas.openxmlformats.org/officeDocument/2006/relationships/hyperlink" Target="https://doi.org/10.5204/mcj.2712"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doi.org/10.1080/01956051.2012.654521" TargetMode="External"/><Relationship Id="rId14"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orcid.org/0000-0001-5609-2627" TargetMode="External"/><Relationship Id="rId8" Type="http://schemas.openxmlformats.org/officeDocument/2006/relationships/hyperlink" Target="http://www.prosoc.eu"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mL/3Lm9zi1CmY/CWpkLO+0HE9pg==">CgMxLjA4AHIhMUN1cktVektQclR1ZGdPdS1lWXA0QTBDem5jMUxMYWJI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2025-05-19T08:22:00Z</dcterms:created>
  <dc:creator>Angelique Nairn</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d2c88f4e-9b4c-483a-a059-6a4cb28cb17a</vt:lpwstr>
  </property>
</Properties>
</file>